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June 9, 2020</w:t>
      </w: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THE TJX COMPANIES,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jc w:val="center"/>
              <w:ind w:left="310"/>
              <w:spacing w:after="0"/>
              <w:rPr>
                <w:sz w:val="20"/>
                <w:szCs w:val="20"/>
                <w:color w:val="auto"/>
              </w:rPr>
            </w:pPr>
            <w:r>
              <w:rPr>
                <w:rFonts w:ascii="Arial" w:cs="Arial" w:eastAsia="Arial" w:hAnsi="Arial"/>
                <w:sz w:val="18"/>
                <w:szCs w:val="18"/>
                <w:color w:val="auto"/>
                <w:w w:val="89"/>
              </w:rPr>
              <w:t>Delaware</w:t>
            </w:r>
          </w:p>
        </w:tc>
        <w:tc>
          <w:tcPr>
            <w:tcW w:w="4300" w:type="dxa"/>
            <w:vAlign w:val="bottom"/>
            <w:gridSpan w:val="3"/>
          </w:tcPr>
          <w:p>
            <w:pPr>
              <w:jc w:val="right"/>
              <w:ind w:right="1350"/>
              <w:spacing w:after="0"/>
              <w:rPr>
                <w:sz w:val="20"/>
                <w:szCs w:val="20"/>
                <w:color w:val="auto"/>
              </w:rPr>
            </w:pPr>
            <w:r>
              <w:rPr>
                <w:rFonts w:ascii="Arial" w:cs="Arial" w:eastAsia="Arial" w:hAnsi="Arial"/>
                <w:sz w:val="18"/>
                <w:szCs w:val="18"/>
                <w:color w:val="auto"/>
              </w:rPr>
              <w:t>1-4908</w:t>
            </w:r>
          </w:p>
        </w:tc>
        <w:tc>
          <w:tcPr>
            <w:tcW w:w="500" w:type="dxa"/>
            <w:vAlign w:val="bottom"/>
          </w:tcPr>
          <w:p>
            <w:pPr>
              <w:spacing w:after="0"/>
              <w:rPr>
                <w:sz w:val="20"/>
                <w:szCs w:val="20"/>
                <w:color w:val="auto"/>
              </w:rPr>
            </w:pPr>
          </w:p>
        </w:tc>
        <w:tc>
          <w:tcPr>
            <w:tcW w:w="3380" w:type="dxa"/>
            <w:vAlign w:val="bottom"/>
          </w:tcPr>
          <w:p>
            <w:pPr>
              <w:jc w:val="right"/>
              <w:ind w:right="1170"/>
              <w:spacing w:after="0"/>
              <w:rPr>
                <w:sz w:val="20"/>
                <w:szCs w:val="20"/>
                <w:color w:val="auto"/>
              </w:rPr>
            </w:pPr>
            <w:r>
              <w:rPr>
                <w:rFonts w:ascii="Arial" w:cs="Arial" w:eastAsia="Arial" w:hAnsi="Arial"/>
                <w:sz w:val="18"/>
                <w:szCs w:val="18"/>
                <w:color w:val="auto"/>
              </w:rPr>
              <w:t>04-2207613</w:t>
            </w:r>
          </w:p>
        </w:tc>
      </w:tr>
      <w:tr>
        <w:trPr>
          <w:trHeight w:val="27"/>
        </w:trPr>
        <w:tc>
          <w:tcPr>
            <w:tcW w:w="3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2"/>
        </w:trPr>
        <w:tc>
          <w:tcPr>
            <w:tcW w:w="3040" w:type="dxa"/>
            <w:vAlign w:val="bottom"/>
          </w:tcPr>
          <w:p>
            <w:pPr>
              <w:jc w:val="center"/>
              <w:ind w:left="290"/>
              <w:spacing w:after="0"/>
              <w:rPr>
                <w:sz w:val="20"/>
                <w:szCs w:val="20"/>
                <w:color w:val="auto"/>
              </w:rPr>
            </w:pPr>
            <w:r>
              <w:rPr>
                <w:rFonts w:ascii="Arial" w:cs="Arial" w:eastAsia="Arial" w:hAnsi="Arial"/>
                <w:sz w:val="18"/>
                <w:szCs w:val="18"/>
                <w:color w:val="auto"/>
                <w:w w:val="92"/>
              </w:rPr>
              <w:t>(State or other jurisdiction</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(Commission File</w:t>
            </w:r>
          </w:p>
        </w:tc>
        <w:tc>
          <w:tcPr>
            <w:tcW w:w="3380" w:type="dxa"/>
            <w:vAlign w:val="bottom"/>
          </w:tcPr>
          <w:p>
            <w:pPr>
              <w:ind w:left="1120"/>
              <w:spacing w:after="0"/>
              <w:rPr>
                <w:sz w:val="20"/>
                <w:szCs w:val="20"/>
                <w:color w:val="auto"/>
              </w:rPr>
            </w:pPr>
            <w:r>
              <w:rPr>
                <w:rFonts w:ascii="Arial" w:cs="Arial" w:eastAsia="Arial" w:hAnsi="Arial"/>
                <w:sz w:val="18"/>
                <w:szCs w:val="18"/>
                <w:color w:val="auto"/>
              </w:rPr>
              <w:t>(IRS Employer</w:t>
            </w:r>
          </w:p>
        </w:tc>
      </w:tr>
      <w:tr>
        <w:trPr>
          <w:trHeight w:val="230"/>
        </w:trPr>
        <w:tc>
          <w:tcPr>
            <w:tcW w:w="3040" w:type="dxa"/>
            <w:vAlign w:val="bottom"/>
          </w:tcPr>
          <w:p>
            <w:pPr>
              <w:jc w:val="center"/>
              <w:ind w:left="290"/>
              <w:spacing w:after="0"/>
              <w:rPr>
                <w:sz w:val="20"/>
                <w:szCs w:val="20"/>
                <w:color w:val="auto"/>
              </w:rPr>
            </w:pPr>
            <w:r>
              <w:rPr>
                <w:rFonts w:ascii="Arial" w:cs="Arial" w:eastAsia="Arial" w:hAnsi="Arial"/>
                <w:sz w:val="18"/>
                <w:szCs w:val="18"/>
                <w:color w:val="auto"/>
                <w:w w:val="93"/>
              </w:rPr>
              <w:t>of incorporation)</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8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Number)</w:t>
            </w:r>
          </w:p>
        </w:tc>
        <w:tc>
          <w:tcPr>
            <w:tcW w:w="33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91"/>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770 Cochituate Road, Framingham, MA 01701</w:t>
            </w:r>
          </w:p>
        </w:tc>
        <w:tc>
          <w:tcPr>
            <w:tcW w:w="3380" w:type="dxa"/>
            <w:vAlign w:val="bottom"/>
          </w:tcPr>
          <w:p>
            <w:pPr>
              <w:spacing w:after="0"/>
              <w:rPr>
                <w:sz w:val="24"/>
                <w:szCs w:val="24"/>
                <w:color w:val="auto"/>
              </w:rPr>
            </w:pPr>
          </w:p>
        </w:tc>
      </w:tr>
      <w:tr>
        <w:trPr>
          <w:trHeight w:val="230"/>
        </w:trPr>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338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430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(508) 390-1000</w:t>
            </w: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38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3380" w:type="dxa"/>
            <w:vAlign w:val="bottom"/>
          </w:tcPr>
          <w:p>
            <w:pPr>
              <w:spacing w:after="0"/>
              <w:rPr>
                <w:sz w:val="24"/>
                <w:szCs w:val="24"/>
                <w:color w:val="auto"/>
              </w:rPr>
            </w:pPr>
          </w:p>
        </w:tc>
      </w:tr>
      <w:tr>
        <w:trPr>
          <w:trHeight w:val="230"/>
        </w:trPr>
        <w:tc>
          <w:tcPr>
            <w:tcW w:w="3040" w:type="dxa"/>
            <w:vAlign w:val="bottom"/>
          </w:tcPr>
          <w:p>
            <w:pPr>
              <w:spacing w:after="0"/>
              <w:rPr>
                <w:sz w:val="20"/>
                <w:szCs w:val="20"/>
                <w:color w:val="auto"/>
              </w:rPr>
            </w:pPr>
          </w:p>
        </w:tc>
        <w:tc>
          <w:tcPr>
            <w:tcW w:w="4800" w:type="dxa"/>
            <w:vAlign w:val="bottom"/>
            <w:gridSpan w:val="4"/>
          </w:tcPr>
          <w:p>
            <w:pPr>
              <w:jc w:val="center"/>
              <w:ind w:left="29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380" w:type="dxa"/>
            <w:vAlign w:val="bottom"/>
          </w:tcPr>
          <w:p>
            <w:pPr>
              <w:spacing w:after="0"/>
              <w:rPr>
                <w:sz w:val="20"/>
                <w:szCs w:val="20"/>
                <w:color w:val="auto"/>
              </w:rPr>
            </w:pPr>
          </w:p>
        </w:tc>
      </w:tr>
    </w:tbl>
    <w:p>
      <w:pPr>
        <w:spacing w:after="0" w:line="229"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60" w:firstLine="26"/>
        <w:spacing w:after="0" w:line="368"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37"/>
        </w:trPr>
        <w:tc>
          <w:tcPr>
            <w:tcW w:w="4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TJX</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 w:lineRule="exact"/>
        <w:rPr>
          <w:sz w:val="24"/>
          <w:szCs w:val="24"/>
          <w:color w:val="auto"/>
        </w:rPr>
      </w:pPr>
    </w:p>
    <w:p>
      <w:pPr>
        <w:ind w:left="900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166"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2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annual meeting of shareholders of The TJX Companies, Inc. (the “Company”) was held on June 9, 2020. The final voting results of the annual meeting are as follows:</w:t>
      </w:r>
    </w:p>
    <w:p>
      <w:pPr>
        <w:spacing w:after="0" w:line="193" w:lineRule="exact"/>
        <w:rPr>
          <w:sz w:val="20"/>
          <w:szCs w:val="20"/>
          <w:color w:val="auto"/>
        </w:rPr>
      </w:pPr>
    </w:p>
    <w:p>
      <w:pPr>
        <w:ind w:left="340" w:right="240"/>
        <w:spacing w:after="0" w:line="282" w:lineRule="auto"/>
        <w:rPr>
          <w:sz w:val="20"/>
          <w:szCs w:val="20"/>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Each nominee for director was elected, each to serve until the next annual meeting of shareholders and until his or her successor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qualified.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1860" w:type="dxa"/>
            <w:vAlign w:val="bottom"/>
          </w:tcPr>
          <w:p>
            <w:pPr>
              <w:jc w:val="right"/>
              <w:ind w:right="690"/>
              <w:spacing w:after="0"/>
              <w:rPr>
                <w:sz w:val="20"/>
                <w:szCs w:val="20"/>
                <w:color w:val="auto"/>
              </w:rPr>
            </w:pPr>
            <w:r>
              <w:rPr>
                <w:rFonts w:ascii="Arial" w:cs="Arial" w:eastAsia="Arial" w:hAnsi="Arial"/>
                <w:sz w:val="18"/>
                <w:szCs w:val="18"/>
                <w:b w:val="1"/>
                <w:bCs w:val="1"/>
                <w:color w:val="auto"/>
              </w:rPr>
              <w:t>For</w:t>
            </w:r>
          </w:p>
        </w:tc>
        <w:tc>
          <w:tcPr>
            <w:tcW w:w="1800" w:type="dxa"/>
            <w:vAlign w:val="bottom"/>
          </w:tcPr>
          <w:p>
            <w:pPr>
              <w:jc w:val="right"/>
              <w:ind w:right="570"/>
              <w:spacing w:after="0"/>
              <w:rPr>
                <w:sz w:val="20"/>
                <w:szCs w:val="20"/>
                <w:color w:val="auto"/>
              </w:rPr>
            </w:pPr>
            <w:r>
              <w:rPr>
                <w:rFonts w:ascii="Arial" w:cs="Arial" w:eastAsia="Arial" w:hAnsi="Arial"/>
                <w:sz w:val="18"/>
                <w:szCs w:val="18"/>
                <w:b w:val="1"/>
                <w:bCs w:val="1"/>
                <w:color w:val="auto"/>
              </w:rPr>
              <w:t>Against</w:t>
            </w:r>
          </w:p>
        </w:tc>
        <w:tc>
          <w:tcPr>
            <w:tcW w:w="1800" w:type="dxa"/>
            <w:vAlign w:val="bottom"/>
          </w:tcPr>
          <w:p>
            <w:pPr>
              <w:jc w:val="right"/>
              <w:ind w:right="350"/>
              <w:spacing w:after="0"/>
              <w:rPr>
                <w:sz w:val="20"/>
                <w:szCs w:val="20"/>
                <w:color w:val="auto"/>
              </w:rPr>
            </w:pPr>
            <w:r>
              <w:rPr>
                <w:rFonts w:ascii="Arial" w:cs="Arial" w:eastAsia="Arial" w:hAnsi="Arial"/>
                <w:sz w:val="18"/>
                <w:szCs w:val="18"/>
                <w:b w:val="1"/>
                <w:bCs w:val="1"/>
                <w:color w:val="auto"/>
              </w:rPr>
              <w:t>Abstaining</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Zein Abdalla</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983,428,552</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9,946,552</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1,159,924</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Alan M. Bennett</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934,764,011</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58,606,916</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1,164,101</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Rosemary T. Berkery</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975,706,455</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17,709,284</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1,119,289</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David T. Ching</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942,535,284</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50,855,610</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1,144,134</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Ernie Herrman</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975,459,418</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17,946,348</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1,129,262</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Michael F. Hines</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939,720,071</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53,649,646</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1,165,311</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Amy B. Lane</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946,794,240</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46,541,860</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1,198,928</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Carol Meyrowitz</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957,526,566</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35,373,850</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1,634,612</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Jackwyn L. Nemerov</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975,227,204</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18,197,367</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1,110,457</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John F. O’Brien</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950,476,107</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42,909,765</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1,149,156</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Willow B. Shire</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913,223,852</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80,193,765</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1,117,411</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64,180,317</w:t>
            </w:r>
          </w:p>
        </w:tc>
      </w:tr>
    </w:tbl>
    <w:p>
      <w:pPr>
        <w:spacing w:after="0" w:line="200" w:lineRule="exact"/>
        <w:rPr>
          <w:sz w:val="20"/>
          <w:szCs w:val="20"/>
          <w:color w:val="auto"/>
        </w:rPr>
      </w:pPr>
    </w:p>
    <w:p>
      <w:pPr>
        <w:spacing w:after="0" w:line="322" w:lineRule="exact"/>
        <w:rPr>
          <w:sz w:val="20"/>
          <w:szCs w:val="20"/>
          <w:color w:val="auto"/>
        </w:rPr>
      </w:pPr>
    </w:p>
    <w:p>
      <w:pPr>
        <w:ind w:left="340" w:right="280"/>
        <w:spacing w:after="0" w:line="281" w:lineRule="auto"/>
        <w:rPr>
          <w:sz w:val="20"/>
          <w:szCs w:val="20"/>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The appointment of PricewaterhouseCoopers LLP as the Company’s independent registered public accounting firm for fiscal 2021 was</w:t>
      </w:r>
      <w:r>
        <w:rPr>
          <w:rFonts w:ascii="Arial" w:cs="Arial" w:eastAsia="Arial" w:hAnsi="Arial"/>
          <w:sz w:val="18"/>
          <w:szCs w:val="18"/>
          <w:b w:val="1"/>
          <w:bCs w:val="1"/>
          <w:color w:val="auto"/>
        </w:rPr>
        <w:t xml:space="preserve"> </w:t>
      </w:r>
      <w:r>
        <w:rPr>
          <w:rFonts w:ascii="Arial" w:cs="Arial" w:eastAsia="Arial" w:hAnsi="Arial"/>
          <w:sz w:val="18"/>
          <w:szCs w:val="18"/>
          <w:color w:val="auto"/>
        </w:rPr>
        <w:t>ratified.</w:t>
      </w:r>
    </w:p>
    <w:p>
      <w:pPr>
        <w:sectPr>
          <w:pgSz w:w="11900" w:h="16838" w:orient="portrait"/>
          <w:cols w:equalWidth="0" w:num="1">
            <w:col w:w="11240"/>
          </w:cols>
          <w:pgMar w:left="320" w:top="1269" w:right="339" w:bottom="1440" w:gutter="0" w:footer="0" w:header="0"/>
        </w:sectPr>
      </w:pPr>
    </w:p>
    <w:p>
      <w:pPr>
        <w:spacing w:after="0" w:line="1"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Abstaining</w:t>
      </w:r>
    </w:p>
    <w:p>
      <w:pPr>
        <w:spacing w:after="0" w:line="90" w:lineRule="exact"/>
        <w:rPr>
          <w:sz w:val="20"/>
          <w:szCs w:val="20"/>
          <w:color w:val="auto"/>
        </w:rPr>
      </w:pPr>
    </w:p>
    <w:p>
      <w:pPr>
        <w:sectPr>
          <w:pgSz w:w="11900" w:h="16838" w:orient="portrait"/>
          <w:cols w:equalWidth="0" w:num="3">
            <w:col w:w="2160" w:space="720"/>
            <w:col w:w="1440" w:space="720"/>
            <w:col w:w="6200"/>
          </w:cols>
          <w:pgMar w:left="320" w:top="1269" w:right="3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996,593,846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61,207,718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913,781</w:t>
      </w:r>
    </w:p>
    <w:p>
      <w:pPr>
        <w:spacing w:after="0" w:line="200" w:lineRule="exact"/>
        <w:rPr>
          <w:sz w:val="20"/>
          <w:szCs w:val="20"/>
          <w:color w:val="auto"/>
        </w:rPr>
      </w:pPr>
    </w:p>
    <w:p>
      <w:pPr>
        <w:sectPr>
          <w:pgSz w:w="11900" w:h="16838" w:orient="portrait"/>
          <w:cols w:equalWidth="0" w:num="3">
            <w:col w:w="2060" w:space="720"/>
            <w:col w:w="1700" w:space="720"/>
            <w:col w:w="6040"/>
          </w:cols>
          <w:pgMar w:left="320" w:top="1269" w:right="339" w:bottom="1440" w:gutter="0" w:footer="0" w:header="0"/>
          <w:type w:val="continuous"/>
        </w:sectPr>
      </w:pPr>
    </w:p>
    <w:p>
      <w:pPr>
        <w:spacing w:after="0" w:line="368" w:lineRule="exact"/>
        <w:rPr>
          <w:sz w:val="20"/>
          <w:szCs w:val="20"/>
          <w:color w:val="auto"/>
        </w:rPr>
      </w:pPr>
    </w:p>
    <w:p>
      <w:pPr>
        <w:ind w:left="340" w:right="80"/>
        <w:spacing w:after="0" w:line="266" w:lineRule="auto"/>
        <w:rPr>
          <w:sz w:val="20"/>
          <w:szCs w:val="20"/>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On an advisory basis, the compensation paid to the Company’s named executive officers, as disclosed pursuant to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rules of the Securities and Exchange Commission, including the Compensation Discussion and Analysis, compensation tables and narrative discussion (the say-on-pay vote) was approved.</w:t>
      </w:r>
    </w:p>
    <w:p>
      <w:pPr>
        <w:sectPr>
          <w:pgSz w:w="11900" w:h="16838" w:orient="portrait"/>
          <w:cols w:equalWidth="0" w:num="1">
            <w:col w:w="11240"/>
          </w:cols>
          <w:pgMar w:left="320" w:top="1269" w:right="339" w:bottom="1440" w:gutter="0" w:footer="0" w:header="0"/>
          <w:type w:val="continuous"/>
        </w:sectPr>
      </w:pPr>
    </w:p>
    <w:p>
      <w:pPr>
        <w:spacing w:after="0" w:line="14"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Against</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Arial" w:cs="Arial" w:eastAsia="Arial" w:hAnsi="Arial"/>
          <w:sz w:val="16"/>
          <w:szCs w:val="16"/>
          <w:b w:val="1"/>
          <w:bCs w:val="1"/>
          <w:color w:val="auto"/>
        </w:rPr>
        <w:t>Abstaining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Broker Non-Votes</w:t>
      </w:r>
    </w:p>
    <w:p>
      <w:pPr>
        <w:spacing w:after="0" w:line="90" w:lineRule="exact"/>
        <w:rPr>
          <w:sz w:val="20"/>
          <w:szCs w:val="20"/>
          <w:color w:val="auto"/>
        </w:rPr>
      </w:pPr>
    </w:p>
    <w:p>
      <w:pPr>
        <w:sectPr>
          <w:pgSz w:w="11900" w:h="16838" w:orient="portrait"/>
          <w:cols w:equalWidth="0" w:num="4">
            <w:col w:w="2160" w:space="720"/>
            <w:col w:w="1460" w:space="720"/>
            <w:col w:w="1560" w:space="720"/>
            <w:col w:w="3900"/>
          </w:cols>
          <w:pgMar w:left="320" w:top="1269" w:right="3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920,243,189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72,800,154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1,491,685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64,180,317</w:t>
      </w:r>
    </w:p>
    <w:p>
      <w:pPr>
        <w:spacing w:after="0" w:line="200" w:lineRule="exact"/>
        <w:rPr>
          <w:sz w:val="20"/>
          <w:szCs w:val="20"/>
          <w:color w:val="auto"/>
        </w:rPr>
      </w:pPr>
    </w:p>
    <w:p>
      <w:pPr>
        <w:sectPr>
          <w:pgSz w:w="11900" w:h="16838" w:orient="portrait"/>
          <w:cols w:equalWidth="0" w:num="4">
            <w:col w:w="2080" w:space="720"/>
            <w:col w:w="1620" w:space="720"/>
            <w:col w:w="1780" w:space="720"/>
            <w:col w:w="3600"/>
          </w:cols>
          <w:pgMar w:left="320" w:top="1269"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Proposal 4</w:t>
      </w:r>
      <w:r>
        <w:rPr>
          <w:rFonts w:ascii="Arial" w:cs="Arial" w:eastAsia="Arial" w:hAnsi="Arial"/>
          <w:sz w:val="16"/>
          <w:szCs w:val="16"/>
          <w:color w:val="auto"/>
        </w:rPr>
        <w:t>: A shareholder proposal for a report on reduction in chemical footprint was not approved.</w:t>
      </w:r>
    </w:p>
    <w:p>
      <w:pPr>
        <w:sectPr>
          <w:pgSz w:w="11900" w:h="16838" w:orient="portrait"/>
          <w:cols w:equalWidth="0" w:num="1">
            <w:col w:w="11240"/>
          </w:cols>
          <w:pgMar w:left="320" w:top="1269" w:right="339" w:bottom="1440" w:gutter="0" w:footer="0" w:header="0"/>
          <w:type w:val="continuous"/>
        </w:sectPr>
      </w:pPr>
    </w:p>
    <w:p>
      <w:pPr>
        <w:spacing w:after="0" w:line="8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Against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Abstaining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Broker Non-Votes</w:t>
      </w:r>
    </w:p>
    <w:p>
      <w:pPr>
        <w:spacing w:after="0" w:line="90" w:lineRule="exact"/>
        <w:rPr>
          <w:sz w:val="20"/>
          <w:szCs w:val="20"/>
          <w:color w:val="auto"/>
        </w:rPr>
      </w:pPr>
    </w:p>
    <w:p>
      <w:pPr>
        <w:sectPr>
          <w:pgSz w:w="11900" w:h="16838" w:orient="portrait"/>
          <w:cols w:equalWidth="0" w:num="4">
            <w:col w:w="2160" w:space="720"/>
            <w:col w:w="1460" w:space="720"/>
            <w:col w:w="1560" w:space="720"/>
            <w:col w:w="3900"/>
          </w:cols>
          <w:pgMar w:left="320" w:top="1269" w:right="3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436,793,628</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Arial" w:cs="Arial" w:eastAsia="Arial" w:hAnsi="Arial"/>
          <w:sz w:val="16"/>
          <w:szCs w:val="16"/>
          <w:color w:val="auto"/>
        </w:rPr>
        <w:t>543,908,847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13,832,553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64,180,317</w:t>
      </w:r>
    </w:p>
    <w:p>
      <w:pPr>
        <w:spacing w:after="0" w:line="200" w:lineRule="exact"/>
        <w:rPr>
          <w:sz w:val="20"/>
          <w:szCs w:val="20"/>
          <w:color w:val="auto"/>
        </w:rPr>
      </w:pPr>
    </w:p>
    <w:p>
      <w:pPr>
        <w:sectPr>
          <w:pgSz w:w="11900" w:h="16838" w:orient="portrait"/>
          <w:cols w:equalWidth="0" w:num="4">
            <w:col w:w="2020" w:space="720"/>
            <w:col w:w="1640" w:space="720"/>
            <w:col w:w="1820" w:space="720"/>
            <w:col w:w="3600"/>
          </w:cols>
          <w:pgMar w:left="320" w:top="1269"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5</w:t>
      </w:r>
      <w:r>
        <w:rPr>
          <w:rFonts w:ascii="Arial" w:cs="Arial" w:eastAsia="Arial" w:hAnsi="Arial"/>
          <w:sz w:val="18"/>
          <w:szCs w:val="18"/>
          <w:color w:val="auto"/>
        </w:rPr>
        <w:t>: A shareholder proposal for a report on animal welfare was not approved.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22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Against</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Abstaining</w:t>
            </w:r>
          </w:p>
        </w:tc>
        <w:tc>
          <w:tcPr>
            <w:tcW w:w="46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Broker Non-Votes</w:t>
            </w:r>
          </w:p>
        </w:tc>
      </w:tr>
      <w:tr>
        <w:trPr>
          <w:trHeight w:val="270"/>
        </w:trPr>
        <w:tc>
          <w:tcPr>
            <w:tcW w:w="2080" w:type="dxa"/>
            <w:vAlign w:val="bottom"/>
          </w:tcPr>
          <w:p>
            <w:pPr>
              <w:jc w:val="right"/>
              <w:ind w:right="590"/>
              <w:spacing w:after="0"/>
              <w:rPr>
                <w:sz w:val="20"/>
                <w:szCs w:val="20"/>
                <w:color w:val="auto"/>
              </w:rPr>
            </w:pPr>
            <w:r>
              <w:rPr>
                <w:rFonts w:ascii="Arial" w:cs="Arial" w:eastAsia="Arial" w:hAnsi="Arial"/>
                <w:sz w:val="18"/>
                <w:szCs w:val="18"/>
                <w:color w:val="auto"/>
              </w:rPr>
              <w:t>74,306,992</w:t>
            </w:r>
          </w:p>
        </w:tc>
        <w:tc>
          <w:tcPr>
            <w:tcW w:w="2280" w:type="dxa"/>
            <w:vAlign w:val="bottom"/>
          </w:tcPr>
          <w:p>
            <w:pPr>
              <w:jc w:val="right"/>
              <w:ind w:right="630"/>
              <w:spacing w:after="0"/>
              <w:rPr>
                <w:sz w:val="20"/>
                <w:szCs w:val="20"/>
                <w:color w:val="auto"/>
              </w:rPr>
            </w:pPr>
            <w:r>
              <w:rPr>
                <w:rFonts w:ascii="Arial" w:cs="Arial" w:eastAsia="Arial" w:hAnsi="Arial"/>
                <w:sz w:val="18"/>
                <w:szCs w:val="18"/>
                <w:color w:val="auto"/>
              </w:rPr>
              <w:t>904,523,829</w:t>
            </w:r>
          </w:p>
        </w:tc>
        <w:tc>
          <w:tcPr>
            <w:tcW w:w="2260" w:type="dxa"/>
            <w:vAlign w:val="bottom"/>
          </w:tcPr>
          <w:p>
            <w:pPr>
              <w:jc w:val="right"/>
              <w:ind w:right="630"/>
              <w:spacing w:after="0"/>
              <w:rPr>
                <w:sz w:val="20"/>
                <w:szCs w:val="20"/>
                <w:color w:val="auto"/>
              </w:rPr>
            </w:pPr>
            <w:r>
              <w:rPr>
                <w:rFonts w:ascii="Arial" w:cs="Arial" w:eastAsia="Arial" w:hAnsi="Arial"/>
                <w:sz w:val="18"/>
                <w:szCs w:val="18"/>
                <w:color w:val="auto"/>
              </w:rPr>
              <w:t>15,704,207</w:t>
            </w:r>
          </w:p>
        </w:tc>
        <w:tc>
          <w:tcPr>
            <w:tcW w:w="4620" w:type="dxa"/>
            <w:vAlign w:val="bottom"/>
          </w:tcPr>
          <w:p>
            <w:pPr>
              <w:jc w:val="right"/>
              <w:ind w:right="2690"/>
              <w:spacing w:after="0"/>
              <w:rPr>
                <w:sz w:val="20"/>
                <w:szCs w:val="20"/>
                <w:color w:val="auto"/>
              </w:rPr>
            </w:pPr>
            <w:r>
              <w:rPr>
                <w:rFonts w:ascii="Arial" w:cs="Arial" w:eastAsia="Arial" w:hAnsi="Arial"/>
                <w:sz w:val="18"/>
                <w:szCs w:val="18"/>
                <w:color w:val="auto"/>
              </w:rPr>
              <w:t>64,180,317</w:t>
            </w:r>
          </w:p>
        </w:tc>
      </w:tr>
      <w:tr>
        <w:trPr>
          <w:trHeight w:val="2126"/>
        </w:trPr>
        <w:tc>
          <w:tcPr>
            <w:tcW w:w="20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2" w:name="page3"/>
    <w:bookmarkEnd w:id="2"/>
    <w:p>
      <w:pPr>
        <w:ind w:left="340"/>
        <w:spacing w:after="0"/>
        <w:rPr>
          <w:sz w:val="20"/>
          <w:szCs w:val="20"/>
          <w:color w:val="auto"/>
        </w:rPr>
      </w:pPr>
      <w:r>
        <w:rPr>
          <w:rFonts w:ascii="Arial" w:cs="Arial" w:eastAsia="Arial" w:hAnsi="Arial"/>
          <w:sz w:val="16"/>
          <w:szCs w:val="16"/>
          <w:b w:val="1"/>
          <w:bCs w:val="1"/>
          <w:color w:val="auto"/>
        </w:rPr>
        <w:t>Proposal 6</w:t>
      </w:r>
      <w:r>
        <w:rPr>
          <w:rFonts w:ascii="Arial" w:cs="Arial" w:eastAsia="Arial" w:hAnsi="Arial"/>
          <w:sz w:val="16"/>
          <w:szCs w:val="16"/>
          <w:color w:val="auto"/>
        </w:rPr>
        <w:t>: A shareholder proposal for setting target amounts for CEO compensation was not approved.</w:t>
      </w:r>
    </w:p>
    <w:p>
      <w:pPr>
        <w:sectPr>
          <w:pgSz w:w="11900" w:h="16838" w:orient="portrait"/>
          <w:cols w:equalWidth="0" w:num="1">
            <w:col w:w="11220"/>
          </w:cols>
          <w:pgMar w:left="320" w:top="1026" w:right="359" w:bottom="1440" w:gutter="0" w:footer="0" w:header="0"/>
        </w:sectPr>
      </w:pPr>
    </w:p>
    <w:p>
      <w:pPr>
        <w:spacing w:after="0" w:line="8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Against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Abstaining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Broker Non-Votes</w:t>
      </w:r>
    </w:p>
    <w:p>
      <w:pPr>
        <w:spacing w:after="0" w:line="90" w:lineRule="exact"/>
        <w:rPr>
          <w:sz w:val="20"/>
          <w:szCs w:val="20"/>
          <w:color w:val="auto"/>
        </w:rPr>
      </w:pPr>
    </w:p>
    <w:p>
      <w:pPr>
        <w:sectPr>
          <w:pgSz w:w="11900" w:h="16838" w:orient="portrait"/>
          <w:cols w:equalWidth="0" w:num="4">
            <w:col w:w="2160" w:space="720"/>
            <w:col w:w="1460" w:space="720"/>
            <w:col w:w="1560" w:space="720"/>
            <w:col w:w="3880"/>
          </w:cols>
          <w:pgMar w:left="320" w:top="1026" w:right="35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92,178,107</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6"/>
          <w:szCs w:val="16"/>
          <w:color w:val="auto"/>
        </w:rPr>
        <w:t>892,839,642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9,517,279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64,180,317</w:t>
      </w:r>
    </w:p>
    <w:p>
      <w:pPr>
        <w:spacing w:after="0" w:line="200" w:lineRule="exact"/>
        <w:rPr>
          <w:sz w:val="20"/>
          <w:szCs w:val="20"/>
          <w:color w:val="auto"/>
        </w:rPr>
      </w:pPr>
    </w:p>
    <w:p>
      <w:pPr>
        <w:sectPr>
          <w:pgSz w:w="11900" w:h="16838" w:orient="portrait"/>
          <w:cols w:equalWidth="0" w:num="4">
            <w:col w:w="2020" w:space="720"/>
            <w:col w:w="1680" w:space="720"/>
            <w:col w:w="1780" w:space="720"/>
            <w:col w:w="3580"/>
          </w:cols>
          <w:pgMar w:left="320" w:top="1026" w:right="3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Proposal 7</w:t>
      </w:r>
      <w:r>
        <w:rPr>
          <w:rFonts w:ascii="Arial" w:cs="Arial" w:eastAsia="Arial" w:hAnsi="Arial"/>
          <w:sz w:val="16"/>
          <w:szCs w:val="16"/>
          <w:color w:val="auto"/>
        </w:rPr>
        <w:t>: A shareholder proposal for disclosure regarding executive share retention was not approved.</w:t>
      </w:r>
    </w:p>
    <w:p>
      <w:pPr>
        <w:sectPr>
          <w:pgSz w:w="11900" w:h="16838" w:orient="portrait"/>
          <w:cols w:equalWidth="0" w:num="1">
            <w:col w:w="11220"/>
          </w:cols>
          <w:pgMar w:left="320" w:top="1026" w:right="359" w:bottom="1440" w:gutter="0" w:footer="0" w:header="0"/>
          <w:type w:val="continuous"/>
        </w:sectPr>
      </w:pPr>
    </w:p>
    <w:p>
      <w:pPr>
        <w:spacing w:after="0" w:line="8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Against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Abstaining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Broker Non-Votes</w:t>
      </w:r>
    </w:p>
    <w:p>
      <w:pPr>
        <w:spacing w:after="0" w:line="90" w:lineRule="exact"/>
        <w:rPr>
          <w:sz w:val="20"/>
          <w:szCs w:val="20"/>
          <w:color w:val="auto"/>
        </w:rPr>
      </w:pPr>
    </w:p>
    <w:p>
      <w:pPr>
        <w:sectPr>
          <w:pgSz w:w="11900" w:h="16838" w:orient="portrait"/>
          <w:cols w:equalWidth="0" w:num="4">
            <w:col w:w="2160" w:space="720"/>
            <w:col w:w="1460" w:space="720"/>
            <w:col w:w="1560" w:space="720"/>
            <w:col w:w="3880"/>
          </w:cols>
          <w:pgMar w:left="320" w:top="1026" w:right="35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288,110,923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704,364,371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2,059,734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64,180,317</w:t>
      </w:r>
    </w:p>
    <w:p>
      <w:pPr>
        <w:spacing w:after="0" w:line="200" w:lineRule="exact"/>
        <w:rPr>
          <w:sz w:val="20"/>
          <w:szCs w:val="20"/>
          <w:color w:val="auto"/>
        </w:rPr>
      </w:pPr>
    </w:p>
    <w:p>
      <w:pPr>
        <w:sectPr>
          <w:pgSz w:w="11900" w:h="16838" w:orient="portrait"/>
          <w:cols w:equalWidth="0" w:num="4">
            <w:col w:w="2020" w:space="720"/>
            <w:col w:w="1680" w:space="720"/>
            <w:col w:w="1780" w:space="720"/>
            <w:col w:w="3580"/>
          </w:cols>
          <w:pgMar w:left="320" w:top="1026" w:right="35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previously disclosed, during the first quarter of fiscal 2021 the Executive Compensation Committee (“ECC”) of the Board of Directors of The TJX Companies, Inc. (the “Company”) determined that it was appropriate to postpone certain annual compensation decisions in light of the COVID-19 pandemic. On June 9, 2020, the ECC undertook certain compensation actions that had been postponed and approved incentive compensation opportunities for executive officers of the Company, including annual incentive opportunities for fiscal 2021 with performance criteria based on the Company's key business priorities during the COVID-19 pandemic and subject to a reduced maximum payout limit, long-term cash incentive opportunities under the Company’s Long Range Performance Incentive Plan that will be based on the achievement of performance goals to be established for the fiscal 2022-2023 period, and long-term equity incentives in the form of service-based restricted stock units under the Company’s Stock Incentive Plan. The mix of new long-term incentives for fiscal 2021 does not include performance share units. For executive officers of the Company, the total target value of fiscal 2021 annual and long-term incentive opportunities has not increased as compared to fiscal 2020. In addition, base salaries have been reduced on a temporary basis as previously disclosed. The ECC has taken into account the uncertainty caused by the COVID-19 pandemic in determining the design and mix of annual and long-term compensation opportunities for fiscal 2021, and intends to return to a compensation program structure with greater emphasis on long-term</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performance incentives, including performance share units, when the environment normalizes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TJX COMPANIES, INC.</w:t>
      </w:r>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Alicia C.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-10160</wp:posOffset>
            </wp:positionV>
            <wp:extent cx="888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836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Alicia C. Kelly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Secretary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2020</w:t>
      </w: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2020-06-11T13:59:36Z</dcterms:created>
  <dcterms:modified xsi:type="dcterms:W3CDTF">2020-06-11T13:59:36Z</dcterms:modified>
</cp:coreProperties>
</file>