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1060" w:hanging="451"/>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1020" w:hanging="391"/>
        <w:spacing w:after="0"/>
        <w:tabs>
          <w:tab w:leader="none" w:pos="1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1-4908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140" w:type="dxa"/>
        <w:tblCellMar>
          <w:top w:w="0" w:type="dxa"/>
          <w:left w:w="0" w:type="dxa"/>
          <w:bottom w:w="0" w:type="dxa"/>
          <w:right w:w="0" w:type="dxa"/>
        </w:tblCellMar>
      </w:tblPr>
      <w:tr>
        <w:trPr>
          <w:trHeight w:val="227"/>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04-2207613</w:t>
            </w:r>
          </w:p>
        </w:tc>
      </w:tr>
      <w:tr>
        <w:trPr>
          <w:trHeight w:val="190"/>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42"/>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770 Cochituate Road Framingham, Massachusetts</w:t>
            </w:r>
          </w:p>
        </w:tc>
        <w:tc>
          <w:tcPr>
            <w:tcW w:w="350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01701</w:t>
            </w:r>
          </w:p>
        </w:tc>
      </w:tr>
      <w:tr>
        <w:trPr>
          <w:trHeight w:val="190"/>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(508) 390-1000</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TJX</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7" w:lineRule="exact"/>
        <w:rPr>
          <w:sz w:val="24"/>
          <w:szCs w:val="24"/>
          <w:color w:val="auto"/>
        </w:rPr>
      </w:pPr>
    </w:p>
    <w:p>
      <w:pPr>
        <w:ind w:right="1600"/>
        <w:spacing w:after="0" w:line="28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registrant on August 2, 2025, the last business day of the registrant’s most recently completed second fiscal quarter, was $140 billion based on the closing sale price as reported on the New York Stock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1,106,810,654 shares of the registrant’s common stock, $1.00 par value, outstanding as of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Proxy Statement to be filed with the Securities and Exchange Commission in connection with the Annual Meeting of Shareholders to be held on June 9, 2026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Form 10-K and our 2025 Annual Report to Shareholders contain “forward-looking statements.” These forward-looking statements generally can be identified by the use of words such as “aim,” “anticipate,” “approximately,” “believe,” “continue,” “could,” “estimate,” “expect,” “forecast,” “goal,” “intend,” “may,” “plan,” “potential,” “project,” “seek,” “should,” “strive,” “target,” “will,” and “would,” or any variations of these words or other words with similar meanings. These forward-looking statements address various matters that we intend, expect or believe may occur in the future, including, among others, some of the statements in this Form 10-K under Item 1, “Business,” Item 1A, “Risk Factors,” Item 7, “Management’s Discussion and Analysis of Financial Condition and Results of Operations,” and Item 8, “Financial Statements and Supplementary Data,” relating to, among others, the Company's anticipated operating and financial performance, business plans and prospects, investments, the availability of merchandise, execution of our business model, payment of dividends, plans for future stock repurchases, future use and availability of cash and cash equivalents, expected capital expenditures, trends in demand for our products, the impact of foreign exchange rates, expectations with respect to future store openings, and the impact of fuel resources and supply chain on our inventory flow and financial performance and plans with respect to long-term indebtedness. Each forward-looking statement contained in this Form 10-K and our Annual Report to Shareholders is inherently subject to risks, uncertainties and potentially inaccurate assumptions that could cause actual results to differ materially from those expressed or implied by such statement.</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quarterly and annual operating results, financial performance, business plan prospects, investments and market expectations; inventory or asset loss; cash flow and plans with respect to long-term indebtedness;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this Form 10-K, as well as the other information we file with the U.S. Securities and Exchange Commission (“SEC”).</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caution investors, potential investors and others not to place considerable reliance on the forward-looking statements contained in this Form 10-K and our 2025 Annual Report to Shareholders. You are encouraged to read our filings with the SEC and any further disclosures we may make in our future reports to the SEC, available at www.sec.gov, on our website, or otherwise, for a discussion of these and other risks and uncertainties.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forward-looking statements in this Form 10-K and our 2025 Annual Report to Shareholders speak only as of the date of this Form 10-K, and we undertake no obligation to update or revise any of these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Business</w:t>
            </w:r>
          </w:p>
        </w:tc>
        <w:tc>
          <w:tcPr>
            <w:tcW w:w="9500" w:type="dxa"/>
            <w:vAlign w:val="bottom"/>
            <w:gridSpan w:val="7"/>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1B.</w:t>
            </w:r>
          </w:p>
        </w:tc>
        <w:tc>
          <w:tcPr>
            <w:tcW w:w="20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9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9"/>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1C.</w:t>
            </w:r>
          </w:p>
        </w:tc>
        <w:tc>
          <w:tcPr>
            <w:tcW w:w="100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9"/>
        </w:trPr>
        <w:tc>
          <w:tcPr>
            <w:tcW w:w="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2.</w:t>
            </w:r>
          </w:p>
        </w:tc>
        <w:tc>
          <w:tcPr>
            <w:tcW w:w="11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Properties</w:t>
            </w:r>
          </w:p>
        </w:tc>
        <w:tc>
          <w:tcPr>
            <w:tcW w:w="90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101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101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5. Market for the Registrant’s Common Equity, Related Stockholder Matters and Issuer Purchases of Equity Securities</w:t>
            </w:r>
          </w:p>
        </w:tc>
        <w:tc>
          <w:tcPr>
            <w:tcW w:w="18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7.</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9"/>
        </w:trPr>
        <w:tc>
          <w:tcPr>
            <w:tcW w:w="7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7A.</w:t>
            </w:r>
          </w:p>
        </w:tc>
        <w:tc>
          <w:tcPr>
            <w:tcW w:w="62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3780" w:type="dxa"/>
            <w:vAlign w:val="bottom"/>
            <w:gridSpan w:val="3"/>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8.</w:t>
            </w:r>
          </w:p>
        </w:tc>
        <w:tc>
          <w:tcPr>
            <w:tcW w:w="438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780" w:type="dxa"/>
            <w:vAlign w:val="bottom"/>
            <w:gridSpan w:val="5"/>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9.</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9A.</w:t>
            </w:r>
          </w:p>
        </w:tc>
        <w:tc>
          <w:tcPr>
            <w:tcW w:w="180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560" w:type="dxa"/>
            <w:vAlign w:val="bottom"/>
            <w:tcBorders>
              <w:top w:val="single" w:sz="8" w:color="0000FF"/>
            </w:tcBorders>
            <w:gridSpan w:val="5"/>
          </w:tcPr>
          <w:p>
            <w:pPr>
              <w:spacing w:after="0"/>
              <w:rPr>
                <w:sz w:val="18"/>
                <w:szCs w:val="18"/>
                <w:color w:val="auto"/>
              </w:rPr>
            </w:pPr>
          </w:p>
        </w:tc>
        <w:tc>
          <w:tcPr>
            <w:tcW w:w="36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9B.</w:t>
            </w:r>
          </w:p>
        </w:tc>
        <w:tc>
          <w:tcPr>
            <w:tcW w:w="100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9C.</w:t>
            </w:r>
          </w:p>
        </w:tc>
        <w:tc>
          <w:tcPr>
            <w:tcW w:w="49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1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596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10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12.</w:t>
            </w:r>
          </w:p>
        </w:tc>
        <w:tc>
          <w:tcPr>
            <w:tcW w:w="73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7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13.</w:t>
            </w:r>
          </w:p>
        </w:tc>
        <w:tc>
          <w:tcPr>
            <w:tcW w:w="54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00FF"/>
              </w:rPr>
              <w:t>ITEM 14.</w:t>
            </w:r>
          </w:p>
        </w:tc>
        <w:tc>
          <w:tcPr>
            <w:tcW w:w="10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0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20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340" w:type="dxa"/>
            <w:vAlign w:val="bottom"/>
            <w:tcBorders>
              <w:top w:val="single" w:sz="8" w:color="0000FF"/>
            </w:tcBorders>
          </w:tcPr>
          <w:p>
            <w:pPr>
              <w:spacing w:after="0"/>
              <w:rPr>
                <w:sz w:val="18"/>
                <w:szCs w:val="18"/>
                <w:color w:val="auto"/>
              </w:rPr>
            </w:pPr>
          </w:p>
        </w:tc>
        <w:tc>
          <w:tcPr>
            <w:tcW w:w="7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500"/>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b w:val="1"/>
                <w:bCs w:val="1"/>
                <w:color w:val="0000FF"/>
                <w:w w:val="96"/>
              </w:rPr>
              <w:t>SIGNATURES</w:t>
            </w:r>
          </w:p>
        </w:tc>
        <w:tc>
          <w:tcPr>
            <w:tcW w:w="974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PART I</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TJX Companies, Inc. (together with its subsidiaries, “TJX,” the “Company,” “we,” or “our”) is the leading off-price apparel and home fashions retailer in the United States and worldwide. We have over 5,200 stores and six branded e-commerce sites that offer a rapidly changing assortment of quality, fashionable, brand name and designer merchandise at prices generally 20% to 60% below full-price retailers’ (including department, specialty, and major online retailers) regular prices on comparable merchandise, every day.</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mission is to deliver great value to our customers every day. In our stores and online, we offer consumers our value proposition of brand, fashion, price and quality. Our opportunistic buying strategies and flexible business model differentiate us from traditional retailers. We offer a treasure hunt shopping experience and a rapid turn of inventories relative to traditional retailers. Our goal is to create a sense of excitement and urgency for our customers and encourage frequent customer visits. We acquire merchandise in a variety of ways to support that goal. We reach a broad range of customers across income levels with our value proposition on a wide range of items. Our strategies and operations are synergistic across our retail chains. As a result, we are able to leverage our expertise throughout our business, sharing information, best practices, initiatives and new ideas, and to develop talent across our company. Further, we can leverage the substantial buying power of our businesses with our global vendor relationships.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this report, fiscal 2026 means the 52-week fiscal year ended January 31, 2026; fiscal 2025 means the 52-week fiscal year ended February 1, 2025 and fiscal 2024 means the 53-week fiscal year ended February 3, 2024. Fiscal 2027 means the 52-week fiscal year ending January 30, 2027. Unless otherwise indicated, all store information in this Item 1 is as of January 31, 2026, and references to store square footage are to gross square feet.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Businesses</w:t>
      </w:r>
    </w:p>
    <w:p>
      <w:pPr>
        <w:spacing w:after="0" w:line="11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operate our business in four segments: Marmaxx and HomeGoods, both in the U.S., TJX Canada and TJX International, including Europe and Australia. In addition to our four segments, we operate the Sierra business. The results of Sierra are included with the Marmaxx segment.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MARMAXX</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TJ Maxx and Marshalls chains in the United States (“Marmaxx”) are collectively the largest off-price retailer in the United States with a total of 2,603 stores. We founded TJ Maxx in 1976 and acquired Marshalls in 1995. Both chains sell family apparel (including footwear), accessories (including beauty and jewelry), home fashions (including home basics, decorative accessories and giftware), and other merchandise. We primarily differentiate TJ Maxx and Marshalls through different product assortment, including an expanded assortment of jewelry and accessories and a high-end designer department called The Runway at TJ Maxx and a full line of footwear and a broader men’s offering at Marshalls, as well as varying in-store initiatives. This differentiated shopping experience at TJ Maxx and Marshalls encourages our customers to shop both chains. Marmaxx currently operates two e-commerce sites, tjmaxx.com, launched in 2013, and marshalls.com, launched in 2019.</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Sierra, acquired in 2012 and rebranded from Sierra Trading Post in 2018, is a leading off-price retailer of brand name active and outdoor apparel, footwear, and gear (including sporting goods, snow and water sport, camping, fishing) for the whole family, as well as home fashions and pet. Sierra operates 145 retail stores in the U.S. and sierra.com.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HOMEGOODS</w:t>
      </w:r>
    </w:p>
    <w:p>
      <w:pPr>
        <w:spacing w:after="0" w:line="1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HomeGoods segment operates HomeGoods and Homesense chains in the U.S. HomeGoods, introduced in 1992, is the leading off-price retailer of home fashions in the U.S. Through its 963 stores, HomeGoods offers an eclectic assortment of home fashions, including furniture, rugs, lighting, soft home, decorative accessories, tabletop and cookware, as well as expanded pet and gourmet food departments. In 2017, we launched our Homesense chain in the U.S. Our 79 Homesense stores complement HomeGoods, offering a differentiated mix and expanded departments, such as large furniture, ceiling lighting, rugs, and an entertaining marketplace.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TJX CANADA</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TJX Canada segment operates the Winners, HomeSense and Marshalls chains in Canada. Winners, acquired by TJX in 1990, operates 316 stores and is the leading off-price family apparel and home fashions retailer in Canada. HomeSense introduced the off-price home fashions concept to Canada in 2001. This chain operates 162 stores and offers an array of home decor, furniture, and seasonal home merchandise. Marshalls, launched in Canada in 2011, operates 111 stores and offers off-price family apparel, footwear, and home fashions.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TJX INTERNATIONAL</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TJX International segment operates the TK Maxx and Homesense chains in Europe and the TK Maxx chain in Australia. Launched in 1994, TK Maxx introduced off-price retail to Europe and remains Europe’s largest major brick-and-mortar off-price retailer of apparel and home fashions. With 673 stores in Europe, TK Maxx operates in the U.K., Ireland, Germany, Poland, Austria, the Netherlands, and, starting in March 2026, Spain. Through its stores and its e-commerce sites, tkmaxx.com, launched in 2009 and tkmaxx.de and tkmaxx.at, both launched in 2023, TK Maxx offers a merchandise mix similar to TJ Maxx. We brought the off-price home fashions concept to Europe, opening Homesense in the U.K. in 2008 and in Ireland in 2017. Its 74 stores offer a merchandise mix of home fashions similar to that of HomeGoods in the U.S. and HomeSense in Canada. We acquired Trade Secret in Australia in 2015 and re-branded it under the TK Maxx name during 2017. The merchandise offering at TK Maxx in Australia's 88 stores is comparable to TJ Maxx.</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Flexible Business Model</w:t>
      </w:r>
    </w:p>
    <w:p>
      <w:pPr>
        <w:spacing w:after="0" w:line="13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flexible business model, including our opportunistic buying, inventory management, logistics and flexible store layouts, is designed to deliver a compelling value proposition of fashionable, quality, brand name and designer merchandise to our customers at excellent values every day. Our buying and inventory management strategies give us flexibility to adjust our merchandise assortments more frequently than traditional retailers, and the design and operation of our stores and distribution centers support this flexibility. Our buyers have more visibility into consumer, fashion and market trends and pricing when we buy closer to need, which can help us buy better and reduce our markdown exposure. Our selling floor space is flexible, without walls between departments and largely free of permanent fixtures, so we can easily expand and contract departments to accommodate the merchandise we purchase. Our logistics and distribution operations are designed to support our global buying strategies and to facilitate quick, efficient and differentiated delivery of merchandise to our stores, with a goal of delivering the right merchandise to the right stores at the right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Opportunistic Buying</w:t>
      </w:r>
    </w:p>
    <w:p>
      <w:pPr>
        <w:spacing w:after="0" w:line="1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an off-price retailer, our buying practices, which we refer to as opportunistic buying, differentiate us from traditional retailers. Our overall global buying strategy is to acquire merchandise on an ongoing basis that will enable us to offer a desirable and rapidly changing mix of branded, designer and other quality merchandise in our stores at prices below regular prices for comparable merchandise at full-price retailers, including department, specialty, and major online retailers. We seek out and select merchandise from the broad range of opportunities in the market to achieve this end. Our buying organization, which numbers over 1,400 employees (who we refer to as Associates), has buying offices across the globe and executes this opportunistic buying strategy, buying merchandise from more than 100 countries in a variety of ways, depending on market conditions and other factors.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take advantage of opportunities to acquire merchandise at substantial discounts that regularly arise from the production and flow of inventory in the apparel and home fashions marketplace. These opportunities include, among others, closeouts from brands, manufacturers and other retailers; special production direct from brands and factories; order cancellations and manufacturer overruns. Our global buying strategies are intentionally flexible to allow us to react to frequently changing opportunities and trends in the market and to adjust how and what we source as well as when we source it. Our goal is to operate with lean inventory levels compared to conventional retailers to give us the flexibility to seek out and to take advantage of these opportunities as they arise, close to the time the merchandise is needed in our stores and online and when we have more visibility into fashion trends and price. In contrast to traditional retailers, which tend to order most of their goods far in advance of the time the product appears on the selling floor, our merchants generally remain in the marketplace for goods throughout the year, frequently looking for opportunities to buy merchandise. We buy much of our merchandise for the current or immediately upcoming selling season. We also buy some merchandise that is available in the market with the intention of storing it for sale, typically in future selling seasons. We generally make these purchases, referred to as packaway, in response to opportunities to buy merchandise that we believe has the right combination of brand, fashion, price and quality to supplement the product we expect to be available to purchase later for those future seasons.</w:t>
      </w:r>
    </w:p>
    <w:p>
      <w:pPr>
        <w:spacing w:after="0" w:line="8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also acquire some merchandise that we offer under in-house brands or brands that are licensed to us. We develop some of this merchandise ourselves, which allows us to supplement the depth of, or fill gaps in, our expected merchandise assortment. Collectively, these represent a small percentage of our product/merchandise mix.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ind w:right="40"/>
        <w:spacing w:after="0" w:line="254" w:lineRule="auto"/>
        <w:rPr>
          <w:sz w:val="20"/>
          <w:szCs w:val="20"/>
          <w:color w:val="auto"/>
        </w:rPr>
      </w:pPr>
      <w:r>
        <w:rPr>
          <w:rFonts w:ascii="Times New Roman" w:cs="Times New Roman" w:eastAsia="Times New Roman" w:hAnsi="Times New Roman"/>
          <w:sz w:val="18"/>
          <w:szCs w:val="18"/>
          <w:color w:val="auto"/>
        </w:rPr>
        <w:t>Manufacturers, retailers and other vendors made up our expansive and changing universe of approximately 21,000 vendors across the globe, including thousands of new vendors in fiscal 2026, which provides us substantial and diversified access to merchandise. We have not experienced difficulty in obtaining sufficient quality merchandise for our business in either favorable or difficult retail environments and expect this will continue should we meet or exceed our plans for growth. We believe a number of factors provide us excellent access on an ongoing basis to leading branded merchandise and make us an attractive channel for many vendors in the market. We are typically willing to purchase less-than-full assortments of items, styles and sizes as well as quantities ranging from small to very large; we are able to disperse merchandise across our geographically diverse network of stores and to target specific markets; we pay promptly according to our payment terms; our practice is to not ask for typical retail concessions (such as advertising, promotional and markdown allowances), delivery concessions (such as drop shipments to stores or delayed deliveries) or performance-based return privileges; and we have an excellent credit rating.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Management</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offer our customers a rapidly changing selection of merchandise to create a treasure hunt experience in our stores and to encourage frequent customer visits. To achieve this, we seek to turn the inventory in our stores rapidly, regularly offering fresh selections of apparel and home fashions at excellent values. Our specialized inventory planning, purchasing, monitoring and markdown systems, coupled with distribution center storage, processing, handling and shipping systems, enable us to tailor the merchandise in our stores to local preferences and demographics, achieve rapid in-store inventory turnover on a vast array of products and generally sell through most merchandise within the period we planned. We make pricing, markdown and store inventory decisions centrally, using information provided by specialized computer systems designed to move inventory through our stores in a timely and disciplined manner. We invest in our supply chain with the goal of continuing to operate with low inventory levels, to ship more efficiently and quickly, and to more precisely and effectively allocate merchandise to each store.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Pricing</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mission is to deliver great value to our customers every day. We do this by offering quality, fashionable, brand name and designer merchandise in our stores with retail prices that are generally 20% to 60% below full-price retailers’ (including department, specialty, and major online retailers) regular prices on comparable merchandise, every day. Our practice is to not engage in promotional pricing activity such as sales or coupons. We have generally been able to react to price fluctuations in the wholesale market to maintain our pricing gap relative to prices offered by traditional retailers as well as our merchandise margins through various economic cycles.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Low Cost Operations</w:t>
      </w:r>
    </w:p>
    <w:p>
      <w:pPr>
        <w:spacing w:after="0" w:line="1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operate with a low cost structure compared to many traditional retailers with a prudent focus on expenses throughout our business. Our advertising is generally focused on promoting our retail banners rather than individual products, which contributes to our advertising budget (as a percentage of sales) remaining low compared to many traditional retailers. We design our stores to provide a pleasant, convenient shopping environment without spending heavily on store fixtures. Additionally, our distribution network is designed to run cost effectively.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Service/Shopping Experience</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strategically renovate and upgrade our stores across our retail banners to enhance our customers’ shopping experience and help drive sales. We train our store Associates to provide friendly and helpful customer service and seek to staff our stores to deliver a positive shopping experience. We believe we offer return policies that are customer friendly. We accept a variety of payment methods including cash, credit cards and debit cards. We also offer TJX-branded credit cards in the U.S. through a bank, but do not own the customer receivables.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distribution centers encompassing approximately 31 million square feet in six countries. These centers are generally large, and built to suit our specific, off-price business model, with a combination of automated systems and manual processes to manage the variety of merchandise we acquire. We ship substantially all of our merchandise to our stores through a network of distribution centers, fulfillment centers and warehouses as well as shipping centers, which, in many cases, are operated by third parties.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Store Growth</w:t>
      </w:r>
    </w:p>
    <w:p>
      <w:pPr>
        <w:spacing w:after="0" w:line="13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Expansion of our business through the addition of new stores continues to be an important part of our global growth strategy. The following table provides store growth information for our divisions for the two most recently completed fiscal years, as well as our estimates of the long-term store growth potential of these divisions in their current geographies: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9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Approximate</w:t>
            </w:r>
          </w:p>
        </w:tc>
        <w:tc>
          <w:tcPr>
            <w:tcW w:w="28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Number of Stores at Year-End</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2920" w:type="dxa"/>
            <w:vAlign w:val="bottom"/>
          </w:tcPr>
          <w:p>
            <w:pPr>
              <w:jc w:val="center"/>
              <w:ind w:left="1090"/>
              <w:spacing w:after="0" w:line="169" w:lineRule="exact"/>
              <w:rPr>
                <w:sz w:val="20"/>
                <w:szCs w:val="20"/>
                <w:color w:val="auto"/>
              </w:rPr>
            </w:pPr>
            <w:r>
              <w:rPr>
                <w:rFonts w:ascii="Times New Roman" w:cs="Times New Roman" w:eastAsia="Times New Roman" w:hAnsi="Times New Roman"/>
                <w:sz w:val="18"/>
                <w:szCs w:val="18"/>
                <w:color w:val="auto"/>
                <w:w w:val="98"/>
              </w:rPr>
              <w:t>Average Store</w:t>
            </w:r>
          </w:p>
        </w:tc>
        <w:tc>
          <w:tcPr>
            <w:tcW w:w="1560" w:type="dxa"/>
            <w:vAlign w:val="bottom"/>
          </w:tcPr>
          <w:p>
            <w:pPr>
              <w:spacing w:after="0"/>
              <w:rPr>
                <w:sz w:val="14"/>
                <w:szCs w:val="14"/>
                <w:color w:val="auto"/>
              </w:rPr>
            </w:pP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Estimated Store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Size (square feet)</w:t>
            </w:r>
          </w:p>
        </w:tc>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Fiscal 2025</w:t>
            </w:r>
          </w:p>
        </w:tc>
        <w:tc>
          <w:tcPr>
            <w:tcW w:w="13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Potential</w:t>
            </w:r>
          </w:p>
        </w:tc>
        <w:tc>
          <w:tcPr>
            <w:tcW w:w="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Marmaxx:</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28,000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Marmaxx</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HomeGoods:</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24,000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28,000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HomeGoods</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Sierra: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Sierra</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21,000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9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24,000</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9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TJX International:</w:t>
            </w:r>
          </w:p>
        </w:tc>
        <w:tc>
          <w:tcPr>
            <w:tcW w:w="2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(Europe)</w:t>
            </w:r>
          </w:p>
        </w:tc>
        <w:tc>
          <w:tcPr>
            <w:tcW w:w="29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28,000</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 (Europe)</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19,000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21,000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TJX International</w:t>
            </w:r>
          </w:p>
        </w:tc>
        <w:tc>
          <w:tcPr>
            <w:tcW w:w="2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TJX Total</w:t>
            </w:r>
          </w:p>
        </w:tc>
        <w:tc>
          <w:tcPr>
            <w:tcW w:w="2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5,085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store growth potential for TK Maxx in current geographies and the expansion into Spain and for Homesense in the United Kingdom and Ireland.</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Some of our home fashion stores are co-located with one of our apparel stores in a combo or superstore format. We count each of the stores in the combo or superstore format as a separate store.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retail apparel and home fashion business is highly competitive. We compete on numerous factors including brand, fashion, price, quality, selection and freshness; in-store and online shopping experience and service; reputation and store location. We compete with local, regional, national and international department, specialty, off-price, discount, warehouse and outlet stores as well as other retailers that sell apparel, home fashions and other merchandise that we sell, whether in stores, online, or through other media or channels.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w:t>
      </w:r>
    </w:p>
    <w:p>
      <w:pPr>
        <w:spacing w:after="0" w:line="1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January 31, 2026, we had approximately 377,000 Associates, many of whom worked less than 40 hours per week. Approximately 86% of these Associates worked in our retail stores. We hire thousands of temporary employees each year, particularly during the peak back-to-school and holiday seasons. We offer positions at a variety of levels in our stores, distribution and fulfillment centers, and offices, as well as many opportunities for Associates to grow and advance. Many Associates in our distribution network in the United States and Canada are covered by collective bargaining agreements, and other Associates are members of works councils in Europe. Our large, global workforce supports the execution of our flexible business model, including the timing and frequency of store deliveries and the management of a rapidly changing mix of merchandise in over 5,200 retail stores globally and across six e-commerce sites. We believe our Associates are key to our business success.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We work to foster a strong, supportive, and inclusive culture so that Associates at TJX feel welcome in the Company, valued for their perspectives and contributions, and engaged with our business mission to deliver great value to our customers every day. Our open-door philosophy encourages open and honest communication and supports Associate engagement. We use defined cultural factors and leadership competencies throughout our global business to express our organizational values, such as inclusion, personal integrity, relationship-building and collaboration and respect for our business model, and to promote consistency in leadership development.</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highly focused on teaching and mentoring to support the career growth and success of our Associates, and we believe these efforts can strengthen retention, stability, and expertise across our workforce. Training occurs throughout the organization, from informal mentoring and direct training to a range of career and leadership development programs, including our TJX University for merchandising Associates.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a global company serving a broad customer demographic and with hundreds of thousands of Associates in several geographies, we recognize the importance of inclusion and diversity to our culture and our business. Our global workforce reflects a diversity of races, ethnicities, ages, sexual orientations, gender identities, skills, abilities, religions, perspectives and a broad range of other backgrounds and experiences. Our work in this area has been developed over many decades and aims to support our business mission. This work continues to include initiatives intended to foster an inclusive culture, encourage Associate engagement, and support Associate well-being.</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global approach to total rewards includes sharing in the success of the Company, encouraging teamwork and collaboration across our global workforce, and being fair and equitable. Our compensation programs are designed to pay our Associates competitively in the market and equitably, based on their skills, qualifications, role and abilities. For fiscal 2026, we continued our One TJX approach to annual incentive compensation, with all eligible Associates measured against global TJX performance goals.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the right to use our principal trademarks and service marks, which are TJ Maxx, Marshalls, HomeGoods, Winners, Homesense/HomeSense, TK Maxx and Sierra, in relevant countries. We expect our rights in these trademarks and service marks to endure in locations where we use them for as long as we continue to do so.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seasonal influences. In the second half of the year, which includes the back-to-school and year-end holiday seasons, we generally realize higher levels of sales and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 Filings and Certifications</w:t>
      </w:r>
    </w:p>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Copies of our annual reports on Form 10-K, proxy statements, quarterly reports on Form 10-Q and current reports on Form 8-K filed with or furnished to the SEC, and any amendments to those documents, are available free of charge on our website, tjx.com, under “SEC Filings,” as soon as reasonably practicable after they are electronically filed with, or furnished to, the SEC. They are also available free of charge from TJX Global Communications, 770 Cochituate Road, Framingham, Massachusetts 01701. The SEC maintains a website containing all reports, proxies, information statements, and all other information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appearing on tjx.com is not a part of, and is not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executive officers of TJX as of March 31,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Age</w:t>
            </w:r>
          </w:p>
        </w:tc>
        <w:tc>
          <w:tcPr>
            <w:tcW w:w="8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Office and Business Experience</w:t>
            </w: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Peter Benjamin</w:t>
            </w:r>
          </w:p>
        </w:tc>
        <w:tc>
          <w:tcPr>
            <w:tcW w:w="120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8"/>
                <w:szCs w:val="18"/>
                <w:color w:val="auto"/>
              </w:rPr>
              <w:t>63</w:t>
            </w:r>
          </w:p>
        </w:tc>
        <w:tc>
          <w:tcPr>
            <w:tcW w:w="8280" w:type="dxa"/>
            <w:vAlign w:val="bottom"/>
            <w:shd w:val="clear" w:color="auto" w:fill="CCEEFF"/>
          </w:tcPr>
          <w:p>
            <w:pPr>
              <w:ind w:left="540"/>
              <w:spacing w:after="0" w:line="169" w:lineRule="exact"/>
              <w:rPr>
                <w:sz w:val="20"/>
                <w:szCs w:val="20"/>
                <w:color w:val="auto"/>
              </w:rPr>
            </w:pPr>
            <w:r>
              <w:rPr>
                <w:rFonts w:ascii="Times New Roman" w:cs="Times New Roman" w:eastAsia="Times New Roman" w:hAnsi="Times New Roman"/>
                <w:sz w:val="18"/>
                <w:szCs w:val="18"/>
                <w:color w:val="auto"/>
              </w:rPr>
              <w:t>Senior Executive Vice President, Group President since February 2025. President, Marmaxx from 2023 to</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February 2025. Executive Vice President, Chief Merchandising Officer, Marmaxx, from 2015 through</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2022. Executive Vice President, Chief Operating Officer, Marmaxx, 2012 to 2015. Executive Vice</w:t>
            </w:r>
          </w:p>
        </w:tc>
      </w:tr>
      <w:tr>
        <w:trPr>
          <w:trHeight w:val="180"/>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President, Planning and Allocation, Marmaxx 2011 to 2012. Senior Vice President, Planning and</w:t>
            </w:r>
          </w:p>
        </w:tc>
      </w:tr>
      <w:tr>
        <w:trPr>
          <w:trHeight w:val="243"/>
        </w:trPr>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Allocation, Marmaxx, 2004 to 2011. Various merchandising positions with TJX from 1990 to 2004.</w:t>
            </w: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Kenneth Canestrari</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since September 2014. President, HomeGoods from</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2012 to September 2014. Executive Vice President, Chief Operating Officer, HomeGoods from 2008 until</w:t>
            </w:r>
          </w:p>
        </w:tc>
      </w:tr>
      <w:tr>
        <w:trPr>
          <w:trHeight w:val="239"/>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2012. Various financial positions with TJX from 1988 to 2008.</w:t>
            </w:r>
          </w:p>
        </w:tc>
      </w:tr>
      <w:tr>
        <w:trPr>
          <w:trHeight w:val="180"/>
        </w:trPr>
        <w:tc>
          <w:tcPr>
            <w:tcW w:w="1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Ernie Herrman</w:t>
            </w:r>
          </w:p>
        </w:tc>
        <w:tc>
          <w:tcPr>
            <w:tcW w:w="120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65</w:t>
            </w:r>
          </w:p>
        </w:tc>
        <w:tc>
          <w:tcPr>
            <w:tcW w:w="828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8"/>
                <w:szCs w:val="18"/>
                <w:color w:val="auto"/>
              </w:rPr>
              <w:t>Chief Executive Officer since January 2016. Director since October 2015. President since January 2011.</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from 2008 to 2011. President, Marmaxx from 2005 to</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2008. Senior Executive Vice President, Chief Operating Officer, Marmaxx from 2004 to 2005. Executive</w:t>
            </w:r>
          </w:p>
        </w:tc>
      </w:tr>
      <w:tr>
        <w:trPr>
          <w:trHeight w:val="180"/>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Vice President, Merchandising, Marmaxx from 2001 to 2004. Various merchandising positions with TJX</w:t>
            </w:r>
          </w:p>
        </w:tc>
      </w:tr>
      <w:tr>
        <w:trPr>
          <w:trHeight w:val="243"/>
        </w:trPr>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since joining in 1989.</w:t>
            </w: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John Klinger</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and Chief Financial Officer since February 2024. Executive Vice</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President and Chief Financial Officer from January 2023 to February 2024. Executive Vice President,</w:t>
            </w:r>
          </w:p>
        </w:tc>
      </w:tr>
      <w:tr>
        <w:trPr>
          <w:trHeight w:val="184"/>
        </w:trPr>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8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color w:val="auto"/>
              </w:rPr>
              <w:t>Corporate Controller from 2019 to January 2023. Senior Vice President, Corporate Controller from 2014</w:t>
            </w:r>
          </w:p>
        </w:tc>
      </w:tr>
      <w:tr>
        <w:trPr>
          <w:trHeight w:val="180"/>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to 2019. Senior Vice President, Divisional Chief Financial Officer, TJX Europe from 2011 to 2014. Vice</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President, Corporate Finance from 2011 to 2011. Various financial positions with TJX since joining in</w:t>
            </w:r>
          </w:p>
        </w:tc>
      </w:tr>
      <w:tr>
        <w:trPr>
          <w:trHeight w:val="239"/>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2000.</w:t>
            </w:r>
          </w:p>
        </w:tc>
      </w:tr>
      <w:tr>
        <w:trPr>
          <w:trHeight w:val="180"/>
        </w:trPr>
        <w:tc>
          <w:tcPr>
            <w:tcW w:w="1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Carol Meyrowitz</w:t>
            </w:r>
          </w:p>
        </w:tc>
        <w:tc>
          <w:tcPr>
            <w:tcW w:w="120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72</w:t>
            </w:r>
          </w:p>
        </w:tc>
        <w:tc>
          <w:tcPr>
            <w:tcW w:w="828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8"/>
                <w:szCs w:val="18"/>
                <w:color w:val="auto"/>
              </w:rPr>
              <w:t>Executive Chairman of the Board since January 2016. Chairman of the Board from June 2015 to January</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2016. Chief Executive Officer from January 2007 to January 2016. Director since 2006 and President from</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October 2005 to January 2011. Consultant to TJX from January 2005 to October 2005. Senior Executive</w:t>
            </w:r>
          </w:p>
        </w:tc>
      </w:tr>
      <w:tr>
        <w:trPr>
          <w:trHeight w:val="180"/>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Vice President from March 2004 to January 2005. President, Marmaxx from 2001 to 2005 and Executive</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Vice President of TJX from 2001 to 2004. Various senior management and merchandising positions with</w:t>
            </w:r>
          </w:p>
        </w:tc>
      </w:tr>
      <w:tr>
        <w:trPr>
          <w:trHeight w:val="243"/>
        </w:trPr>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Marmaxx and with Chadwick’s of Boston and Hit or Miss, former divisions of TJX, from 1983 to 2001.</w:t>
            </w: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Douglas Mizzi</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since February 2018. President, TJX Canada from</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October 2011 to February 2018. Managing Director TK Maxx, UK from April 2010 to October 2011.</w:t>
            </w:r>
          </w:p>
        </w:tc>
      </w:tr>
      <w:tr>
        <w:trPr>
          <w:trHeight w:val="204"/>
        </w:trPr>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80" w:type="dxa"/>
            <w:vAlign w:val="bottom"/>
          </w:tcPr>
          <w:p>
            <w:pPr>
              <w:ind w:left="540"/>
              <w:spacing w:after="0" w:line="204" w:lineRule="exact"/>
              <w:rPr>
                <w:sz w:val="20"/>
                <w:szCs w:val="20"/>
                <w:color w:val="auto"/>
              </w:rPr>
            </w:pPr>
            <w:r>
              <w:rPr>
                <w:rFonts w:ascii="Times New Roman" w:cs="Times New Roman" w:eastAsia="Times New Roman" w:hAnsi="Times New Roman"/>
                <w:sz w:val="18"/>
                <w:szCs w:val="18"/>
                <w:color w:val="auto"/>
              </w:rPr>
              <w:t>Executive Vice President, Chief Operating Officer, WMI from February 2006 to April 2010. Various store</w:t>
            </w:r>
          </w:p>
        </w:tc>
      </w:tr>
    </w:tbl>
    <w:p>
      <w:pPr>
        <w:ind w:left="3500"/>
        <w:spacing w:after="0"/>
        <w:rPr>
          <w:sz w:val="20"/>
          <w:szCs w:val="20"/>
          <w:color w:val="auto"/>
        </w:rPr>
      </w:pPr>
      <w:r>
        <w:rPr>
          <w:rFonts w:ascii="Times New Roman" w:cs="Times New Roman" w:eastAsia="Times New Roman" w:hAnsi="Times New Roman"/>
          <w:sz w:val="18"/>
          <w:szCs w:val="18"/>
          <w:color w:val="auto"/>
        </w:rPr>
        <w:t>operations positions with TJX from 1988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hold office until the next annual meeting of the Board in June 2026 and until their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1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statements in this section describe the major risks to our business and should be considered carefully, in connection with all the other information set forth in this annual report on Form 10-K. The risks listed below are those that we think, individually or in the aggregate, are potentially material to our business and could cause our actual results to differ materially from those stated or implied in forward-looking statements. There may be additional risks that we are not aware of or that we currently believe are immaterial, and factors besides the ones discussed below, that could adversely affect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AND STRATEGIC RISKS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execute our opportunistic buying strategy and successfully manage our inventory could adversely affect our results.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Key elements of our off-price business strategy, including opportunistic buying, operating with relatively lean inventory levels, frequent inventory turns and our treasure hunt experience, subject us to risks. Our customer transactions and our sales, margins and other financial results could be adversely affected if we do not obtain and allocate the right merchandise at the right times, in the right quantities, at the right prices, in the right mix and into the right stores.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opportunistic buying strategy places considerable discretion with our merchants. They typically buy throughout the year, with much of our merchandise purchased for the current or immediately upcoming season. Our merchants are expected to react effectively to rapidly changing opportunities and trends in the market, to assess the desirability and value of merchandise and to generally make determinations of what and how we source, as well as when and from where we source it.</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they do not make assessments accurately or otherwise cannot execute our strategy in an effective or timely way, our customer transactions and our sales, margins and other financial results could be adversely affected. If our merchandise is not generally purchased at prices sufficiently below prices paid by conventional retailers, we may not be able to maintain our desired value gap at various times or in some segments, banners, product categories or geographies, which could also affect our sales, margins and other financial results.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base our inventory purchases, in part, on our sales forecasts. If our sales forecasts fail to predict customer demand with sufficient accuracy, or we do not appropriately allocate and deliver merchandise to stores, maintain inventory mix and levels, or maintain flexibility in our allocation of floor space across product categories effectively, then we may either have higher inventory levels than we planned and may need to take markdowns on excess or slow-moving inventory, or have insufficient inventory to meet customer demand, either of which could impact sales in a way that could adversely affect our financial performance.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above factors, a variety of external factors have impacted, and may continue to impact, execution of our opportunistic buying strategy and inventory management. In the past, our ability to allocate, deliver and maintain our preferred mix and level of inventory has been impacted by temporary store closures, inflationary pressures, global supply chain disruptions and other challenges as a result of external events. For more information, see “External and Economic Risks” below.</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identify consumer trends and preferences, or to otherwise meet customer demand or expectations, in new or existing markets or channels could negatively impact our performance.</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our success depends on our ability to meet customer demand and expectations, we seek to identify consumer trends and preferences on an ongoing basis and to offer inventory and shopping experiences that meet those trends and preferences. However, we may not do so effectively and/or in a timely manner across our diverse merchandise categories and in each of the many markets in which we do business. Trends and preferences in markets may differ from what we anticipate and could change rapidly. Although our business model allows us greater flexibility to meet consumer product preferences and trends than many traditional retailers (for example, by rapidly expanding and contracting merchandise categories in response to consumers’ changing tastes), we may not successfully do so, which could impact inventory turns, customer transactions and sales, and may have a negative impact on our ability to attract new customers, retain existing customers and/or encourage frequent customer visits and/or cross-shopping of our multiple retail banners, any of which could adversely affect our results.</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Customers also may have expectations about how they shop in stores or through e-commerce or more generally engage with businesses across different channels (including digital/social media platforms). These expectations may vary both across and within demographics and geographies and may evolve rapidly or be impacted by external factors. For example, changes to our store layout, loss prevention, or digital security protocols may impact the shopping experience and customer transactions. Similarly, platforms that help consumers engage with our brands may change in meaningful ways, negatively impacting the consumer experience and reducing or eliminating benefits to us from that channel. Meeting customers’ expectations effectively generally involves identifying the right opportunities, balancing them with potential risks and making the right investments at the right time, on the right scale and with the right speed, among other things, and failure to do so effectively may impact our business and financial results.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we may not be able to compete effectively.</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retail apparel and home fashion businesses are highly competitive. We compete on the basis of various factors affecting value (which we define as the combination of brand, fashion, price and quality). We also compete on merchandise selection and freshness; banner name recognition and appeal; both in-store and online service and shopping experience; convenience and store location. We compete with local, regional, national and international retailers that sell apparel, home fashions and other merchandise that we may carry, including retailers that operate through stores, e-commerce and/or other media, as well as omnichannel retailers. Some of our competitors are larger than we are, hold greater financial resources, have more experience selling certain product lines, provide certain product categories more consistently, or provide products through different channels than we do. Competitors may increase their presence in markets in which we operate, consolidate with other retailers, expand their merchandise offerings, expand their e-commerce and delivery capabilities, add new sales channels, change their pricing strategies and/or adopt new processes or technologies that may allow them to compete more effectively. We could be at a competitive disadvantage if, over time, our competitors are more effective than we are in their use and integration of rapidly evolving technologies, including artificial intelligence or other emerging technologies. In addition, new competitors frequently enter the market. More generally, consumer e-commerce spending may continue to increase, as it has in recent years, while our business is primarily in brick-and-mortar stores. If we fail to compete effectively, our sales and results of operations could be adversely affected.</w:t>
      </w:r>
    </w:p>
    <w:p>
      <w:pPr>
        <w:spacing w:after="0" w:line="7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marketing efforts, if our marketing efforts are not successful in driving expected increases in sales or if our competitors’ marketing programs are more effective than ours, our revenue or results of operations may be adversely affected.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 transactions and demand for our merchandise may be influenced by our marketing efforts. Although we use various marketing channels (including, among others, linear television, streaming video, audio, outdoor, digital/social media and mobile) to drive customer awareness of and interest in shopping our retail banners and to increase sales, some of our competitors may spend more for their marketing programs or use different approaches than we do, which may provide them with a competitive advantage. Our competitors’ marketing programs may also resonate with consumers more than ours do. Changes to online search, email delivery, and digital/social media (including algorithmic changes) can increase customer acquisition costs, reduce the effectiveness of digital marketing and/or alter traffic patterns to our e-commerce sites and/or stores. We may not be able to develop or implement strategies effectively in rapidly evolving digital/social media channels, which may adversely impact some of our banners, segments, or overall business. We also may face challenges appropriately managing strategies for our different banners across geographies. Further, our marketing partners, celebrities, social media content creators, influencers or other individuals who are viewed as representing our banners may expose us to reputational or other risks. For delivery of our marketing we depend on a variety of partners whose financial health, reputation and/or ability to attract talent could negatively impact the results of our marketing. If our marketing efforts are not as successful or cost effective as anticipated, our revenue and results of operations could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continue to expand our business successfully could adversely affect our financial results.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growth strategy includes, whether by development, investment, or acquisition, successfully expanding our business within our current markets and/or into new geographic regions, appropriately calibrating product lines and channels (including within our e-commerce sites) and, as appropriate, adding new businesses. If any aspect of our expansion strategy does not achieve the success we expect, in whole or in part, we may fail to meet our financial performance expectations generally or within certain markets or divisions, and we may be required to increase or decrease investments or slow our planned growth. For our store growth, even if a particular market has high commercial vacancies, if we are not able to find and lease appropriate real estate on attractive terms in the locations where we seek to open stores, or if new stores do not perform as well as we anticipated, we may need to change our planned growth in those markets. We have closed stores and operations and have divested from and disposed of businesses in the past, including for performance-related reasons, and we may be required to do so again in the future.</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Growth can also add complexity to our business operations by requiring effective and timely information sharing; significant additional attention from our management and other functions across our business, including compliance and risk management; attention to varied health and safety requirements; integration of existing or development of new capabilities, processes and controls; increased staffing and Associate training and retention, including in new or unfamiliar labor markets; and management of appropriate third-party providers, including training or coordinating with those operating businesses in which we are invested or with which we share certain responsibilities. These requirements may increase with further growth, particularly if we expand into additional countries. If we are unable to manage our growth effectively, our business may be adversely affected or we may need to reduce the rate of expansion or otherwise curtail growth, which may adversely affect our sales, business plans and results.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the large size and scale of our operations may adversely affect our financial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substantial size of our business can make it challenging to run our complex operations effectively and to manage suitable internal resources and third-party providers with appropriate oversight, including, for example, for teams managing information technology (“IT”) systems, merchandising, sourcing, marketing, store operations, distribution, logistics, compliance, finance and administrative support. The large size and scale of our operations, our multiple banners and locations across the U.S., Canada, Europe and Australia and the autonomy afforded to the banners in some aspects of the business also increase the risk that our systems, controls, practices and policies may not be effectively or consistently implemented or updated on a timely basis throughout our company, or that information may not be appropriately shared across our operations. The size and scale of our business also create challenges in human resources administration and effectively recruiting, managing, training, retaining and engaging a large, disparate workforce, including Associates in on-site, remote and hybrid roles. These challenges may increase if a portion of our workforce is unable to work on site or is temporarily furloughed, as has occurred in the past. If we are unable to manage our size and scale effectively, our results of operations may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source our merchandise globally, which subjects us to risks, including when moving merchandise internationally.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various risks of sourcing merchandise, particularly from other countries, including risks related to moving merchandise internationally. Many of the products sold in our stores are sourced in locations (particularly in China, India and southeastern Asia) other than the location in which they will be sold. Where we are the importer of record, we may be subject to regulatory or other requirements, including those similar to requirements imposed upon the manufacturer of such products. Risks related to sourcing merchandise include: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potential disruptions in manufacturing and supply;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transport availability, capacity and costs;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tariffs, duties, border adjustment taxes, trade restrictions, sanctions, quotas and voluntary export restrictions on imported merchandise;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changes to international trade agreements or to trade agreement enforcement practices;</w:t>
      </w:r>
    </w:p>
    <w:p>
      <w:pPr>
        <w:spacing w:after="0" w:line="117" w:lineRule="exact"/>
        <w:rPr>
          <w:sz w:val="20"/>
          <w:szCs w:val="20"/>
          <w:color w:val="auto"/>
        </w:rPr>
      </w:pPr>
    </w:p>
    <w:p>
      <w:pPr>
        <w:ind w:left="660" w:right="280" w:hanging="324"/>
        <w:spacing w:after="0" w:line="282" w:lineRule="auto"/>
        <w:rPr>
          <w:sz w:val="20"/>
          <w:szCs w:val="20"/>
          <w:color w:val="auto"/>
        </w:rPr>
      </w:pPr>
      <w:r>
        <w:rPr>
          <w:rFonts w:ascii="Times New Roman" w:cs="Times New Roman" w:eastAsia="Times New Roman" w:hAnsi="Times New Roman"/>
          <w:sz w:val="18"/>
          <w:szCs w:val="18"/>
          <w:color w:val="auto"/>
        </w:rPr>
        <w:t>– compliance with laws and regulations including labor, environmental, supply chain, international trade and other laws in relevant countries and those concerning ethical business practices;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problems with third-party distribution and warehousing, logistics, transportation and other supply chain interruptions;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IT security or resiliency challenges;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strikes, threats of strikes and other events affecting delivery;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consumer perceptions of the safety or quality of imported merchandise;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compliance with product laws and regulations of the destination country;</w:t>
      </w:r>
    </w:p>
    <w:p>
      <w:pPr>
        <w:spacing w:after="0" w:line="117" w:lineRule="exact"/>
        <w:rPr>
          <w:sz w:val="20"/>
          <w:szCs w:val="20"/>
          <w:color w:val="auto"/>
        </w:rPr>
      </w:pPr>
    </w:p>
    <w:p>
      <w:pPr>
        <w:ind w:left="660" w:right="260" w:hanging="324"/>
        <w:spacing w:after="0" w:line="282" w:lineRule="auto"/>
        <w:rPr>
          <w:sz w:val="20"/>
          <w:szCs w:val="20"/>
          <w:color w:val="auto"/>
        </w:rPr>
      </w:pPr>
      <w:r>
        <w:rPr>
          <w:rFonts w:ascii="Times New Roman" w:cs="Times New Roman" w:eastAsia="Times New Roman" w:hAnsi="Times New Roman"/>
          <w:sz w:val="18"/>
          <w:szCs w:val="18"/>
          <w:color w:val="auto"/>
        </w:rPr>
        <w:t>– product liability claims from customers or investigations, enforcement actions or penalties by or from government agencies relating to products that are recalled, defective or otherwise noncompliant or alleged to be harmful;</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pandemics and epidemics (such as the COVID-19 pandemic) affecting sourcing, including manufacturing, buying or delivery;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intellectual property enforcement and infringement issues;</w:t>
      </w:r>
    </w:p>
    <w:p>
      <w:pPr>
        <w:spacing w:after="0" w:line="117" w:lineRule="exact"/>
        <w:rPr>
          <w:sz w:val="20"/>
          <w:szCs w:val="20"/>
          <w:color w:val="auto"/>
        </w:rPr>
      </w:pPr>
    </w:p>
    <w:p>
      <w:pPr>
        <w:ind w:left="660" w:right="300" w:hanging="324"/>
        <w:spacing w:after="0" w:line="282" w:lineRule="auto"/>
        <w:rPr>
          <w:sz w:val="20"/>
          <w:szCs w:val="20"/>
          <w:color w:val="auto"/>
        </w:rPr>
      </w:pPr>
      <w:r>
        <w:rPr>
          <w:rFonts w:ascii="Times New Roman" w:cs="Times New Roman" w:eastAsia="Times New Roman" w:hAnsi="Times New Roman"/>
          <w:sz w:val="18"/>
          <w:szCs w:val="18"/>
          <w:color w:val="auto"/>
        </w:rPr>
        <w:t>– concerns about environmental impact where merchandise is produced or materials are sourced, including relating to greenhouse gas emissions, waste, water usage, deforestation, biodiversity and the impact of these activities on human health and local communities;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concerns about human rights, working conditions and other labor rights and conditions where merchandise is produced or materials are sourced;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currency exchange rates and financial or economic instability (including potential financial instability related to banking institutions); and</w:t>
      </w:r>
    </w:p>
    <w:p>
      <w:pPr>
        <w:spacing w:after="0" w:line="117" w:lineRule="exact"/>
        <w:rPr>
          <w:sz w:val="20"/>
          <w:szCs w:val="20"/>
          <w:color w:val="auto"/>
        </w:rPr>
      </w:pPr>
    </w:p>
    <w:p>
      <w:pPr>
        <w:ind w:left="660" w:right="300" w:hanging="324"/>
        <w:spacing w:after="0" w:line="282" w:lineRule="auto"/>
        <w:rPr>
          <w:sz w:val="20"/>
          <w:szCs w:val="20"/>
          <w:color w:val="auto"/>
        </w:rPr>
      </w:pPr>
      <w:r>
        <w:rPr>
          <w:rFonts w:ascii="Times New Roman" w:cs="Times New Roman" w:eastAsia="Times New Roman" w:hAnsi="Times New Roman"/>
          <w:sz w:val="18"/>
          <w:szCs w:val="18"/>
          <w:color w:val="auto"/>
        </w:rPr>
        <w:t>– political, military or other disruptions in regions and/or countries from, to or through which merchandise is imported, including in Ukraine and Russia, the Middle East and the Red Sea and surrounding waterways.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8"/>
          <w:szCs w:val="18"/>
          <w:color w:val="auto"/>
        </w:rPr>
        <w:t>Further, we are, and expect we will continue to be, subject to an increasing number of regulations that require us to report, develop new policies and procedures for, and, in certain cases, work to mitigate, certain supply chain risks related to sourcing merchandise internationally. As with other regulations, these may result in increased operating costs and affect where, what and how we source and how we allocate what we buy. These and other factors relating to sourcing, international trade and imported merchandise could affect the availability and the price of our inventory and our operating costs. Furthermore, although we have implemented policies and procedures designed to facilitate compliance with laws and regulations relating to production of merchandise, international operations and importing merchandise, our Associates and our contractors, agents, vendors or other third parties with whom we do business or to whom we outsource or coordinate business operations, including retail operations, may nevertheless violate such laws and regulations or our policies, which could subject us to liability and could adversely affect our reputation, operations or operating results.</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Compromises of our cybersecurity, disruptions in our IT systems, or failure to satisfy the IT needs of our business could result in material loss or liability, materially impact our operating results or materially harm our reputation.</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depends on our IT systems, which collect and process information of customers, Associates and other persons, as well as information of our business and of our suppliers, service providers and other third parties. We rely heavily on IT systems, including those operated and maintained by our suppliers, service providers and other third parties, to manage key aspects of our business, including planning; purchasing; sales, including point-of-sale transaction processing and e-commerce; supply chain management; logistics; inventory management; human resources; financial management; communications; information security and legal and regulatory compliance. Our ongoing operations and successful growth are dependent on these systems and require us to accurately anticipate our current and future IT needs. This includes successfully developing, implementing and maintaining appropriate systems; adopting new technologies (including artificial intelligence or other emerging technologies) appropriately and in a timely manner; and maintaining effective disaster recovery and resiliency plans for such systems. Our ongoing operations and successful growth are dependent on our doing these things effectively. We also are dependent on the ongoing integrity, security and consistent operation of these systems, including related back-up systems.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is common in the retail industry, our IT systems, as well as those of our suppliers, service providers and other third parties with whom we do business directly or indirectly, are targeted by attempts to access or obtain personal or other sensitive information, attempts at monetary theft and attempts to disrupt business. These attempts include use of malware, ransomware, phishing, vishing, deepfakes, social engineering, denial-of-service attacks, exploitation of system vulnerabilities or misconfigurations, Associate or third-party malfeasance, digital and physical payment card skimmers, account takeovers and other forms of cyber-attacks. These attempts continue to increase in sophistication (including through the use of artificial intelligence), heightening the risk of compromise or disruption. While some of these attempts have resulted in cybersecurity incidents, the unauthorized intrusion into our network discovered late in 2006 is the only such cybersecurity incident to date that has been material to the results of our operations. Our IT systems and those of our suppliers, service providers and other third parties with whom we do business directly or indirectly also may be damaged or disrupted, or personal or sensitive information compromised, from a number of other causes, including power outages, system failures, catastrophic events, or Associate or third-party error. Such damage, disruption or compromise could materially impair our ability to operate our business or otherwise result in material impacts on our operating results.</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the business landscape and the impact of remote working by our Associates, service providers and other third parties have the potential to increase the likelihood of system damage or disruption and increase the risk of a cybersecurity compromise. The size, geographic dispersion, and turnover rate of our workforce increase the risk that our controls may not be implemented consistently.</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there continues to be a heightened risk of cybersecurity incidents as a result of geopolitical events outside of our control. These factors have led to the need for additional mitigation strategies and investments across our IT workforce, capabilities and processes.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global regulatory environment surrounding information security and privacy is increasingly demanding, and cybersecurity compromises and disruptions in our IT systems could result in regulatory enforcement actions, class actions, contract liability or other forms of material legal liability. Any successful compromise or disruption of our IT systems, or other compromise of the information that we collect or is collected on our behalf from our customers, Associates or other persons, could result in material reputational harm and impact our customers’ willingness to shop in our stores or online, and could affect our suppliers’, service providers’, or other third parties’ willingness to do business with us.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maintain policies, procedures and controls designed to reduce the risks of cybersecurity compromises and IT failures or disruptions, but these controls vary in maturity across the business and may fail to operate as intended or be circumvented by bad actors. Additionally, the logging policies, procedures and controls that we have implemented to facilitate the investigation of potential cybersecurity compromises or disruptions may be insufficient to fully investigate and determine the root cause of each such event. These policies, procedures and controls also require costly and ongoing investment in technologies, hiring, training and compliance.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t>There is also a risk of material business disruption, liability and reputational damage associated with ongoing actions intended to update, enhance, modify or replace our systems and infrastructure, including from not accurately capturing and maintaining data, not efficiently testing and implementing changes, not realizing the expected benefit of the change, not effectively managing the potential disruption of the actions and diversion of internal teams’ attention as the changes are implemented.</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and profitability could be adversely affected by increased labor costs, including wage, pension, health and other costs, or other challenges from our large workforce.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Associates are key to supporting our business and operations effectively, and we expect that our operating expenses will continue to reflect increasing labor costs. We have a large and disparate workforce, and our ability to meet our labor needs and manage labor costs is subject to various external factors such as minimum wage laws and other pay or benefit mandates; market pressures, including prevailing wage rates and benefit levels, unemployment levels, competition for labor within and beyond the retail industry, and labor market dynamics related to automation and technology; economic conditions, including inflation; changing demographics and workforce trends, including with respect to unionization and collective bargaining; workplace health and safety costs; interest rate changes; actuarial assumptions and methods; the costs of providing and managing retirement, health and other employee benefits; governmental programs; and a dynamic regulatory and policy environment, including with respect to health care, immigration, labor, employment, pension and other employee benefits, and taxation. Any of these factors could increase, and in the past have increased, our labor costs. These factors could also increase the labor or other costs of our service providers, or result in labor disruptions affecting their operations, which could be passed on to us or increase our legal exposure or costs. Conversely, failing to offer competitive wages or benefits, or to manage our workforce effectively, could adversely affect our ability to attract or retain appropriate talent sufficient to meet the needs of our business, which could cause our customer service or business execution to suffer, and adversely affect our financial performance.</w:t>
      </w:r>
    </w:p>
    <w:p>
      <w:pPr>
        <w:spacing w:after="0" w:line="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Additionally, many Associates in our distribution network in the United States and Canada are members of unions, and other Associates are members of works councils in Europe. We are subject to the risk of labor actions or disruptions of various kinds, including work stoppages and decreased flexibility as a result of labor law limitations. We are subject to risks and potential material expenses associated with multiemployer plans, including from pension plan underfunding, benefit cuts, increased contribution or funding requirements, changes in plan terms, withdrawal liability, increased premium costs, conditions imposed under any governmental assistance programs or the insolvency of other participating employers or governmental insurance programs. Other portions of our workforce that are not covered by collective bargaining agreements, including, for example, Associates who work in our U.S. stores, who make up the largest portion of our workforce, may become unionized, which may subject us to additional requirements, expectations, actions or expense.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employ qualified Associates in appropriate numbers and to retain key Associates and management could adversely affect our performance.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need to employ a large number of capable, engaged Associates for our stores and distribution centers and for other areas of our business. We must constantly recruit new Associates to fill entry level and part-time positions, which have high rates of turnover, and at certain times must hire sufficient numbers of seasonal talent. The availability and skill of Associates may differ across markets in which we do business and in new markets we enter, and we may be unable to meet or manage our labor needs effectively. In addition, we have faced and may continue to face additional challenges in recruiting or retaining sufficient talent due to shifts in the labor market, wage pressures and competition, flexible scheduling needs and health and safety concerns, among other factors. We have faced and may continue to face challenges in engaging, overseeing and training Associates in on-site, remote or hybrid roles. We also have faced and may continue to face potential challenges relating to Associates’ willingness or ability to staff our stores and distribution centers or otherwise continue employment as a result of economic pressures, health and safety concerns or otherwise.</w:t>
      </w:r>
    </w:p>
    <w:p>
      <w:pPr>
        <w:spacing w:after="0" w:line="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performance also depends on recruiting, hiring, developing, training and retaining talented Associates in key areas such as buying, IT functions, and other corporate areas. Similar to other retailers, we face challenges in securing and retaining sufficient talent in management and other key areas for many reasons, including competition for talent in the retail industry, from other industries and in various geographic markets. In addition, because of the distinctive nature of our off-price model, we must provide significant internal training and development and successfully manage transitions for key Associate roles across the Company, including within our buying organization. Failure to effectively attract qualified individuals, train them on our business model, support their development, engage them in our business, and retain them in sufficient numbers and at appropriate levels of the organization, and implement appropriate succession plans could disrupt our operations, impair our ability to execute our business model, limit our growth, and negatively impact our business and financial results.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corporate reputation or any of our retail banners’ reputation could adversely affect our sales and operating results.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customer relationships and our reputation are based, in part, on perceptions of subjective qualities. Incidents that erode trust or confidence in our company could adversely affect our reputation and thereby impact our business, particularly if the incidents result in rapid or significant adverse publicity, protest, litigation, boycotts, governmental inquiry or other stakeholder responses. This could include incidents that involve the company; our policies and practices; our retail banners; our executives and other Associates; our board of directors; senior leadership transitions, including those involving our Chief Executive Officer or other key executives; how we source merchandise; our third-party providers, including those providing retail operations on our behalf; our vendors and others within our supply chain; the merchandise and brands that we sell, including our licensed or owned brands; our investments; the regions where we have operations or investments; our marketing partners; celebrities, content creators, social media influencers, or other individuals viewed as representing us or our banners (whether or not we partner with them) that may draw attention to our retail banners; product recalls; incidents involving workplace safety, harassment or discrimination claims, or labor activity; inquiries or other communications from governmental agencies about our business or practices; and our industry more generally. Information about such incidents that is publicized through traditional or digital/social media platforms or other forums that facilitate rapid, broad communications to an audience of consumers and other interested persons, may adversely affect our reputation and brand, even if the information is inaccurate, incomplete, or unverified. Similarly, challenges or reactions to action (or inaction), or perceived action (or inaction), by our company to sensitive or polarizing topics, crises, or political matters, or on issues related to corporate responsibility or environmental, social and governance matters, or any perceived lack of transparency about such matters, could harm our reputation.</w:t>
      </w:r>
    </w:p>
    <w:p>
      <w:pPr>
        <w:spacing w:after="0" w:line="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kind of reputational damage could occur locally or globally and could impact our company or our individual retail banners. Damage to the reputation of our company and our banners could, among other things, result in declines in stock price; declines in customer loyalty and sales; affect our vendor relationships and/or business development opportunities; limit our ability to attract and retain appropriate talent sufficient to meet the needs of our business; result in demonstrations, protests, or altercations at or about our stores; divert the attention and resources of management, including to respond to inquiries or additional regulatory scrutiny; and otherwise adversely affect our financial results.</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corporate compliance, governance and public disclosure regulations and expectations, including with respect to matters relating to environmental sustainability, human capital management, social compliance and governance. Failure to meet such expectations or comply with regulations could materially impact our operating results or materially harm our reputation.</w:t>
      </w:r>
    </w:p>
    <w:p>
      <w:pPr>
        <w:spacing w:after="0" w:line="6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Various stakeholders, including certain advocacy groups, investors, customers, governmental officials and Associates, have increasingly focused on, and, from time to time, communicated with the Company about, topics such as social impact, environmental sustainability, human capital management, human rights and other related matters in a variety of ways that are not necessarily consistent. From time to time, we have announced certain initiatives related to our corporate responsibility efforts, which we have focused under four pillars: workplace, environmental sustainability, communities and responsible sourcing (which includes social compliance in our supply chain). These initiatives may be considered to be overreaching by some stakeholders and inadequate by other stakeholders. We could fail or be perceived to fail or fall short in our pursuit of such initiatives, in going too far in pursuing priorities perceived as outside of our business mission, or in accurately and comprehensively reporting our progress on such initiatives and any related goals and commitments. If our practices or disclosures in these areas do not meet investor or other stakeholder expectations and standards, including related to climate change, environmental sustainability, human capital management, inclusion and diversity, supply chain management and human rights, or do not meet related regulations and expectations, our reputation may be impacted negatively, and we may be subject to litigation risk, regulatory enforcement and/or other governmental scrutiny or action, which could materially impact our operating results. In addition, we could be criticized for the scope, pace or prioritization of our programs, initiatives or goals, or perceived as not acting responsibly in connection with these matters or otherwise, and that evaluation may be based on factors unrelated to the impact of these matters on our business, financial or otherwise. Our failure, or perceived failure, with these programs or initiatives or more generally to manage reputational threats and meet shifting and, in certain cases, inconsistent, stakeholder expectations or consumer preferences could negatively impact our brand, image, reputation, credibility, Associate recruitment and retention and the willingness of our customers and suppliers to do business with 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expansion of our international operations could expose us to risks inherent in operating in new countries.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 significant retail presence in several countries in Europe and in Canada and Australia. We also operate buying and other offices around the world and have made investments in certain geographies, including our entry into a joint venture in Mexico and our minority equity investment in the Middle East. We generally look for opportunities to continue to expand our operations globally, such as our announced expansion into Spain. It can be costly and complex to establish, develop and maintain international operations, to identify appropriate store locations, to hire, train and integrate Associates, and to promote business in new international jurisdictions, which may differ significantly from other countries in which we currently operate.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p>
      <w:pPr>
        <w:ind w:right="20"/>
        <w:spacing w:after="0" w:line="253" w:lineRule="auto"/>
        <w:rPr>
          <w:sz w:val="20"/>
          <w:szCs w:val="20"/>
          <w:color w:val="auto"/>
        </w:rPr>
      </w:pPr>
      <w:r>
        <w:rPr>
          <w:rFonts w:ascii="Times New Roman" w:cs="Times New Roman" w:eastAsia="Times New Roman" w:hAnsi="Times New Roman"/>
          <w:sz w:val="18"/>
          <w:szCs w:val="18"/>
          <w:color w:val="auto"/>
        </w:rPr>
        <w:t>As with our current operations, risks are inherent in opening and developing operations in, or making investments in, new countries, including risks related to compliance with the U.S. Foreign Corrupt Practices Act and the U.K. Bribery Act. Additional risks include, among others, understanding the local retail climate and trends, local customs and cultures, local labor markets, seasonal differences, business practices and competitive conditions; complying with relevant laws, rules and regulations; developing an appropriate infrastructure; identifying suitable partners for local operations and for integration with our global operations and effectively communicating and implementing company policies and practices in new, possibly remote, jurisdictions. Financial, regulatory and other risks are also associated with international operations, including currency exchange fluctuations; potentially adverse tax consequences; limitations on the repatriation and investment of funds outside of the country where earned; trade regulations; other compliance requirements; the risk of policy or regulatory changes, including those that could affect sourcing and allocation and/or add significant compliance and disclosure costs; the risk of political, economic and civil instability and labor unrest; and uncertainties regarding interpretation, application and enforceability of laws and agreements. Any of these risks could adversely impact our operations, profitability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market expectations for our financial performance could adversely affect the market price and volatility of our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operating results have fluctuated from quarter to quarter, sometimes significantly, at points in the past and may do so again in the future. If we fail to increase our results over prior periods, to achieve our projected results or to meet the expectations of securities analysts or investors, our stock price may decline (as it has at times in the past), and the decrease in the stock price may be disproportionate to the shortfall in our financial performance. Results may be affected by various factors, including those described in these risk factors. In addition, we maintain a forecasting process that seeks to plan sales and align expenses. However, if we do not control costs or appropriately adjust costs to actual results, or if actual results differ from our forecast, our financial performance could be adversely affected. In addition, if we suspend our buyback program, which we have done in the past, or if we have an active buyback program and are repurchasing shares but do not repurchase the number of shares we contemplated pursuant to our financial plans at the rate or in the timing we planned, our earnings per share may be adversely affected. Similarly, if we reduce or suspend our dividend distributions, as we did for part of fiscal 2021, our stock price may be adversely affected.</w:t>
      </w:r>
    </w:p>
    <w:p>
      <w:pPr>
        <w:spacing w:after="0" w:line="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inventory or other assets from loss and theft and situations resulting in loss or theft may impact customer and Associate safety as well as our financial results.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Risk of loss or theft of assets, including inventory shrinkage, is inherent in the retail business. Loss may be caused by error or misconduct of Associates, customers, vendors or other third parties, including through organized retail crime and professional theft, and may be further impacted by macroeconomic factors, including the enforcement environment, as well as increased inventory levels in our stores. We may not be able to effectively determine the cause or extent of the loss. Our inability to prevent and/or minimize or reduce the loss or theft of assets effectively, or to predict and accrue for the impact of those losses accurately, has adversely affected our financial performance in the past and could do so again. In addition, our ability to provide a safe environment in our stores may be impacted in the course of a theft or other behavioral situations that periodically arise.</w:t>
      </w:r>
    </w:p>
    <w:p>
      <w:pPr>
        <w:spacing w:after="0" w:line="7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strong cash flows from our operations to supply capital to fund our operations, anticipated growth, any stock repurchases and dividends and interest and debt repayment.</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business depends upon our operations continuing to generate strong cash flow to supply capital to support our general operating activities, to fund our anticipated growth and any return of cash to stockholders through our stock repurchase programs and dividends and to pay our interest and make debt repayments. If we are unable to generate sufficient cash flows or to repatriate cash from our international operations in a manner that is cost effective, our growth plans, capital expenditures, operating expenses and financial performance, including our earnings per share, could be adversely affected.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Mergers, acquisitions or investments in new businesses, or divesting, closing or consolidating any of our current businesses, subjects our business to additional risks and could adversely affect our results.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in the past and may again acquire new businesses; invest in or enter into joint ventures with other businesses (as we did during fiscal 2025 with our minority equity investment in the Middle East and in our joint venture in Mexico); develop new businesses internally (as with Homesense, our second U.S. home store concept); launch or expand e-commerce platforms (as we have done with tkmaxx.de and tkmaxx.at in Europe); and divest (as we did in fiscal 2023 with our minority interest in an off-price retailer of apparel and home fashions operating stores throughout Russia), close, or consolidate businesses. Failure to execute on mergers, acquisitions, investments, divestitures, closings and consolidations in an effective or satisfactory manner, including due to circumstances outside our control, could adversely affect our future results of operations and financial condition. Acquisition, investment or divestiture activities may divert attention of management away from operating our existing businesses. We may not effectively evaluate target companies, investments or investment partners or assess the risks, benefits and costs of buying, investing in or closing businesses, or the integration or attendant risks of acquired businesses or investments, all of which can be difficult, time-consuming and dilutive. These activities may not meet our performance and other expectations and may expose us to unexpected or greater-than-expected costs, liabilities and risks, including from, for example, changes in law, market conditions, economic conditions, the retail industry, political conditions, human capital matters, inaccurate assumptions, or the negligence or malfeasance of our partners or other third parties. In addition, in connection with most of our prior acquisitions, we recorded intangible assets and goodwill and the value of the tradenames, and may similarly do so in the future in connection with other acquisitions. If we are unable to realize the anticipated benefits from acquisitions or investments, we may be required to impair some or all of the goodwill associated with an acquisition or some or all of the investment, which would adversely impact our results of operations and balance sheet, such as with an impairment charge. For example, in connection with the conflict between Russia and Ukraine, we divested our minority ownership interest in an off-price retailer that operates stores in Russia and did not recover the full value of our investment. Divestitures, closings and consolidations could involve risks such as significant costs and obligations of closure, including exposure on leases, owned real estate and other contractual, employment, pension and severance obligations and potential liabilities that may arise under law as a result of the disposition or as a result of the credit risk of an acquirer.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 number of real estate leases, which generally obligate us for long periods, subject us to potential financial risk.</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lease almost all of our store locations and either own or lease for long periods our primary distribution centers and administrative offices. Accordingly, we are subject to the risks associated with leasing and owning real estate. While we have the right to terminate some of our leases under specified conditions, including by making specified payments, we may not be able to terminate most of our leases if or when we would like to do so. If we decide or are required to permanently close stores, we typically are required to continue to perform obligations under the applicable leases, which generally include, among other things, paying rent, insurance premiums, real estate taxes, and maintenance expenses for the balance of the lease term, and the cost of any of these obligations may be significant. When we assign leases to third parties, or if we sell or close a business, we can remain liable for the lease obligations for the balance of the term and be contingently liable if the assignee does not perform (as was the case with some of our former operations). We also remain primarily liable if we sublease space to a third party. In addition, when the lease terms for the stores in our ongoing operations expire, we may be unable to negotiate renewals, either on commercially reasonable terms or at all, which could cause us to permanently close stores or to relocate stores within a market on less favorable terms or in a less favorable location. If we decide to cease operations at any locations that we own, we may be unable to dispose of such real estate (including by selling or leasing such real estate to a third party) on favorable market terms. In such case, we would continue to incur ownership obligations on unused property, and the cost of these obligations may be significant. Any or all of these factors could adversely affect our financial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AND ECONOMIC RISKS</w:t>
      </w:r>
    </w:p>
    <w:p>
      <w:pPr>
        <w:spacing w:after="0" w:line="12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on a global level or in particular markets, geopolitical uncertainty, and other factors creating uncertainty and instability may adversely affect consumer confidence and discretionary spending, which could affect our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Consumer confidence and discretionary spending can be affected by various economic conditions, both on a global level and in particular markets, that can, in turn, affect our business or the retail industry generally. These factors include, among others, inflation and deflation; actual or perceived declines in consumer purchasing power; economic recession; unemployment levels; availability of disposable income and actual and perceived wealth; health care costs; costs of oil, gas and other commodities; interest rates and tax rates and related policies; weakness in the housing market and rising housing costs; volatility in capital markets and credit availability. Many of these factors have been present in the market in recent years, including inflation and economic downturn, which has impacted consumer confidence and discretionary spending.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t>Volatility or uncertainty in regulation or policy, including in areas such as international diplomacy, trade and tariff policies; threats or occurrences of war or armed conflict, geopolitical instability or uncertainty, (including in Ukraine and the Middle East, and shipping disruptions in the Red Sea and surrounding waterways); terrorism; pandemics or epidemics (such as the COVID-19 pandemic); supply chain disruptions; uncertainty regarding the financial stability of banking institutions; and political or social unrest and/or conflict (locally or across regions) have had and may continue to have significant effects on consumer confidence and spending. Factors that affect consumer confidence and spending can in turn impact trends in spending, the retail industry generally, and our business and financial results. Shifts in the market may adversely affect our sales, cash flows, merchandise orders and results of operations and performance.</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U.S. or other countries' trade policies and tariff and import/export regulations or our failure to comply with such regulations may have an adverse effect on our business, financial condition, and results of operations.</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Changes in the import and export policies, including trade restrictions, new or increased tariffs or quotas, embargoes, sanctions and countersanctions, safeguards or customs restrictions by the U.S. and/or other foreign governments, could require us to change the way we conduct business, affect our merchandise margins and adversely affect our financial condition, results of operations, reputation and our relationships with customers, vendors and Associates in the short- or long-term. Similarly, changes in laws and policies governing foreign trade, manufacturing, development and investment in the countries where we currently operate could adversely affect our business.</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government has imposed, and may in the future impose further, tariffs on certain foreign goods and product imports. These actions have resulted, and are expected to further result, in retaliatory measures on U.S. goods. In February 2026, the U.S. Supreme Court issued a decision invalidating tariffs imposed under the International Emergency Economic Powers Act (“IEEPA”). The ruling may allow for recovery of IEEPA tariff amounts previously paid, although the timing and administration of any potential IEEPA tariff refunds is unknown and may be subject to further legal and regulatory developments. Subsequent to the U.S. Supreme Court’s ruling, an executive order was issued imposing a new global tariff, in addition to any existing non-IEEPA tariffs. The outlook on further trade policy actions, including trade agreements and potential retaliatory tariffs is unclear. These tariffs and other potential trade disputes could pose a risk to our business that could affect our revenue and cost of sourcing our merchandise. The extent and duration of the tariffs and the resulting impact on general economic conditions and on our business are uncertain and depend on various factors, such as further changes to the U.S. government tariff policies, negotiations between the U.S. and affected countries, the responses of other countries or regions, exemptions or exclusions that may be granted, availability and cost of alternative sources of merchandise, and our buying organization’s ability to execute our merchandise sourcing model to offset the effects of the tariffs. Further, actions we take to adapt to new tariffs or trade restrictions may increase risk or may cause us to modify our operations, which could be time-consuming and expensive; impact pricing of our merchandise, which could impact our sales, profitability, and our reputation as a value retailer; or cause us to forgo business opportunities.</w:t>
      </w:r>
    </w:p>
    <w:p>
      <w:pPr>
        <w:spacing w:after="0" w:line="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economic conditions, on a global level or in particular markets, may adversely affect our sources of liquidity and costs of capital and increase our financial exposure, and our strategies for managing these financial risks may not be effective or sufficient.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 financial markets can experience volatility, disruption and credit contraction, which could adversely affect global economic conditions. On occasion, we borrow money to finance our activities, and if financing were not available to us in adequate amounts and on appropriate terms when needed, that could adversely affect our financial performance. Changes in the capital and credit markets and general market disruptions, such as prolonged volatility or significant disruption of global financial markets relating to the financial and regulatory environment; interest rate fluctuations; geopolitical conflict; and disruptions impacting traditional banking, have in the past increased and may continue to increase the cost of financing or may restrict our access to potential sources of liquidity on acceptable terms or at all, and impede our ability to comply with debt covenants. In addition, changes in economic conditions could adversely affect plan asset values and investment performance and increase our pension liabilities, expenses and funding requirements and other related financial exposure with respect to company-sponsored and multiemployer pension plans. We rely on banks and other financial institutions to safeguard and allow ready access to assets such as cash and cash equivalents. Our continued access to liquidity sources on favorable terms also depends on factors such as our operating performance and maintaining strong credit ratings. Our strategies for managing these financial risks and exposures may not be effective or sufficient or may expose us to risk.</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severe or unseasonable adverse weather, serious disruptions, catastrophic events or public health crises.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or other disasters, such as hurricanes, tornadoes, floods, wildfires, earthquakes and other extreme weather; climate conditions, which have continued to increase in severity and frequency; public health issues, such as pandemics and epidemics (such as the COVID-19 pandemic); fires or explosions; acts of war or conflict (such as the ongoing Russia-Ukraine conflict, the ongoing conflict in the Middle East and shipping disruptions in the Red Sea and surrounding waterways); domestic or foreign terrorism or other acts of violence (including riots or active shooter situations); or cyberterrorism, nation-state cyber-attacks, or other cyber events could disrupt our operations and/or have an adverse effect on our results of operations and financial condition in a number of ways. These effects could include causing injury or serious harm to our Associates or customers; severely damaging or destroying one or more of our stores, distribution facilities, or office facilities; or disrupting the operations of, or requiring the closure of, third-party service providers, one or more of our vendors or parts of our supply chain located in the affected areas.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Day-to-day operations, including our ability to receive products from our vendors or third-party service providers or to transport products to our stores or to our e-commerce customers could be adversely affected, transportation to and from our stores (by customers or Associates) could be limited, or we could temporarily close stores or facilities within our distribution network in the affected areas or in areas served by affected facilities for a short or extended period of time.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Government regulations and responses to such events or conditions could affect our operations or result in material expenses relating to compliance. Our business continuity and disaster recovery plans may not be adequate to address all potential scenarios, particularly those involving disruptions of unprecedented scope, severity, or duration. Our ability to recover from a significant disruption may depend on factors beyond our control, including the availability of transportation, utilities, labor, and third-party services in the affected areas. Adverse or unseasonable weather, such as storms, severe cold or heat or unseasonable temperatures (even if not extreme), which could increase in both frequency and severity over time, may also affect customers’ buying patterns and willingness to shop at all or in certain categories we offer, particularly in apparel, products viewed as contributing to deforestation or biodiversity loss, or seasonal merchandise, and may affect our ability to source products containing raw materials whose yield is affected by adverse weather, which could impact our sales, customer satisfaction with our stores, and our markdowns, adversely affecting our business.</w:t>
      </w:r>
    </w:p>
    <w:p>
      <w:pPr>
        <w:spacing w:after="0" w:line="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business is subject to seasonal influences, a significant, unplanned decrease in sales or margins, a severe disruption or other significant event that impacts our business during the second half of the year could have a disproportionately adverse effect on our operating results.</w:t>
      </w:r>
    </w:p>
    <w:p>
      <w:pPr>
        <w:spacing w:after="0" w:line="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influences; we generally realize higher levels of sales and earnings in the second half of the year, which includes the back-to-school and year-end holiday seasons. Any significant, unplanned decrease in sales or margins or any significant adverse event or disruption that impacts our business during this period, including those described in these risk factors, could have a disproportionately adverse effect on our results of operations.</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increased utility, transportation or logistics costs; reduced availability or increased cost of oil or other fuels; or increased costs of other commodities.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Energy and fuel costs can fluctuate dramatically and, at times, have resulted in significant cost increases, particularly for the price of oil and gasoline. An increase in the price of oil increases our transportation costs for distribution, utility costs for our retail stores and costs to purchase our products from vendors. Although we typically enter into derivative instruments designed to manage a portion of our transportation costs (a hedging strategy), any such strategy may not be effective or sufficient and could result in increased operating costs. Increased global and U.S. regulation related to environmental costs, including cap and trade, carbon taxes or other emissions management systems could also adversely affect our costs of doing business, including utility, transportation and logistics costs. Shortages or disruptions, including from increased demand, geopolitical conflicts and other factors, impacting transportation within our supply chain, also negatively impact our cost of business and cause costs to fluctuate in ways we may not be able to anticipate. For example, in recent years, increased freight costs related to labor, equipment and capacity shortages involving freight hauling, increased interest rates and other factors, had an adverse impact on our margins. Geopolitical events have in the past and may again impact fuel resources and operations of third parties along our supply chain such that our inventory flow and financial performance is negatively impacted. Similarly, other commodity prices can fluctuate dramatically. Commodity price increases can impact the cost of merchandise, which could adversely affect our performance through potentially reduced consumer demand or reduced margins.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lead to lower revenues and earnings.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Sales made by our stores outside the U.S. are denominated in the currency of the country in which the store is located, and changes in currency exchange rates affect the translation of the sales and earnings of these businesses into U.S. dollars for financial reporting purposes. As a result, movements in currency exchange rates have had, and are expected to continue to have, a significant impact on our consolidated and segment results from time to time. Changes in currency exchange rates can also increase the cost of inventory purchases that are denominated in a currency other than the local currency of the business buying the merchandise. When exchange rates change significantly in a short period or move unfavorably over an extended period, it can be difficult for us to adjust accordingly, and gross margin can be adversely affected. For example, a significant amount of merchandise we offer for sale is made in China and accordingly, a revaluation of Chinese currency, or increased market flexibility in the exchange rate for that currency, increasing its value relative to the U.S. dollar or currencies in which our stores are located, could be significant.</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we routinely enter into inventory-related derivative instruments (a hedging strategy) to mitigate the impact of currency exchange rates on merchandise margins resulting from merchandise purchases by our segments denominated in currencies other than their local currencies. These mitigation strategies may not be effective or sufficient. In addition, in accordance with GAAP, we evaluate the fair value of these derivative instruments and make mark-to-market adjustments at the end of each accounting period. These adjustments are of a much greater magnitude when there is significant volatility in currency exchange rates and may have a significant impact on our earnings.</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expect that currency exchange rate fluctuations could have a material adverse effect on our sales and results of operations from time to time. In addition, fluctuations in currency exchange rates may have a greater impact on our earnings and operating results if a counterparty to one of our hedging arrangements fails to perform.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LEGAL AND COMPLIANCE RISKS</w:t>
      </w:r>
    </w:p>
    <w:p>
      <w:pPr>
        <w:spacing w:after="0" w:line="1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rules, regulations and orders and applicable accounting principles and interpretations could negatively affect our business operations and financial performance.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national, state, provincial, regional and local laws, rules, regulations, mandates, accounting standards, principles and interpretations, as well as government orders in various countries in which we operate that collectively affect multiple aspects of our business. We are also subject to new and changing laws, rules and regulations, mandates, evolving interpretations of existing laws by judicial and regulatory authorities, changes in accounting standards, principles or interpretations and reforms in jurisdictions where we do business. These requirements, current or changing, could adversely affect our operating results and may affect our operations, and include those involving:</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labor and employment practices, including pay and benefits, worker classification, work authorization, and labor unions and works councils;</w:t>
      </w:r>
    </w:p>
    <w:p>
      <w:pPr>
        <w:spacing w:after="0" w:line="117" w:lineRule="exact"/>
        <w:rPr>
          <w:sz w:val="20"/>
          <w:szCs w:val="20"/>
          <w:color w:val="auto"/>
        </w:rPr>
      </w:pPr>
    </w:p>
    <w:p>
      <w:pPr>
        <w:ind w:left="660" w:right="60" w:hanging="324"/>
        <w:spacing w:after="0" w:line="266" w:lineRule="auto"/>
        <w:rPr>
          <w:sz w:val="20"/>
          <w:szCs w:val="20"/>
          <w:color w:val="auto"/>
        </w:rPr>
      </w:pPr>
      <w:r>
        <w:rPr>
          <w:rFonts w:ascii="Times New Roman" w:cs="Times New Roman" w:eastAsia="Times New Roman" w:hAnsi="Times New Roman"/>
          <w:sz w:val="18"/>
          <w:szCs w:val="18"/>
          <w:color w:val="auto"/>
        </w:rPr>
        <w:t>– import/export, supply chain, social compliance, and trade restrictions and logistics, including resulting from changes to requirements or policies from the Uyghur Forced Labor Prevention Act, the Countering America’s Adversaries Through Sanctions Act and the continuation of widespread sanctions as a result of the ongoing Russia-Ukraine conflict;</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climate change, energy, waste, deforestation, biodiversity, chemicals management and water;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consumer protection, product safety and product compliance;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marketing;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financial regulations and reporting, including various climate-related financial disclosure regulations;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tax;</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cybersecurity, data protection and privacy;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artificial intelligence;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internet regulations, including e-commerce, electronic communications and privacy;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protection of intellectual property rights;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health, welfare and safety requirements; and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compliance with governmental assistance programs.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Complying with applicable laws, rules, regulations, standards, interpretations, orders and our own internal policies may require us to spend additional time and resources to develop and implement new policies, procedures and other controls, consolidate and report additional data, conduct audits, train Associates and third parties on our compliance methods, or take other actions, particularly as we continue to grow globally and enter new markets, countries, or product categories and affect our operations including where, what, and how we source and how we allocate what we buy, any of which could adversely impact our results. Particularly in a dynamic regulatory environment, anticipated changes to laws and regulations have required, and are expected to continue to require, us to invest in compliance efforts or otherwise expend resources before changes are certain. There have been and continue to be changes to federal policy and the federal government in the U.S., which have impacted, and may continue to impact, among other things, the U.S. and global economy, international trade relations, unemployment, immigration, healthcare, taxation, and the U.S. regulatory environment.</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we, or third parties that perform services on our behalf, including those operating retail businesses, fail to comply with applicable laws, rules, regulations, standards, interpretations and orders, or are unable to provide us with data or other information needed to meet our regulatory reporting obligations, we may be subject to judgments, fines or other costs or penalties, which may cause reputational harm and could adversely affect our operations and our financial results and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materially adversely affected by the outcomes of litigation, legal proceedings and other legal or regulatory matters.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involved in, and may in the future become involved in additional, legal proceedings, regulatory reviews, audits and other legal matters. These may involve inquiries, investigations, lawsuits and other proceedings by local, provincial, state and national governmental entities (in the U.S. and other countries) and private plaintiffs, including with respect to employment and employee benefits (such as classification, employment rights, discrimination, wage and hour, retirement, health and other benefits, retaliation, work authorization and pay transparency); whistleblower claims; harassment claims; tax; securities; disclosure; real estate; environmental matters; hazardous materials and hazardous waste; torts; business practices; consumer protection; potential tariff refunds; privacy/cybersecurity; product safety and compliance; advertising; and intellectual property. There continue to be employment-related and consumer protection lawsuits, including putative class actions, in the United States, and we are subject to these types of suits. We cannot predict the results of legal and regulatory proceedings with certainty, and actual results may differ from any reserves we establish estimating the probable outcome. Regardless of merit or outcome, these proceedings can be both time-consuming and disruptive to our operations and may cause reputational harm as well as significant expense and diversion of management attention. Legal, regulatory and other proceedings could expose us to significant defense costs, fines, penalties and liability to private parties and governmental entities for monetary recoveries and other amounts and attorneys’ fees and/or require us to change aspects of our operations, any of which could have a material adverse effect on our business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safety or other issues with merchandise we buy and sell could impact our reputation, sales and financial results.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Various governmental authorities in the jurisdictions where we do business regulate the quality and safety of the merchandise we import, transport and sell to consumers. Regulations and standards in this area, including federal laws and regulations enforced by the U.S. Consumer Product Safety Commission (such as the Consumer Product Safety Improvement Act of 2008) and the U.S. Food and Drug Administration (such as the U.S. Food Safety Modernization Act), state laws and regulations like California’s Proposition 65 and similar obligations in other countries in which we operate, impose restrictions and requirements on the merchandise we buy and sell. These requirements change from time to time, and new national, state, provincial or local regulations in the U.S. and other countries that may affect our business are contemplated and enacted with some regularity. We rely on our vendors to provide quality merchandise that complies with applicable laws and regulations and our vendor code of conduct. However, our vendors have not always complied with such obligations. If we, our vendors, or other third parties performing services on our behalf are unable or fail to comply with regulatory requirements on a timely basis or at all, or to adequately monitor new regulations that may apply to existing or new merchandise categories or in new geographies, or if we sell non-compliant, unsafe, or previously recalled products, we could have to conduct product recalls, incur significant fines or penalties for non-compliance with applicable laws and regulations and have to curtail some aspects of our sales or operations, any of which could have an adverse effect on our financial results. Allegations of non-compliance with applicable laws and regulations could, and in certain instances in the past have, exposed us to litigation or governmental enforcement action. Although our arrangements with our vendors frequently provide for indemnification for product liabilities, the vendors may fail to honor these obligations to an extent we consider sufficient or at all. In certain circumstances, we may bear some responsibility for compliance with applicable product safety laws, labeling requirements and other applicable laws and regulations. In addition, failure to comply with, or the perception that we have failed to comply with, other social compliance, product, labor and/or environmental standards or monitoring practices, all of which continue to evolve, related to the products we sell could subject us to reputational harm and impact our financial results.</w:t>
      </w:r>
    </w:p>
    <w:p>
      <w:pPr>
        <w:spacing w:after="0" w:line="8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Concerns or issues with the quality, safety and sourcing of merchandise, particularly with products subject to increased levels of regulation or inquiry, or the authenticity of merchandise, could result in regulatory, civil or criminal fines or penalties; litigation or reputational harm, any of which could have an adverse effect on our financial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could adversely affect our results of operations and financial condition.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income and other taxes in the U.S. and numerous foreign jurisdictions. Our effective income tax rate and future tax liability could be adversely affected by numerous factors including the results of tax audits; income before taxes being lower than anticipated in countries with lower statutory income tax rates and higher than anticipated in countries with higher statutory income tax rates; changes in income tax rates; changes in transfer pricing; changes in the valuation of deferred tax assets and liabilities; changes in applicable tax legislation, regulations, treaties and other guidance; and changes in accounting principles and interpretations relating to tax matters, any of which could adversely impact our results of operations and financial condition in future periods. Significant judgment is required in evaluating and estimating our worldwide provision and accruals for taxes, and actual results may differ from our estimations.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continuous examination of our tax returns and reports by national, state, provincial and local tax authorities in the U.S. and foreign countries, and the examining authorities may challenge positions we take. We are engaged in various proceedings, which are at various stages, with such authorities with respect to assessments, claims, deficiencies and refunds. We regularly assess the likely outcomes of these proceedings to determine the adequacy and appropriateness of our provision for income taxes, and we increase and decrease our provision as a result of these assessments. However, developments in and actual results of proceedings, rulings or settlements by or with tax authorities or courts (including due to changes in facts, law or legal interpretations, expiration of applicable statutes of limitations or other resolutions of tax positions) could result in amounts that differ from those we have accrued for such proceedings in either a positive or a negative manner, which could materially affect our effective income tax rate in a given financial period, the amount of taxes we are required to pay and our results of operations. In addition, we are subject to tax audits and examinations for payroll, value added, sales-based and other taxes relating to our businesses, which could adversely impact our financial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global retailer, we are mindful of the ongoing risks to our IT systems and operations from various sources and have implemented processes to monitor and mitigate these risks. We have adopted a cybersecurity program designed to identify, assess, and manage material risks from cybersecurity threats and have integrated cybersecurity risk into our broader enterprise risk management framework. We incorporate periodic third-party assessments into our risk management program, leveraging appropriate benchmarks and recognized standards and frameworks that are relevant to our business (such as the NIST Cybersecurity Framework), and we periodically self-assess various functional areas of our organization.</w:t>
      </w:r>
    </w:p>
    <w:p>
      <w:pPr>
        <w:spacing w:after="0" w:line="7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We use a variety of strategies and techniques designed to identify cybersecurity risks and reduce the risk of unauthorized access to our organization’s confidential information (including customer, vendor, and Associate data) and critical business systems. This approach includes various assessment activities (e.g. threat actor emulation and penetration testing), tabletop exercises, a vulnerability management program, tools designed to monitor our networks, systems, and data for suspicious activity, security awareness and training activities (e.g. simulated phishing campaigns and specialized training for cybersecurity personnel), encryption of certain types of information, and certain controls governing access to TJX facilities and systems, among other threat- and risk-based safeguards. The scope and level of our risk-based initiatives in these areas varies across functions and across the business.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an Information Management Program that is overseen by our Information Management Steering Committee (the “IMSC”), which is a cross-functional group consisting of senior leaders from areas such as IT, Cybersecurity, Risk and Compliance, Privacy, Legal, and Audit. The IMSC is responsible for developing and updating policies to support TJX’s Information Management Program and enhance the overall privacy, information security, and records management posture of our business.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Within our Cybersecurity department, our Security Operations Center provides threat detection and incident response capabilities. We also have an incident response plan which includes processes to investigate, contain, escalate, and remediate potential cybersecurity incidents as well as to comply with potentially applicable legal obligations and mitigate reputational harm. We periodically test this plan through tabletop exercises with relevant stakeholders across various functions of our business, including members of senior management. In the event that a cybersecurity incident is determined to be potentially material, we will assess materiality and, as appropriate, disclose such incident in accordance with applicable regulatory requirements.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23" w:name="page24"/>
    <w:bookmarkEnd w:id="2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also have processes in place designed to identify and mitigate risks from third party technology and service providers, including, as appropriate, pre-contractual due diligence, review of contractual terms addressing cybersecurity and data protection, and periodic re-assessment based on assessed vendor risk.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 Oversight</w:t>
      </w:r>
    </w:p>
    <w:p>
      <w:pPr>
        <w:spacing w:after="0" w:line="13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Board of Directors has oversight of the systems and processes established to report and monitor the most significant risks to our business (including those related to cybersecurity) and administers this oversight with respect to cybersecurity directly and through our Audit and Finance Committee. Our Board of Directors has oversight of our enterprise risk management program and, in addition, our Audit and Finance Committee reviews IT and cybersecurity risks and related topics with senior management on at least a quarterly basis. Significant cybersecurity risks identified by our Audit and Finance Committee are reported to the Board for review and consideration. Our Board has also had dedicated sessions during Board meetings on specific cybersecurity topics both led by our IT senior leaders and by outside advisors as part of its cybersecurity oversight practices. Additionally, outside of regular Board and committee meetings, the Chair of the IT Subcommittee of the Audit and Finance Committee meets with senior management (including the Chief Information Security Officer (“CISO”) and the Executive Vice President, Chief Information Officer (“CIO”)) on at least a quarterly basis to remain informed of and support our cybersecurity programs, including our assessment of current threats, defensive efforts, and other organizational initiatives.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Role in Managing Risk</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overseen by our CISO, who has over thirty-five years of cybersecurity, information governance, and IT experience in critical infrastructure, private industry, and government. Our CISO reports to our CIO, who has more than thirty years of global information technology leadership experience. Our CISO is informed about and monitors the prevention, detection and mitigation of cybersecurity threats through his management of, and participation in, the cybersecurity risk management and strategy processes described above, including the operation of our incident response plan.</w:t>
      </w:r>
    </w:p>
    <w:p>
      <w:pPr>
        <w:spacing w:after="0" w:line="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As discussed in Item 1A in this Form 10-K, despite our continuing efforts, our IT systems, as well as those of our suppliers, service providers and other third parties whose IT systems we utilize directly or indirectly, are targeted by attempts to access or obtain personal or other sensitive information, attempts at monetary theft and attempts to disrupt business. These attempts continue to evolve and are becoming increasingly sophisticated (including through the use of artificial intelligence). While some of these attempts have resulted in cybersecurity incidents, the unauthorized intrusion into our network discovered late in 2006 is the only such cybersecurity incident to date that has been material to the results of our operations. For more information, see “Compromises of our cybersecurity, disruptions in our information technology systems, or failure to satisfy the information technology needs of our business could result in material loss or liability, materially impact our operating results or materially harm our reputation.” in Item 1A in this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5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lease virtually all of our store locations, as well as some of our distribution and fulfillment centers and office space. Most of TJX's leases in the U.S. and Canada are store operating leases, generally for an initial term of ten years with options to extend the lease term for one or more five-year periods. Store operating leases in Europe generally have an initial term of ten to fifteen years and leases in Australia generally have an initial term of ten years, some of which have options to extend. Some of the Company's leases have options to terminate prior to the lease expiration date.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STORE LOCATIONS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were operated in the following locations at the end of fiscal 2026. Counts include both banners within a combo or a superstore: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3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Marmaxx</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Sierra</w:t>
            </w: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HomeGoods</w:t>
            </w:r>
            <w:r>
              <w:rPr>
                <w:rFonts w:ascii="Times New Roman" w:cs="Times New Roman" w:eastAsia="Times New Roman" w:hAnsi="Times New Roman"/>
                <w:sz w:val="23"/>
                <w:szCs w:val="23"/>
                <w:color w:val="auto"/>
                <w:vertAlign w:val="superscript"/>
              </w:rPr>
              <w:t>(a)</w:t>
            </w: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District of Columbia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Puerto Rico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Dakota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Wyoming</w:t>
            </w:r>
          </w:p>
        </w:tc>
        <w:tc>
          <w:tcPr>
            <w:tcW w:w="3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3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2,603</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w:t>
            </w: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1,042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w:t>
            </w:r>
          </w:p>
        </w:tc>
      </w:tr>
    </w:tbl>
    <w:p>
      <w:pPr>
        <w:spacing w:after="0" w:line="11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Marmaxx operates TJ Maxx and Marshalls. HomeGoods operates HomeGoods and Homesense.</w:t>
      </w:r>
    </w:p>
    <w:p>
      <w:pPr>
        <w:sectPr>
          <w:pgSz w:w="11900" w:h="16838" w:orient="portrait"/>
          <w:cols w:equalWidth="0" w:num="1">
            <w:col w:w="11240"/>
          </w:cols>
          <w:pgMar w:left="320" w:top="80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3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Winners</w:t>
            </w: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HomeSense</w:t>
            </w: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Marshalls</w:t>
            </w: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Manitoba</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Brunswick</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Newfoundland</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Nova Scotia</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Prince Edward Island</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Quebec</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Saskatchewan</w:t>
            </w:r>
          </w:p>
        </w:tc>
        <w:tc>
          <w:tcPr>
            <w:tcW w:w="3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3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162</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r>
      <w:tr>
        <w:trPr>
          <w:trHeight w:val="47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Europe</w:t>
            </w:r>
          </w:p>
        </w:tc>
        <w:tc>
          <w:tcPr>
            <w:tcW w:w="3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TK Maxx</w:t>
            </w: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Homesense</w:t>
            </w: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Ireland</w:t>
            </w:r>
          </w:p>
        </w:tc>
        <w:tc>
          <w:tcPr>
            <w:tcW w:w="306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306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3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3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673</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r>
      <w:tr>
        <w:trPr>
          <w:trHeight w:val="46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Australia</w:t>
            </w:r>
          </w:p>
        </w:tc>
        <w:tc>
          <w:tcPr>
            <w:tcW w:w="3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TK Maxx</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Capital Territory</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South Wales</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Queensland</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Australia</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Australia</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Tasmania</w:t>
            </w:r>
          </w:p>
        </w:tc>
        <w:tc>
          <w:tcPr>
            <w:tcW w:w="3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3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CENTERS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primary owned and leased distribution and fulfillment centers as of January 31, 2026. Square footage information for the distribution and fulfillment centers represents total “ground cover” of the facility.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Owned</w:t>
            </w:r>
          </w:p>
        </w:tc>
        <w:tc>
          <w:tcPr>
            <w:tcW w:w="1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Square footage in millions</w:t>
            </w:r>
          </w:p>
        </w:tc>
        <w:tc>
          <w:tcPr>
            <w:tcW w:w="18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Sq/ft</w:t>
            </w: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Count</w:t>
            </w: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Sq/ft</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Count</w:t>
            </w: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Sq/ft</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Count</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Marmaxx</w:t>
            </w:r>
          </w:p>
        </w:tc>
        <w:tc>
          <w:tcPr>
            <w:tcW w:w="1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w:t>
            </w: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Sierra</w:t>
            </w:r>
          </w:p>
        </w:tc>
        <w:tc>
          <w:tcPr>
            <w:tcW w:w="1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 SPACE</w:t>
      </w:r>
    </w:p>
    <w:p>
      <w:pPr>
        <w:spacing w:after="0" w:line="13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TJX has corporate headquarters in Massachusetts which consists of both owned and leased space. Additionally, we own and lease additional office space throughout the United States and in various countries. As of January 31, 2026, TJX owned and leased a combined 3.7 million square feet of office space, primarily within the United States. Square footage information for office space represents total space owned or leased.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1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See Legal Contingencies in </w:t>
      </w:r>
      <w:r>
        <w:rPr>
          <w:rFonts w:ascii="Times New Roman" w:cs="Times New Roman" w:eastAsia="Times New Roman" w:hAnsi="Times New Roman"/>
          <w:sz w:val="18"/>
          <w:szCs w:val="18"/>
          <w:u w:val="single" w:color="auto"/>
          <w:color w:val="0000FF"/>
        </w:rPr>
        <w:t>Note N—Contingent Obligations, Contingencies, and Commitments</w:t>
      </w:r>
      <w:r>
        <w:rPr>
          <w:rFonts w:ascii="Times New Roman" w:cs="Times New Roman" w:eastAsia="Times New Roman" w:hAnsi="Times New Roman"/>
          <w:sz w:val="18"/>
          <w:szCs w:val="18"/>
          <w:color w:val="auto"/>
        </w:rPr>
        <w:t xml:space="preserve"> of Notes to Consolidated Financial Statements for information on legal proceedings.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PART II</w:t>
      </w:r>
    </w:p>
    <w:p>
      <w:pPr>
        <w:spacing w:after="0" w:line="14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ITEM 5. Market for the Registrant’s Common Equity, Related Stockholder Matters and Issuer Purchases of Equity Securities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(Symbol: TJX).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approximate number of common shareholders of record at January 31, 2026 was 1,695.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ON SHARE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repurchased by TJX during the fourth quarter of fiscal 2026 and the average price paid per share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2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6"/>
                <w:szCs w:val="16"/>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Average Price</w:t>
            </w:r>
          </w:p>
        </w:tc>
        <w:tc>
          <w:tcPr>
            <w:tcW w:w="2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2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May Yet be Purchased Under</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280" w:type="dxa"/>
            <w:vAlign w:val="bottom"/>
          </w:tcPr>
          <w:p>
            <w:pPr>
              <w:spacing w:after="0"/>
              <w:rPr>
                <w:sz w:val="15"/>
                <w:szCs w:val="15"/>
                <w:color w:val="auto"/>
              </w:rPr>
            </w:pPr>
          </w:p>
        </w:tc>
        <w:tc>
          <w:tcPr>
            <w:tcW w:w="20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rPr>
              <w:t>the Plans or</w:t>
            </w: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ind w:right="350"/>
              <w:spacing w:after="0" w:line="243" w:lineRule="exact"/>
              <w:rPr>
                <w:sz w:val="20"/>
                <w:szCs w:val="20"/>
                <w:color w:val="auto"/>
              </w:rPr>
            </w:pPr>
            <w:r>
              <w:rPr>
                <w:rFonts w:ascii="Times New Roman" w:cs="Times New Roman" w:eastAsia="Times New Roman" w:hAnsi="Times New Roman"/>
                <w:sz w:val="18"/>
                <w:szCs w:val="18"/>
                <w:color w:val="auto"/>
              </w:rPr>
              <w:t>Repurchased</w:t>
            </w:r>
            <w:r>
              <w:rPr>
                <w:rFonts w:ascii="Times New Roman" w:cs="Times New Roman" w:eastAsia="Times New Roman" w:hAnsi="Times New Roman"/>
                <w:sz w:val="23"/>
                <w:szCs w:val="23"/>
                <w:color w:val="auto"/>
                <w:vertAlign w:val="superscript"/>
              </w:rPr>
              <w:t>(a)</w:t>
            </w:r>
          </w:p>
        </w:tc>
        <w:tc>
          <w:tcPr>
            <w:tcW w:w="1380" w:type="dxa"/>
            <w:vAlign w:val="bottom"/>
            <w:tcBorders>
              <w:bottom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Paid Per Share</w:t>
            </w:r>
            <w:r>
              <w:rPr>
                <w:rFonts w:ascii="Times New Roman" w:cs="Times New Roman" w:eastAsia="Times New Roman" w:hAnsi="Times New Roman"/>
                <w:sz w:val="23"/>
                <w:szCs w:val="23"/>
                <w:color w:val="auto"/>
                <w:vertAlign w:val="superscript"/>
              </w:rPr>
              <w:t>(b)</w:t>
            </w:r>
          </w:p>
        </w:tc>
        <w:tc>
          <w:tcPr>
            <w:tcW w:w="24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8"/>
              </w:rPr>
              <w:t>Announced Plans or Programs</w:t>
            </w:r>
            <w:r>
              <w:rPr>
                <w:rFonts w:ascii="Times New Roman" w:cs="Times New Roman" w:eastAsia="Times New Roman" w:hAnsi="Times New Roman"/>
                <w:sz w:val="23"/>
                <w:szCs w:val="23"/>
                <w:color w:val="auto"/>
                <w:w w:val="98"/>
                <w:vertAlign w:val="superscript"/>
              </w:rPr>
              <w:t>(a)</w:t>
            </w: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70"/>
              <w:spacing w:after="0" w:line="243"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(c)</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 2025 through</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1,723,450,374</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30, 2025 through</w:t>
            </w: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 2026</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2,328,557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1,363,655,394</w:t>
            </w: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4, 2026 through</w:t>
            </w: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2026</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1,906,691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4,069,854,572</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5,117,690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5,117,690</w:t>
            </w: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repurchased under publicly announced stock repurchase programs.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for the shares repurchased under stock repurchase programs.</w:t>
      </w:r>
    </w:p>
    <w:p>
      <w:pPr>
        <w:spacing w:after="0" w:line="68" w:lineRule="exact"/>
        <w:rPr>
          <w:rFonts w:ascii="Times New Roman" w:cs="Times New Roman" w:eastAsia="Times New Roman" w:hAnsi="Times New Roman"/>
          <w:sz w:val="14"/>
          <w:szCs w:val="14"/>
          <w:color w:val="auto"/>
        </w:rPr>
      </w:pPr>
    </w:p>
    <w:p>
      <w:pPr>
        <w:ind w:left="340" w:right="160" w:hanging="332"/>
        <w:spacing w:after="0" w:line="302" w:lineRule="auto"/>
        <w:tabs>
          <w:tab w:leader="none" w:pos="33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2026, we announced that our Board of Directors had approved a new stock repurchase program that authorized the repurchase of up to an additional $3 billion of our common stock from time to time. Under this program and previously announced programs, we had approximately $4.1 billion available for repurchase as of January 31,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TJX provides projections and other forward-looking statements in the following discussions particularly relating to our future financial performance. These forward-looking statements are estimates based on information currently available to us and subject to the cautionary statements set forth on page 3 of this Form 10-K. Our results are subject to risks, uncertainties and potentially inaccurate assumptions that could cause actual results to differ materially from those expressed or implied by any such forward-looking statements. Applicable risks and uncertainties include, among others, those described in Part I, Item 1A, Risk Factors, as well as other information we file with the SEC. TJX undertakes no obligation to update or revise any forward-looking statements, even if experience or future changes make it clear that any projected results expressed or implied in such statements will not be realized.</w:t>
      </w:r>
    </w:p>
    <w:p>
      <w:pPr>
        <w:spacing w:after="0" w:line="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discussion that follows relates to our 52-week fiscal year ended January 31, 2026 (fiscal 2026) and our 52-week fiscal year ended February 1, 2025 (fiscal 2025) and our 52-week fiscal year ended January 30, 2027 (fiscal 2027).</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our consolidated operating results, followed by a discussion of our segment operating results. Discussions of fiscal 2024 items and year-to-year comparisons between fiscal 2025 and fiscal 2024 that are not included in this Form 10-K can be found in “Management's Discussion and Analysis of Financial Condition and Results of Operations” in Part II, Item 7 of our annual report on Form 10-K for the fiscal year ended February 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through our stores and six e-commerce sites. We operate over 5,200 stores through our four segments: in the U.S., Marmaxx (which operates TJ Maxx, Marshalls, tjmaxx.com and marshalls.com) and HomeGoods (which operates HomeGoods and Homesense); TJX Canada (which operates Winners, HomeSense and Marshalls in Canada); and TJX International (which operates TK Maxx, Homesense, tkmaxx.com, tkmaxx.de, and tkmaxx.at in Europe, and TK Maxx in Australia). In addition to our four segments, Sierra operates retail stores and sierra.com in the U.S. The results of Sierra are included in the Marmaxx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financial performance for fiscal 2026 include the following:</w:t>
      </w:r>
    </w:p>
    <w:p>
      <w:pPr>
        <w:spacing w:after="0" w:line="109" w:lineRule="exact"/>
        <w:rPr>
          <w:sz w:val="20"/>
          <w:szCs w:val="20"/>
          <w:color w:val="auto"/>
        </w:rPr>
      </w:pPr>
    </w:p>
    <w:p>
      <w:pPr>
        <w:ind w:left="660" w:right="220" w:hanging="324"/>
        <w:spacing w:after="0" w:line="30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Net sales increased 7% to $60.4 billion for fiscal 2026 versus $56.4 billion for fiscal 2025. As of January 31, 2026, both the number of stores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operation and the selling square footage increased approximately 3% compared to the end of fiscal 2025.</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Consolidated comp sales increased 5% in fiscal 2026. See Net Sales below for the definition of comp sales.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Diluted earnings per share were $4.87 for fiscal 2026, compared to $4.26 for fiscal 2025.</w:t>
      </w:r>
    </w:p>
    <w:p>
      <w:pPr>
        <w:spacing w:after="0" w:line="94" w:lineRule="exact"/>
        <w:rPr>
          <w:sz w:val="20"/>
          <w:szCs w:val="20"/>
          <w:color w:val="auto"/>
        </w:rPr>
      </w:pPr>
    </w:p>
    <w:p>
      <w:pPr>
        <w:ind w:left="660" w:right="260" w:hanging="324"/>
        <w:spacing w:after="0" w:line="296"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Pre-tax profit margin (the ratio of pre-tax income to net sales) for fiscal 2026 was 12.1%. This was a 0.6 percentage point increase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11.5% for fiscal 2025.</w:t>
      </w:r>
    </w:p>
    <w:p>
      <w:pPr>
        <w:spacing w:after="0" w:line="1" w:lineRule="exact"/>
        <w:rPr>
          <w:sz w:val="20"/>
          <w:szCs w:val="20"/>
          <w:color w:val="auto"/>
        </w:rPr>
      </w:pPr>
    </w:p>
    <w:p>
      <w:pPr>
        <w:ind w:left="660" w:right="140" w:hanging="324"/>
        <w:spacing w:after="0" w:line="30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cost of sales, including buying and occupancy costs, ratio for fiscal 2026 was 69.0%, a 0.4 percentage point decrease compared to 69.4%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fiscal 2025.</w:t>
      </w:r>
    </w:p>
    <w:p>
      <w:pPr>
        <w:spacing w:after="0" w:line="1" w:lineRule="exact"/>
        <w:rPr>
          <w:sz w:val="20"/>
          <w:szCs w:val="20"/>
          <w:color w:val="auto"/>
        </w:rPr>
      </w:pPr>
    </w:p>
    <w:p>
      <w:pPr>
        <w:ind w:left="660" w:right="220" w:hanging="324"/>
        <w:spacing w:after="0" w:line="31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selling, general and administrative (“SG&amp;A”) expense ratio for fiscal 2026 was 19.1%, a 0.3 percentage point decrease compared to 19.4%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for fiscal 2025.</w:t>
      </w:r>
    </w:p>
    <w:p>
      <w:pPr>
        <w:spacing w:after="0" w:line="10" w:lineRule="exact"/>
        <w:rPr>
          <w:sz w:val="20"/>
          <w:szCs w:val="20"/>
          <w:color w:val="auto"/>
        </w:rPr>
      </w:pPr>
    </w:p>
    <w:p>
      <w:pPr>
        <w:ind w:left="660" w:right="200" w:hanging="32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consolidated average per store inventories, including inventory on hand at our distribution centers (which excludes inventory in transit)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excluding our e-commerce sites, were up 10% at the end of fiscal 2026 as compared to the prior year. Starting in the first quarter of fiscal 2026, Sierra stores are included in the consolidated average per store inventories.</w:t>
      </w:r>
    </w:p>
    <w:p>
      <w:pPr>
        <w:spacing w:after="0" w:line="50" w:lineRule="exact"/>
        <w:rPr>
          <w:sz w:val="20"/>
          <w:szCs w:val="20"/>
          <w:color w:val="auto"/>
        </w:rPr>
      </w:pPr>
    </w:p>
    <w:p>
      <w:pPr>
        <w:ind w:left="660" w:right="360" w:hanging="324"/>
        <w:spacing w:after="0" w:line="31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During fiscal 2026, we returned $4.3 billion to our shareholders through share repurchases and dividends. A dividend of $0.425 per share was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declared in the fourth quarter of fiscal 2026 and paid in March 2026.</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Results as a Percentage of Net Sales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operating results as a percentage of net sales.</w:t>
            </w: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7"/>
        </w:trPr>
        <w:tc>
          <w:tcPr>
            <w:tcW w:w="8080" w:type="dxa"/>
            <w:vAlign w:val="bottom"/>
          </w:tcPr>
          <w:p>
            <w:pPr>
              <w:spacing w:after="0"/>
              <w:rPr>
                <w:sz w:val="22"/>
                <w:szCs w:val="22"/>
                <w:color w:val="auto"/>
              </w:rPr>
            </w:pPr>
          </w:p>
        </w:tc>
        <w:tc>
          <w:tcPr>
            <w:tcW w:w="31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Percentage of Net Sales</w:t>
            </w:r>
          </w:p>
        </w:tc>
      </w:tr>
      <w:tr>
        <w:trPr>
          <w:trHeight w:val="223"/>
        </w:trPr>
        <w:tc>
          <w:tcPr>
            <w:tcW w:w="80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2025</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69.0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19.1</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0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3"/>
                <w:szCs w:val="23"/>
                <w:color w:val="auto"/>
                <w:vertAlign w:val="superscript"/>
              </w:rPr>
              <w:t>*</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12.1 %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bl>
    <w:p>
      <w:pPr>
        <w:spacing w:after="0" w:line="11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may not foot due to rounding.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Events and Trends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Economic Conditions and Tariffs</w:t>
      </w:r>
    </w:p>
    <w:p>
      <w:pPr>
        <w:spacing w:after="0" w:line="11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continue to closely monitor changes in international trade relations, economic and monetary policies, and legislation and regulations including those related to tariffs on imports from China and other countries. While we have been, and believe we can continue to be, successful in mitigating tariff pressures, tariffs have led to significant volatility in the global economy. We are continuing to implement and consider additional measures that seek to mitigate the impact of tariffs.</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issued a decision invalidating tariffs imposed under the International Emergency Economic Powers Act (“IEEPA”). This ruling may allow for the recovery of IEEPA tariff amounts previously paid. The ruling leaves uncertainties regarding the timing and administration of any potential IEEPA tariff refunds by the U.S. government, and may be subject to further legal and regulatory developments. Following the U.S. Supreme Court ruling, an executive order was issued imposing a new global tariff, in addition to any existing non-IEEPA tariffs.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extent and duration of the tariffs and the resulting impact on general economic conditions and on our business, including potential IEEPA tariff refunds, continues to be uncertain. Our buying organization’s ability to execute our merchandise sourcing model to offset the effects of the tariffs is a key factor. However, the overall impact depends on a range of factors, including trade negotiations between the U.S. and other countries, responses of other countries, judicial review, exceptions that could be granted and cost of alternative sources of merchandise.</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Uncertainty remains regarding the continued impact on our direct imports, indirect imports, vendor and competitor pricing, consumer demand, tariff pass-throughs and retaliatory tariffs. We will continue to closely monitor developments related to tariffs and evaluate any updates for their potential impact on our business and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Settlement Related to Credit Card Interchange Fees and Related Expenses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2026, we entered into a settlement agreement to resolve litigation related to credit card interchange fees in which we were a plaintiff. The settlement resulted in a gain of $419 million, net of $51 million of legal expenses, which was recognized within SG&amp;A expenses. We incurred additional non-recurring settlement-related expenses that consisted of $116 million related to a portion of incentive compensation expense globally and $82 million related to a discretionary bonus for eligible non-bonus plan Associates globally. The gain from the litigation settlement benefitted the segment profit of our U.S. segments and the related expenses impacted the segment profit of each of our segments.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sales for fiscal 2026 totaled $60.4 billion, a 7% increase versus net sales of $56.4 billion for fiscal 2025. The increase includes a 5% increase in comp sales, a 2% increase from non-comp sales, and a neutral impact from foreign currency exchange rates. Net sales from our e-commerce sites combined amounted to approximately 2% of total sales for both fiscal 2026 and fiscal 2025.</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 sales increased 5% for fiscal 2026 and increased 4% for fiscal 2025. Comp sales for fiscal 2026 were driven by a higher average basket and an increase in customer transactions. Both home comp sales growth (as defined below) and apparel comp sales growth (as defined below) generally performed in line with the overall comp sales increase for fiscal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both our store count and selling square footage increased approximately 3% compared to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i w:val="1"/>
          <w:iCs w:val="1"/>
          <w:color w:val="auto"/>
        </w:rPr>
        <w:t>Definition of Comparable Sales</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define comparable sales, or comp sales, to be sales of stores and e-commerce sites that have been in operation for all or a portion of two consecutive fiscal years, or, in other words, stores or e-commerce sites that are starting their third fiscal year of operation. In any given fiscal year, we calculate comp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sales percentage is immaterial. Starting in fiscal 2026, sales from e-commerce sites are included in comp sales, and the impact of such sales on the consolidated comp sales percentage is immaterial.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excluded from comp sales (“non-comp sales”) consist of sales from:</w:t>
      </w:r>
    </w:p>
    <w:p>
      <w:pPr>
        <w:spacing w:after="0" w:line="117" w:lineRule="exact"/>
        <w:rPr>
          <w:sz w:val="20"/>
          <w:szCs w:val="20"/>
          <w:color w:val="auto"/>
        </w:rPr>
      </w:pPr>
    </w:p>
    <w:p>
      <w:pPr>
        <w:ind w:left="660" w:right="80" w:hanging="324"/>
        <w:spacing w:after="0" w:line="282" w:lineRule="auto"/>
        <w:rPr>
          <w:sz w:val="20"/>
          <w:szCs w:val="20"/>
          <w:color w:val="auto"/>
        </w:rPr>
      </w:pPr>
      <w:r>
        <w:rPr>
          <w:rFonts w:ascii="Times New Roman" w:cs="Times New Roman" w:eastAsia="Times New Roman" w:hAnsi="Times New Roman"/>
          <w:sz w:val="18"/>
          <w:szCs w:val="18"/>
          <w:color w:val="auto"/>
        </w:rPr>
        <w:t>– New stores or e-commerce sites - stores or sites that have not yet met the comp sales criteria, which represents a substantial majority of non-comp sales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Stores or e-commerce sites that are closed permanently or for an extended period of time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determine which stores and e-commerce sites are included in the comp sales calculation at the beginning of a fiscal year, and the classification remains constant throughout that year unless a store is closed permanently or for an extended period during that fiscal year.</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 sales of our foreign segments are calculated on a constant currency basis. We define constant currency basis as translating the current year’s results using the prior year’s exchange rates. This removes the effect of changes in currency exchange rates, which we believe is a more appropriate measure of performance.</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 sales may be referred to as “same store” sales by other retail companies. The method for calculating comp sales varies across the retail industry; therefore, our measure of comp sales may not be comparable to that of other retail companies. Comparable sales for a category such as home or apparel include sales from merchandise within such category combined across all divisions that fall within the Company’s definition of comparable sales for such period.</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define customer transactions to be the number of transactions in stores or online included in the comp sales calculation. We define average ticket to be the average retail price of the units sold. We define average basket to be the average dollar value of transactions.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 by Geography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 percentages of our consolidated revenues by geography for the last two fiscal years are as follows:</w:t>
            </w: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6"/>
        </w:trPr>
        <w:tc>
          <w:tcPr>
            <w:tcW w:w="79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2025</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Northeast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Midwest</w:t>
            </w:r>
          </w:p>
        </w:tc>
        <w:tc>
          <w:tcPr>
            <w:tcW w:w="1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(including Puerto Rico)</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United States</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TJX</w:t>
            </w: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Foreign Currency Exchange Rates</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auto"/>
        </w:rPr>
        <w:t>Translation Foreign Exchange</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assets, liabilities, net sales, net income and earnings per share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Mark-to-Market Inventory Derivatives</w:t>
      </w:r>
    </w:p>
    <w:p>
      <w:pPr>
        <w:spacing w:after="0" w:line="11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Transactional Foreign Exchange</w:t>
      </w:r>
    </w:p>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 Including Buying and Occupancy Costs</w:t>
      </w:r>
    </w:p>
    <w:p>
      <w:pPr>
        <w:spacing w:after="0" w:line="1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sales, including buying and occupancy costs, as a percentage of net sales was 69.0% for fiscal 2026, a decrease of 0.4 percentage points compared to 69.4% of net sales for fiscal 2025.</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decrease in the cost of sales ratio, including buying and occupancy costs, was due to favorable merchandise margin and expense leverage on higher comp sales. Merchandise margin reflects lower freight costs and lower inventory shrink expense.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as a percentage of net sales, was 19.1% for fiscal 2026, a decrease of 0.3 percentage points compared to 19.4% for fiscal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SG&amp;A ratio for fiscal 2026 was due to a net benefit from the credit card interchange fees litigation settlement and related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interest (income) expense, net for the last two fiscal years are summarized below:</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8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expense, net decreased for fiscal 2026 compared to fiscal 2025 due to a decrease in interest income driven primarily by a decrease in prevailing rates.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our income tax provision but have resulted in a reduction of our current year U.S. cash tax obligations, and we are continuing to evaluate the potential impact of the provisions that are expected to be effective in future fiscal years.</w:t>
      </w:r>
    </w:p>
    <w:p>
      <w:pPr>
        <w:spacing w:after="0" w:line="75"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15% global minimum tax regime (Pillar Two) with effect from January 1, 2024. A comprehensive Side-by-Side Package was released in January 2026, introducing additional safe harbors and options for companies headquartered in jurisdictions with a qualified Side-by-Side regime. Member countries must enact local legislation or update existing regulations to adopt and incorporate the Pillar Two Side-by-Side Package. We continue to evaluate the impacts of proposed and enacted legislation for the jurisdictions in which we operate.</w:t>
      </w:r>
    </w:p>
    <w:p>
      <w:pPr>
        <w:spacing w:after="0" w:line="75"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24.7% for fiscal 2026 and 25.0% for fiscal 2025. The decrease in the fiscal 2026 effective income tax rate is primarily due to a benefit from the acquisition of federal tax credits.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and Diluted Earnings Per Share</w:t>
      </w:r>
    </w:p>
    <w:p>
      <w:pPr>
        <w:spacing w:after="0" w:line="1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income was $5.5 billion in fiscal 2026 compared to $4.9 billion in fiscal 2025. Diluted earnings per share in fiscal 2026 were $4.87 compared to $4.26 in fiscal 2025. The credit card interchange fees litigation settlement and related expenses resulted in a net benefit of $0.14 on diluted earnings per share in fiscal 2026. Foreign currency had a $0.01 negative impact on diluted earnings per share in fiscal 2026 compared to a $0.01 positive impact on diluted earnings per share in fiscal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four segments. In the United States, our Marmaxx segment operates TJ Maxx, Marshalls, tjmaxx.com and marshalls.com and our HomeGoods segment operates HomeGoods and Homesense. Our TJX Canada segment operates Winners, HomeSense and Marshalls in Canada, and our TJX International segment operates TK Maxx, Homesense, tkmaxx.com, tkmaxx.de, and tkmaxx.at in Europe and TK Maxx in Australia. In addition to our four segments, Sierra operates retail stores and sierra.com in the U.S. The results of Sierra are included in the Marmaxx segment.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on “segment profit or loss,” which we define as pre-tax income or loss before general corporate expense and interest (income) expense, net, and certain separately disclosed unusual or infrequent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selected financial information related to our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U.S.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Marmaxx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5"/>
                <w:szCs w:val="15"/>
                <w:color w:val="auto"/>
              </w:rPr>
            </w:pPr>
          </w:p>
        </w:tc>
        <w:tc>
          <w:tcPr>
            <w:tcW w:w="132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color w:val="auto"/>
              </w:rPr>
              <w:t>February 1,</w:t>
            </w:r>
          </w:p>
        </w:tc>
      </w:t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36,585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34,604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1,348</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1,255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1,230</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Sierra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2,748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Sierra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sales for Marmaxx were $36.6 billion for fiscal 2026, an increase of 6% compared to $34.6 billion for fiscal 2025. The increase in net sales reflects a 4% increase from comp sales and a 2% increase from non-comp sales.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comp sales for fiscal 2026 was driven by a higher average basket and an increase in customer transactions. Both apparel comp sales growth and home comp sales growth generally performed in line with the overall comp sales increase for fiscal 2026. Geographically, comp sales growth was strongest in the South region.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15.1% for fiscal 2026 compared to a segment profit margin of 14.1% for fiscal 2025. The increase in segment profit margin was primarily driven by a net benefit from the credit card interchange fees litigation settlement and related expenses as well as favorable merchandise margin. Merchandise margin reflects lower inventory shrink expense and lower freight costs partially offset by higher markdowns.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Marmaxx e-commerce sites, tjmaxx.com and marshalls.com, together with sierra.com, represented approximately 2% of Marmaxx’s net sales for fiscal 2026 and fiscal 2025, and did not have a significant impact on year-over-year segment margin comparisons.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2027, we expect to open 45 Marmaxx net new stores and 24 new Sierra stores, which would increase selling square footage by approximately 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HomeGoods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9,386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963</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1,042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sales for HomeGoods were $10.2 billion for fiscal 2026, an increase of 8%, compared to $9.4 billion for fiscal 2025. The increase in net sales reflects a 5% increase from comp sales and a 3% increase from non-comp sales.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increase in comp sales for fiscal 2026 was driven by a higher average basket and an increase in customer transactions. Geographically, comp sales growth was strongest in the West, South and Midwest regions.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Segment profit margin increased to 12.2% for fiscal 2026 compared to a segment profit margin of 10.9% for fiscal 2025. The increase in segment profit margin for fiscal 2026 was driven by favorable merchandise margin, expense leverage on higher comp sales, lower supply chain and store costs and a net benefit from the credit card interchange fees litigation settlement and related expenses. Merchandise margin reflects lower freight costs and lower markdowns.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fiscal 2027, we expect to open 24 new HomeGoods stores and 11 new Homesense stores, which would increase selling square footage by approximately 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FOREIGN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TJX Canada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5"/>
                <w:szCs w:val="15"/>
                <w:color w:val="auto"/>
              </w:rPr>
            </w:pPr>
          </w:p>
        </w:tc>
        <w:tc>
          <w:tcPr>
            <w:tcW w:w="132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color w:val="auto"/>
              </w:rPr>
              <w:t>February 1,</w:t>
            </w:r>
          </w:p>
        </w:tc>
      </w:t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316</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589</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sales for TJX Canada were $5.6 billion for fiscal 2026, an increase of 8% compared to $5.2 billion for fiscal 2025. The increase in net sales reflects a 7% increase in comp sales and a 2% increase in non-comp sales, partially offset by a negative foreign currency exchange rate impact of 1%. The increase in comp sales was driven by an increase in customer transactions and a higher average basket.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3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Segment profit margin decreased to 13.4% for fiscal 2026 compared to a segment profit margin of 13.5% for fiscal 2025. The decrease for fiscal 2026 was primarily driven by expenses related to the credit card interchange fees litigation settlement and lower merchandise margin. These costs were mostly offset by expense leverage on higher comp sales. Merchandise margin reflects higher markon, which was more than offset by the negative impact of transactional foreign exchange on the cost of merchandise.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2027, we expect to open 13 new stores in Canada, which would increase selling square footage by approximately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TJX International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7,181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TK Maxx (Europe)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673</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 (Europe)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835</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(Europe)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 (Europe)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for TJX International were $8 billion for fiscal 2026, an increase of 11% compared to $7.2 billion for fiscal 2025. The increase in net sales reflects a positive foreign currency exchange rate impact of 5%, a 4% increase in comp sales and a 2% increase from non-comp sales. The increase in comp sales was driven by an increase in customer transactions.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sales represented approximately 3% of TJX International’s net sales for both fiscal 2026 and fiscal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7.0% for fiscal 2026 compared to a segment profit margin of 5.9% for fiscal 2025. This increase was primarily due to higher merchandise margin, favorable store occupancy costs and lower administrative costs, partially offset by expenses related to the credit card interchange fees litigation settlement. Merchandise margin reflects higher markon.</w:t>
      </w:r>
    </w:p>
    <w:p>
      <w:pPr>
        <w:spacing w:after="0" w:line="68"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In fiscal 2027, we expect to open 19 net new stores in Europe and 10 new stores in Australia, which would increase selling square footage by approximately 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CORPORATE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24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bl>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corporate expense for segment reporting purposes represents those costs not specifically related to the operations of our segments. General corporate expenses are primarily included in SG&amp;A expenses. The mark-to-market adjustment of our fuel and inventory hedges is included in cost of sales, including buying and occupancy costs.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general corporate expense for fiscal 2026 was primarily driven by higher administrative costs, the unfavorable year-over-year impacts related to the mark-to-market adjustments on inventory hedges, expenses related to the credit card interchange fees litigation settlement and contributions to our charitable foundations.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ANALYSIS OF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liquidity requirements have traditionally been funded through cash generated from operations, supplemented, as needed, by short-term bank borrowings and the issuance of commercial paper. As of January 31, 2026, there were no short-term bank borrowings or commercial paper outstanding. We believe our existing cash and cash equivalents, internally generated funds and our credit facilities, under which facilities we have $1.5 billion available as of the period ended January 31, 2026, are adequate to meet our operating needs for the foreseeable future. Our 2.25% ten-year Notes due September 2026 will mature during our third quarter of fiscal 2027 and are included within our current maturities of long-term debt. For further information, see Note J— Long-Term Debt and Credit Lines of Notes to Consolidated Financial Statements.</w:t>
      </w:r>
    </w:p>
    <w:p>
      <w:pPr>
        <w:spacing w:after="0" w:line="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As of January 31, 2026, we held $6.2 billion in cash. Approximately $2 billion of our cash was held by our foreign subsidiaries with $1.5 billion held in countries where we have indefinitely reinvested the undistributed earnings and are evaluating this assertion with regard to future earnings of certain foreign subsidiaries. We have provided for and recorded a deferred tax liability for all applicable taxes on undistributed earnings of our foreign subsidiaries that are not indefinitely reinvested through January 31, 2026. If we repatriate cash from such subsidiaries, we should not incur additional tax expense and our cash would be reduced by the amount of withholding taxes paid.</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monitor debt financing markets on an ongoing basis and from time to time may incur additional long-term indebtedness depending on prevailing market conditions, liquidity requirements, existing economic conditions and other factors. Periodically, we have used, and in the future we may again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$6.9 billion in fiscal 2026 and $6.1 billion in fiscal 2025. Our operating cash flows increased by $758 million compared to fiscal 2025 primarily due to an increase in net income and an increase in accrued expenses reflecting higher incentive compensation costs. This was partially offset by an increase in merchandise inventories net of accounts payable.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Investing activities resulted in net cash outflows of $2 billion in fiscal 2026 and $2.5 billion in fiscal 2025. The cash outflows for both periods were primarily driven by capital expenditures. In addition, fiscal 2025 cash outflows include the purchase of our equity method investments related to our joint venture with Grupo Axo and a minority ownership position in BFL.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include capital expenditures for the last two fiscal years as set forth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renovations and improvements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distribution centers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3"/>
        </w:trPr>
        <w:tc>
          <w:tcPr>
            <w:tcW w:w="8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r>
    </w:tbl>
    <w:p>
      <w:pPr>
        <w:spacing w:after="0" w:line="13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We expect our capital expenditures in fiscal 2027 will be in the range of approximately $2.2 billion to $2.3 billion to support growth, including approximately $1 billion for store renovations, approximately $992 million for our offices and distribution centers (including information technology systems) and approximately $222 million for new stores. We plan to fund these expenditures with our existing cash balances and through internally generated funds.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resulted in net cash outflows of $4.1 billion in fiscal 2026 compared to net cash outflows of $3.8 billion in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outflows for both periods were primarily driven by equity repurchases and dividend payments.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stock repurchase program, we paid $2.5 billion to repurchase and retire 18.5 million shares of our stock in fiscal 2026. We paid $2.5 billion to repurchase and retire 22.3 million shares of our stock in fiscal 2025.</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2026, we announced that in January 2026 our Board of Directors had approved a new stock repurchase program that authorizes the repurchase of up to an additional $3 billion of our common stock from time to time. We currently plan to repurchase approximately $2.5 billion to $2.75 billion of stock under our stock repurchase programs in fiscal 2027. We determine the timing and amount of repurchases based on our assessment of various factors including excess cash flow, liquidity, economic and market conditions, our assessment of prospects for our business, legal requirements, and other factors. The timing and amount of these purchases may change. As of January 31, 2026, approximately $4.1 billion remained available under our existing stock repurchase programs. For further information regarding equity repurchases, see Note D—Capital Stock and Earnings Per Share of Notes to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declared quarterly dividends on our common stock which totaled $1.70 per share in fiscal 2026 and $1.50 per share in fiscal 2025. Cash payments for dividends on our common stock totaled $1.8 billion for fiscal 2026 and $1.6 billion for fiscal 2025. We expect to pay quarterly dividends for fiscal 2027 of $0.48 per share, or an annual dividend of $1.92 per share, subject to the declaration and approval by our Board of Directors. This would represent a 13% increase over the per share dividends declared and paid in fiscal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3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the descriptions of our financing arrangements, commitments and contingencies, and contractual obligations outlined below and within the following Notes to Consolidated Financial Statements.</w:t>
      </w:r>
    </w:p>
    <w:p>
      <w:pPr>
        <w:spacing w:after="0" w:line="54" w:lineRule="exact"/>
        <w:rPr>
          <w:sz w:val="20"/>
          <w:szCs w:val="20"/>
          <w:color w:val="auto"/>
        </w:rPr>
      </w:pPr>
    </w:p>
    <w:p>
      <w:pPr>
        <w:ind w:left="660" w:right="720" w:hanging="324"/>
        <w:spacing w:after="0" w:line="282" w:lineRule="auto"/>
        <w:rPr>
          <w:sz w:val="20"/>
          <w:szCs w:val="20"/>
          <w:color w:val="auto"/>
        </w:rPr>
      </w:pPr>
      <w:r>
        <w:rPr>
          <w:rFonts w:ascii="Times New Roman" w:cs="Times New Roman" w:eastAsia="Times New Roman" w:hAnsi="Times New Roman"/>
          <w:sz w:val="18"/>
          <w:szCs w:val="18"/>
          <w:color w:val="auto"/>
        </w:rPr>
        <w:t>– See Note J—Long-Term Debt and Credit Lines of Notes to Consolidated Financial Statements for future payments under long-term debt arrangements (including current installments).</w:t>
      </w:r>
    </w:p>
    <w:p>
      <w:pPr>
        <w:spacing w:after="0" w:line="26" w:lineRule="exact"/>
        <w:rPr>
          <w:sz w:val="20"/>
          <w:szCs w:val="20"/>
          <w:color w:val="auto"/>
        </w:rPr>
      </w:pPr>
    </w:p>
    <w:p>
      <w:pPr>
        <w:ind w:left="660" w:right="120" w:hanging="324"/>
        <w:spacing w:after="0" w:line="258" w:lineRule="auto"/>
        <w:rPr>
          <w:sz w:val="20"/>
          <w:szCs w:val="20"/>
          <w:color w:val="auto"/>
        </w:rPr>
      </w:pPr>
      <w:r>
        <w:rPr>
          <w:rFonts w:ascii="Times New Roman" w:cs="Times New Roman" w:eastAsia="Times New Roman" w:hAnsi="Times New Roman"/>
          <w:sz w:val="18"/>
          <w:szCs w:val="18"/>
          <w:color w:val="auto"/>
        </w:rPr>
        <w:t>– See Note L—Leases of Notes to Consolidated Financial Statements. Operating lease liabilities exclude legally binding minimum lease payments for approximately 180 leases signed but not yet commenced and include options to extend lease terms that are now deemed reasonably certain of being exercised according to our Lease Accounting Policy. The balances do not include variable costs for insurance, real estate taxes, other operating expenses and, in some cases, rent payments based on a percentage of sales; these items totaled approximately one-third of the total minimum rent for fiscal 2026.</w:t>
      </w:r>
    </w:p>
    <w:p>
      <w:pPr>
        <w:spacing w:after="0" w:line="48"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See Note M—Accrued Expenses and Other Liabilities, Current and Long-Term of Notes to Consolidated Financial Statements for long-term liabilities for which it is not reasonably possible for us to predict when they may be paid, which includes $835 million for employee compensation and benefits and $229 million for uncertain tax positions.</w:t>
      </w:r>
    </w:p>
    <w:p>
      <w:pPr>
        <w:spacing w:after="0" w:line="40" w:lineRule="exact"/>
        <w:rPr>
          <w:sz w:val="20"/>
          <w:szCs w:val="20"/>
          <w:color w:val="auto"/>
        </w:rPr>
      </w:pPr>
    </w:p>
    <w:p>
      <w:pPr>
        <w:ind w:left="660" w:right="180" w:hanging="324"/>
        <w:spacing w:after="0" w:line="282" w:lineRule="auto"/>
        <w:rPr>
          <w:sz w:val="20"/>
          <w:szCs w:val="20"/>
          <w:color w:val="auto"/>
        </w:rPr>
      </w:pPr>
      <w:r>
        <w:rPr>
          <w:rFonts w:ascii="Times New Roman" w:cs="Times New Roman" w:eastAsia="Times New Roman" w:hAnsi="Times New Roman"/>
          <w:sz w:val="18"/>
          <w:szCs w:val="18"/>
          <w:color w:val="auto"/>
        </w:rPr>
        <w:t>– We also have non-cancellable purchase obligations under purchase orders for merchandise and under agreements for capital items, products and services used in our business, including executive employment and other agreements.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certain estimates and judgments that impact our reported results. These judgments and estimates are based on historical experience and other factors which we continually review and believe are reasonable. We consider our most critical accounting estimates, involving uncertainty requiring management estimates and judgments, to be those relating to the areas described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13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use the retail method for valuing inventory for all our businesses except TK Maxx in Australia. The businesses that utilize the retail method have some inventory that is initially valued at cost before the retail method is applied as it has not been fully processed for sale (i.e. inventory in transit and unprocessed inventory in our distribution centers). Under the retail method, the cost value of inventory and gross margins are determined by calculating a cost-to-retail ratio and applying it to the retail value of inventory. It involves management estimates with regard to markdowns and inventory shrinkage. Under the retail method, permanent markdowns are reflected in inventory valuation when the price of an item is reduced. We have a specific policy as to when and how markdowns are to be taken, greatly reducing management’s discretion and the need for management estimates as to markdowns. Inventory shrinkage requires estimating a shrinkage rate for interim periods; however, we take a full physical inventory near the fiscal year-end to determine shrinkage at year-end. We do not generally enter into arrangements with vendors that provide for rebates and allowances that could ultimately affect the value of inventory.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Reserves for Uncertain Tax Positions</w:t>
      </w:r>
    </w:p>
    <w:p>
      <w:pPr>
        <w:spacing w:after="0" w:line="13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income and other tax returns and reports are regularly audited by federal, state and local tax authorities in the United States and in foreign jurisdictions where we operate, and such authorities may challenge positions we take. We are engaged in various administrative and judicial proceedings in multiple jurisdictions with respect to assessments, claims, deficiencies and refunds and other tax matters, which proceedings are in various stages of negotiation, assessment, examination, litigation and settlement. The outcomes of these proceedings are uncertain. In accordance with GAAP, we evaluate our uncertain tax positions based on our understanding of the facts, circumstances and information available at the reporting date, and we accrue for exposure when we believe that it is more likely than not, based on the technical merits, that the positions we have taken will not be sustained. We adjust our unrecognized tax liability or benefit and income tax expense in the period in which the uncertain tax position is effectively settled, the statute of limitations expires for the relevant taxing authority to examine the tax position, or when new information becomes available.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that may result in a loss to us but will not be resolved until one or more future events occur or fail to occur. Our management, with the assistance of our legal counsel, assesses such contingent liabilities. Such assessments inherently involve the exercise of judgment. In assessing loss contingencies related to legal proceedings that are pending against us or claims that may result in such proceedings, our legal counsel assists us in evaluating the perceived merits of any legal proceedings or claims as well as the perceived merits of the relief sought or expected to be sought therein.</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reasonably estimated, we will accrue for the estimated liability in the Consolidated Financial Statements. If the assessment indicates that a potentially material loss contingency is not probable, but is reasonably possible, or is probable but cannot be reasonably estimated, we will disclose the nature of the contingent liability, together with an estimate of the range of the possible loss or a statement that such loss is not reasonably estimable.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3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a discussion of any new accounting pronouncements, see Note A—Basis of Presentation and Summary of Accounting Policies of Notes to Consolidated Financial Statements included in this annual report on Form 10-K, including the dates of adoption and estimated effects on our results of operations, financial position or cash flows. We do not expect any other recently issued accounting pronouncements will have a material effect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 about Market Risk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business. Some potential market risks are discussed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RISK</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on the translation of our foreign operations into the U.S. dollar and on purchases of goods in currencies that are not the local currencies where the goods are sold and on intercompany debt and interest payable between and among our domestic and international operations. Our currency risk primarily relates to our activity in the Canadian dollar, British pound and Euro. As more fully described in Note E—Financial Instruments of Notes to Consolidated Financial Statements, we use derivative financial instruments to hedge a portion of certain merchandise purchase commitments, primarily at our international operations, and a portion of our intercompany transactions with and within our international operations. We enter into derivative contracts only for the purpose of hedging the underlying economic exposure. We utilize currency forward and swap contracts, designed to offset the gains or losses on the underlying exposures. The contracts are executed with banks we believe are creditworthy and are denominated in currencies of major industrial countries. Our foreign exchange risk management policy prohibits us from using derivative financial instruments for trading or other speculative purposes and we do not use any leveraged derivative financial instruments. We have performed a sensitivity analysis assuming a hypothetical 10% movement in the translation of our foreign operations into our reporting currency. The analysis indicated a potential impact of approximately $132 million on our pre-tax income in fiscal 2026 and approximately $112 million in fiscal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EQUITY PRICE AND OTHER MARKET RISK</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assets of our funded qualified pension plan, a portion of which are equity securities, are subject to the risks and uncertainties of the financial markets. We invest the pension assets (described further in Note I—Pension Plans and Other Retirement Benefits of Notes to Consolidated Financial Statements) in a manner that attempts to manage our exposure to market uncertainties. Investments, in general, are exposed to various risks, such as interest rate, credit, and overall market volatility risks. A significant decline in the financial markets could adversely affect the value of our pension plan assets and the funded status of our pension plan, resulting in increased required contributions to the plan or other plan-related liabilities. Our pension plan investment policy prohibits the use of derivatives for speculative purposes.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Financial Statements and Supplementary Data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may be found on pages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0000FF"/>
        </w:rPr>
        <w:t>F-38</w:t>
      </w:r>
      <w:r>
        <w:rPr>
          <w:rFonts w:ascii="Times New Roman" w:cs="Times New Roman" w:eastAsia="Times New Roman" w:hAnsi="Times New Roman"/>
          <w:sz w:val="18"/>
          <w:szCs w:val="18"/>
          <w:color w:val="auto"/>
        </w:rPr>
        <w:t xml:space="preserve">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Evaluation of Disclosure Controls and Procedures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amended (the “Exchange Act”), as of the end of the period covered by this report pursuant to Rules 13a-15 and 15d-15 of the Exchange Act. Based upon that evaluation, our Chief Executive Officer and Chief Financial Officer concluded that our disclosure controls and procedures are effective at a reasonable assurance level in ensuring that information required to be disclosed by us in the reports that we file or submit under the Exchange Act is (i) recorded, processed, summarized and reported within the time periods specified in the SEC’s rules and forms; and</w:t>
      </w:r>
    </w:p>
    <w:p>
      <w:pPr>
        <w:spacing w:after="0" w:line="5" w:lineRule="exact"/>
        <w:rPr>
          <w:sz w:val="20"/>
          <w:szCs w:val="20"/>
          <w:color w:val="auto"/>
        </w:rPr>
      </w:pPr>
    </w:p>
    <w:p>
      <w:pPr>
        <w:ind w:firstLine="8"/>
        <w:spacing w:after="0" w:line="253"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Changes in Internal Control Over Financial Reporting</w:t>
      </w:r>
    </w:p>
    <w:p>
      <w:pPr>
        <w:spacing w:after="0" w:line="1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fiscal quarter ended January 31, 2026 identified in connection with our Chief Executive Officer’s and Chief Financial Officer’s evaluation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Management’s Annual Report on Internal Control Over Financial Reporting</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Pertain to the maintenance of records that in reasonable detail accurately and fairly reflect the transactions and dispositions of the assets of TJX;</w:t>
      </w:r>
    </w:p>
    <w:p>
      <w:pPr>
        <w:spacing w:after="0" w:line="90" w:lineRule="exact"/>
        <w:rPr>
          <w:sz w:val="20"/>
          <w:szCs w:val="20"/>
          <w:color w:val="auto"/>
        </w:rPr>
      </w:pPr>
    </w:p>
    <w:p>
      <w:pPr>
        <w:ind w:left="660" w:right="160" w:hanging="324"/>
        <w:spacing w:after="0" w:line="282" w:lineRule="auto"/>
        <w:rPr>
          <w:sz w:val="20"/>
          <w:szCs w:val="20"/>
          <w:color w:val="auto"/>
        </w:rPr>
      </w:pPr>
      <w:r>
        <w:rPr>
          <w:rFonts w:ascii="Times New Roman" w:cs="Times New Roman" w:eastAsia="Times New Roman" w:hAnsi="Times New Roman"/>
          <w:sz w:val="18"/>
          <w:szCs w:val="18"/>
          <w:color w:val="auto"/>
        </w:rPr>
        <w:t>– Provide reasonable assurance that transactions are recorded as necessary to permit preparation of financial statements in accordance with GAAP, and that receipts and expenditures of TJX are being made only in accordance with authorizations of management and directors of TJX; and</w:t>
      </w:r>
    </w:p>
    <w:p>
      <w:pPr>
        <w:spacing w:after="0" w:line="26" w:lineRule="exact"/>
        <w:rPr>
          <w:sz w:val="20"/>
          <w:szCs w:val="20"/>
          <w:color w:val="auto"/>
        </w:rPr>
      </w:pPr>
    </w:p>
    <w:p>
      <w:pPr>
        <w:ind w:left="660" w:right="240" w:hanging="324"/>
        <w:spacing w:after="0" w:line="282" w:lineRule="auto"/>
        <w:rPr>
          <w:sz w:val="20"/>
          <w:szCs w:val="20"/>
          <w:color w:val="auto"/>
        </w:rPr>
      </w:pPr>
      <w:r>
        <w:rPr>
          <w:rFonts w:ascii="Times New Roman" w:cs="Times New Roman" w:eastAsia="Times New Roman" w:hAnsi="Times New Roman"/>
          <w:sz w:val="18"/>
          <w:szCs w:val="18"/>
          <w:color w:val="auto"/>
        </w:rPr>
        <w:t>– Provide reasonable assurance regarding prevention or timely detection of unauthorized acquisition, use or disposition of TJX’s assets that could have a material effect on the Consolidated Financial Statements.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40" w:name="page41"/>
    <w:bookmarkEnd w:id="40"/>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its internal control over financial reporting was effective as of January 31, 2026.</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and reported on the Consolidated Financial Statements contained herein, has audited the effectiveness of our internal control over financial reporting as of January 31, 2026, and has issued an attestation report on the effectiveness of our internal controls over financial reporting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11"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During the fiscal quarter ended January 31, 2026, none of our directors or officers adopted, materially modified, or terminated a “Rule 10b5-1 trading arrangement” or “non-Rule 10b5-1 trading arrangement,” as those terms are defined in Item 408(a) of Regulation S-K under the Exchange 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32"/>
          <w:szCs w:val="32"/>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concerning our executive officers is set forth under the heading “Information about our Executive Officers” in Part I of this report. TJX will file with the Securities and Exchange Commission (SEC) a definitive proxy statement no later than 120 days after the close of its fiscal year ended January 31, 2026 (“Proxy Statement”). The other information required by this Item and not given in this Item will appear under the headings “Election of Directors,” “Corporate Governance” and “Audit and Finance Committee Report,” including in “Board Leadership and Committees,” “Governance Policies and Practices” and, if applicable, “Beneficial Ownership” in our Proxy Statement, which sections are incorporated herein by reference.</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our Global Code of Conduct, TJX has a Code of Ethics for TJX Executives governing its Executive Chairman, Chief Executive Officer and President, Chief Financial Officer, Principal Accounting Officer and other senior operating and financial executives. The Code of Ethics for TJX Executives is designed to ensure integrity in TJX’s financial reports and public disclosures. TJX also has a Director Code of Business Conduct &amp; Ethics which promotes honest and ethical conduct, compliance with applicable laws, rules and regulations and the avoidance of conflicts of interest. Both of these codes of conduct are published at tjx.com. We intend to disclose any future amendments to, or waivers from, the Code of Ethics for TJX Executives or the Director Code of Business Conduct and Ethics within four business days of the waiver or amendment through a website posting or by filing a Current Report on Form 8-K with the SEC.</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TJX has an insider trading policy which governs the purchase, sale, and/or other dispositions of its securities by TJX and its officers, directors, Associates, and other covered persons. TJX believes its insider trading policy is reasonably designed to promote compliance with insider trading laws, rules and regulations, as well as the New York Stock Exchange listing standards applicable to TJX. A copy of TJX's Insider Trading Policy and its Pre-Clearance Trading Policy are filed as Exhibit 19.1 and Exhibit 19.2, respectively, to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1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“Select Areas of Board Oversight - Compensation Risk Assessment,” “Compensation Discussion and Analysis,” “Compensation Tables” and “Director Compensation” in our Proxy Statement, which sections (excluding “Compensation Tables - Pay Versus Performance”) are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“Equity Compensation Plan Information” and “Beneficial Ownership” in our Proxy Statement, which sections are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1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appear under the heading “Election of Directors,” including in “Independence” and under the heading “Corporate Governance,” including in “Transactions with Related Persons” in our Proxy Statement, which sections are incorporated herein by reference.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ITEM 14. Principal Accountant Fees and Services</w:t>
      </w:r>
    </w:p>
    <w:p>
      <w:pPr>
        <w:spacing w:after="0" w:line="1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“Auditor Fees,” “Pre-Approval Policies” and “Audit and Finance Committee Report” in our Proxy Statement, which sections are incorporated herein by reference.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PART IV</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Financial Statement Schedule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FINANCIAL STATEMENT SCHEDULE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 of the consolidated financial information included herein, see Index to the Consolidated Financial Statements on page F-1.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Balance</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Amounts Charged</w:t>
            </w:r>
          </w:p>
        </w:tc>
        <w:tc>
          <w:tcPr>
            <w:tcW w:w="12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17"/>
                <w:szCs w:val="17"/>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180"/>
        </w:trPr>
        <w:tc>
          <w:tcPr>
            <w:tcW w:w="4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Beginning of</w:t>
            </w: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8"/>
              </w:rPr>
              <w:t>End of</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Period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 Net Income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Against Reserve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Return Reserve:</w:t>
            </w:r>
          </w:p>
        </w:tc>
        <w:tc>
          <w:tcPr>
            <w:tcW w:w="1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Fiscal Year Ended January 31,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858"/>
        </w:trPr>
        <w:tc>
          <w:tcPr>
            <w:tcW w:w="4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(b) EXHIBITS</w:t>
      </w:r>
    </w:p>
    <w:p>
      <w:pPr>
        <w:spacing w:after="0" w:line="13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Listed below are all exhibits filed as part of this report. Some exhibits are filed by the Registrant with the Securities and Exchange Commission pursuant to Rule 12b-32 under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35"/>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35"/>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71"/>
        </w:trPr>
        <w:tc>
          <w:tcPr>
            <w:tcW w:w="8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3(i).1</w:t>
            </w:r>
          </w:p>
        </w:tc>
        <w:tc>
          <w:tcPr>
            <w:tcW w:w="7520" w:type="dxa"/>
            <w:vAlign w:val="bottom"/>
            <w:gridSpan w:val="35"/>
            <w:shd w:val="clear" w:color="auto" w:fill="CCEEFF"/>
          </w:tcPr>
          <w:p>
            <w:pPr>
              <w:spacing w:after="0" w:line="171"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Fifth Restated Certificate of Incorporation</w:t>
              </w:r>
            </w:hyperlink>
          </w:p>
        </w:tc>
        <w:tc>
          <w:tcPr>
            <w:tcW w:w="7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3(i).1</w:t>
            </w:r>
          </w:p>
        </w:tc>
        <w:tc>
          <w:tcPr>
            <w:tcW w:w="11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3(ii).1</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By-laws as amended and restated through September 18, 2024</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9/23/2024</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4.01</w:t>
            </w:r>
          </w:p>
        </w:tc>
        <w:tc>
          <w:tcPr>
            <w:tcW w:w="5660" w:type="dxa"/>
            <w:vAlign w:val="bottom"/>
            <w:tcBorders>
              <w:bottom w:val="single" w:sz="8" w:color="0000FF"/>
            </w:tcBorders>
            <w:gridSpan w:val="15"/>
            <w:shd w:val="clear" w:color="auto" w:fill="CCEEFF"/>
          </w:tcPr>
          <w:p>
            <w:pPr>
              <w:spacing w:after="0" w:line="175"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Indenture between TJX and U.S. Bank National Association dated September 12, 2016</w:t>
              </w:r>
            </w:hyperlink>
          </w:p>
        </w:tc>
        <w:tc>
          <w:tcPr>
            <w:tcW w:w="1860" w:type="dxa"/>
            <w:vAlign w:val="bottom"/>
            <w:tcBorders>
              <w:bottom w:val="single" w:sz="8" w:color="CCEEFF"/>
            </w:tcBorders>
            <w:gridSpan w:val="2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9/12/2016</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First Supplemental Indenture dated as of September 12, 2016 by and between TJX and U.S. Bank National</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9/12/2016</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94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Association, as Trustee, including the form of Global Note attached as Annex A thereto</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4.03</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Indenture dated as of April 1, 2020 between The TJX Companies, Inc. and U.S. Bank National Association, as</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18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Trustee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4.04</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Third Supplemental Indenture, dated as of April 1, 2020 by and between TJX and U.S. Bank National Association,</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as Trustee, including the form of Global Note attached as Annex A 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4.05</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Fourth Supplemental Indenture, dated as of April 1, 2020 by and between TJX and U.S. Bank National</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668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Association, as Trustee, including the form of Global Note attached as Annex A thereto</w:t>
              </w:r>
            </w:hyperlink>
          </w:p>
        </w:tc>
        <w:tc>
          <w:tcPr>
            <w:tcW w:w="32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Fifth Supplemental Indenture, dated as of November 30, 2020 by and between TJX and U.S. Bank National</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12/3/2020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0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Association, as Trustee, including the form of Global Note attached as Annex A thereto.</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4.07</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Sixth Supplemental Indenture, dated as of November 30, 2020 by and TJX and U.S. Bank National Association, as</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12/3/2020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tcBorders>
            <w:shd w:val="clear" w:color="auto" w:fill="CCEEFF"/>
          </w:tcPr>
          <w:p>
            <w:pPr>
              <w:spacing w:after="0"/>
              <w:rPr>
                <w:sz w:val="14"/>
                <w:szCs w:val="14"/>
                <w:color w:val="auto"/>
              </w:rPr>
            </w:pPr>
          </w:p>
        </w:tc>
        <w:tc>
          <w:tcPr>
            <w:tcW w:w="748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Trustee, including the form of Global Note attached as Annex A thereto</w:t>
              </w:r>
            </w:hyperlink>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4.08</w:t>
            </w:r>
          </w:p>
        </w:tc>
        <w:tc>
          <w:tcPr>
            <w:tcW w:w="4660" w:type="dxa"/>
            <w:vAlign w:val="bottom"/>
            <w:tcBorders>
              <w:top w:val="single" w:sz="8" w:color="0000FF"/>
            </w:tcBorders>
            <w:gridSpan w:val="9"/>
          </w:tcPr>
          <w:p>
            <w:pPr>
              <w:spacing w:after="0" w:line="175"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Description of Registrant's Securities</w:t>
              </w:r>
            </w:hyperlink>
          </w:p>
        </w:tc>
        <w:tc>
          <w:tcPr>
            <w:tcW w:w="2860" w:type="dxa"/>
            <w:vAlign w:val="bottom"/>
            <w:tcBorders>
              <w:top w:val="single" w:sz="8" w:color="CCEEFF"/>
            </w:tcBorders>
            <w:gridSpan w:val="26"/>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4.06</w:t>
            </w:r>
          </w:p>
        </w:tc>
        <w:tc>
          <w:tcPr>
            <w:tcW w:w="11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3/27/2020</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10.01</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The Executive Severance Plan effective September 27, 2018*</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The Executive Severance Plan Participation Agreement dated September 27, 2018 between Carol Meyrowitz and</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6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TJX*</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10.03</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The Employment Agreement dated February 1, 2019 between Carol Meyrowitz and TJX*</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10.03</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10.04</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The Amendment to the Employment Agreement between Carol Meyrowitz and TJX effective as of January 28,</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10.04</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65">
              <w:r>
                <w:rPr>
                  <w:rFonts w:ascii="Times New Roman" w:cs="Times New Roman" w:eastAsia="Times New Roman" w:hAnsi="Times New Roman"/>
                  <w:sz w:val="16"/>
                  <w:szCs w:val="16"/>
                  <w:color w:val="0000FF"/>
                  <w:w w:val="99"/>
                </w:rPr>
                <w:t>2022*</w:t>
              </w:r>
            </w:hyperlink>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10.05</w:t>
            </w:r>
          </w:p>
        </w:tc>
        <w:tc>
          <w:tcPr>
            <w:tcW w:w="5400" w:type="dxa"/>
            <w:vAlign w:val="bottom"/>
            <w:tcBorders>
              <w:bottom w:val="single" w:sz="8" w:color="0000FF"/>
            </w:tcBorders>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The Letter Agreement dated January 31, 2025 between Carol Meyrowitz and TJX*</w:t>
              </w:r>
            </w:hyperlink>
          </w:p>
        </w:tc>
        <w:tc>
          <w:tcPr>
            <w:tcW w:w="2120" w:type="dxa"/>
            <w:vAlign w:val="bottom"/>
            <w:tcBorders>
              <w:bottom w:val="single" w:sz="8" w:color="CCEEFF"/>
            </w:tcBorders>
            <w:gridSpan w:val="2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10.05</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4/2/2025</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The Executive Severance Plan Participation Agreement dated September 27, 2018 between Ernie Herrman and</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2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TJX*</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10.07</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The Employment Agreement dated February 1, 2019 between Ernie Herrman and TJX*</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10.05</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10.08</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The Amendment to the Employment Agreement between Ernie Herrman and TJX effective as of January 28,</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10.07</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69">
              <w:r>
                <w:rPr>
                  <w:rFonts w:ascii="Times New Roman" w:cs="Times New Roman" w:eastAsia="Times New Roman" w:hAnsi="Times New Roman"/>
                  <w:sz w:val="16"/>
                  <w:szCs w:val="16"/>
                  <w:color w:val="0000FF"/>
                  <w:w w:val="99"/>
                </w:rPr>
                <w:t>2022*</w:t>
              </w:r>
            </w:hyperlink>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10.09</w:t>
            </w:r>
          </w:p>
        </w:tc>
        <w:tc>
          <w:tcPr>
            <w:tcW w:w="5260" w:type="dxa"/>
            <w:vAlign w:val="bottom"/>
            <w:tcBorders>
              <w:bottom w:val="single" w:sz="8" w:color="0000FF"/>
            </w:tcBorders>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The Letter Agreement dated January 31, 2025 between Ernie Herrman and TJX*</w:t>
              </w:r>
            </w:hyperlink>
          </w:p>
        </w:tc>
        <w:tc>
          <w:tcPr>
            <w:tcW w:w="2260" w:type="dxa"/>
            <w:vAlign w:val="bottom"/>
            <w:tcBorders>
              <w:bottom w:val="single" w:sz="8" w:color="CCEEFF"/>
            </w:tcBorders>
            <w:gridSpan w:val="2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10.09</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4/2/2025</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The Employment Agreement dated February 2, 2018 between Kenneth Canestrari and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4/4/2018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The Executive Severance Plan Participation Agreement dated September 27, 2018 between Kenneth Canestrari</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4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and TJX*</w:t>
              </w:r>
            </w:hyperlink>
          </w:p>
        </w:tc>
        <w:tc>
          <w:tcPr>
            <w:tcW w:w="1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The Amendment to the Employment Agreement between Kenneth Canestrari and TJX effective as of February 13,</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73">
              <w:r>
                <w:rPr>
                  <w:rFonts w:ascii="Times New Roman" w:cs="Times New Roman" w:eastAsia="Times New Roman" w:hAnsi="Times New Roman"/>
                  <w:sz w:val="16"/>
                  <w:szCs w:val="16"/>
                  <w:color w:val="0000FF"/>
                  <w:w w:val="99"/>
                </w:rPr>
                <w:t>2019*</w:t>
              </w:r>
            </w:hyperlink>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The Amendment to the Employment Agreement between Kenneth Canestrari and TJX effective as of January 29,</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3/31/2021</w:t>
            </w:r>
          </w:p>
        </w:tc>
        <w:tc>
          <w:tcPr>
            <w:tcW w:w="0" w:type="dxa"/>
            <w:vAlign w:val="bottom"/>
          </w:tcPr>
          <w:p>
            <w:pPr>
              <w:spacing w:after="0"/>
              <w:rPr>
                <w:sz w:val="1"/>
                <w:szCs w:val="1"/>
                <w:color w:val="auto"/>
              </w:rPr>
            </w:pPr>
          </w:p>
        </w:tc>
      </w:tr>
      <w:tr>
        <w:trPr>
          <w:trHeight w:val="168"/>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9"/>
              </w:rPr>
            </w:pPr>
            <w:hyperlink r:id="rId74">
              <w:r>
                <w:rPr>
                  <w:rFonts w:ascii="Times New Roman" w:cs="Times New Roman" w:eastAsia="Times New Roman" w:hAnsi="Times New Roman"/>
                  <w:sz w:val="16"/>
                  <w:szCs w:val="16"/>
                  <w:color w:val="0000FF"/>
                  <w:w w:val="99"/>
                </w:rPr>
                <w:t>2021*</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78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7520" w:type="dxa"/>
            <w:vAlign w:val="bottom"/>
            <w:tcBorders>
              <w:top w:val="single" w:sz="8" w:color="CCEEFF"/>
            </w:tcBorders>
            <w:gridSpan w:val="35"/>
          </w:tcPr>
          <w:p>
            <w:pPr>
              <w:spacing w:after="0" w:line="175"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The Amendment to the Employment Agreement between Kenneth Canestrari and TJX effective as of February 2,</w:t>
              </w:r>
            </w:hyperlink>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4/3/2024</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75">
              <w:r>
                <w:rPr>
                  <w:rFonts w:ascii="Times New Roman" w:cs="Times New Roman" w:eastAsia="Times New Roman" w:hAnsi="Times New Roman"/>
                  <w:sz w:val="16"/>
                  <w:szCs w:val="16"/>
                  <w:color w:val="0000FF"/>
                  <w:w w:val="99"/>
                </w:rPr>
                <w:t>2024*</w:t>
              </w:r>
            </w:hyperlink>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5540" w:type="dxa"/>
            <w:vAlign w:val="bottom"/>
            <w:tcBorders>
              <w:bottom w:val="single" w:sz="8" w:color="0000FF"/>
            </w:tcBorders>
            <w:gridSpan w:val="14"/>
            <w:shd w:val="clear" w:color="auto" w:fill="CCEEFF"/>
          </w:tcPr>
          <w:p>
            <w:pPr>
              <w:spacing w:after="0" w:line="175"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The Executive Severance and Change of Control Plan effective September 19, 2022*</w:t>
              </w:r>
            </w:hyperlink>
          </w:p>
        </w:tc>
        <w:tc>
          <w:tcPr>
            <w:tcW w:w="198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4/3/2024</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The Offer Letter Agreement dated February 2, 2024 between John Klinger and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5680" w:type="dxa"/>
            <w:vAlign w:val="bottom"/>
            <w:tcBorders>
              <w:bottom w:val="single" w:sz="8" w:color="0000FF"/>
            </w:tcBorders>
            <w:gridSpan w:val="16"/>
            <w:shd w:val="clear" w:color="auto" w:fill="CCEEFF"/>
          </w:tcPr>
          <w:p>
            <w:pPr>
              <w:spacing w:after="0" w:line="175"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The Obligations Agreement dated November 14, 2022 between John Klinger and TJX*</w:t>
              </w:r>
            </w:hyperlink>
          </w:p>
        </w:tc>
        <w:tc>
          <w:tcPr>
            <w:tcW w:w="1840" w:type="dxa"/>
            <w:vAlign w:val="bottom"/>
            <w:tcBorders>
              <w:bottom w:val="single" w:sz="8" w:color="CCEEFF"/>
            </w:tcBorders>
            <w:gridSpan w:val="1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The Employment Agreement dated January 16, 2018 between Douglas Mizzi and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4/4/2018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The Executive Severance Plan Participation Agreement dated September 27, 2018 between Douglas Mizzi and</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0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TJX*</w:t>
              </w:r>
            </w:hyperlink>
          </w:p>
        </w:tc>
        <w:tc>
          <w:tcPr>
            <w:tcW w:w="320" w:type="dxa"/>
            <w:vAlign w:val="bottom"/>
            <w:tcBorders>
              <w:top w:val="single" w:sz="8" w:color="CCEEFF"/>
            </w:tcBorders>
            <w:gridSpan w:val="8"/>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The Amendment to the Employment Agreement between Douglas Mizzi and TJX effective as of February 13,</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81">
              <w:r>
                <w:rPr>
                  <w:rFonts w:ascii="Times New Roman" w:cs="Times New Roman" w:eastAsia="Times New Roman" w:hAnsi="Times New Roman"/>
                  <w:sz w:val="16"/>
                  <w:szCs w:val="16"/>
                  <w:color w:val="0000FF"/>
                  <w:w w:val="99"/>
                </w:rPr>
                <w:t>2019*</w:t>
              </w:r>
            </w:hyperlink>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35"/>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35"/>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71"/>
        </w:trPr>
        <w:tc>
          <w:tcPr>
            <w:tcW w:w="8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10.21</w:t>
            </w:r>
          </w:p>
        </w:tc>
        <w:tc>
          <w:tcPr>
            <w:tcW w:w="7520" w:type="dxa"/>
            <w:vAlign w:val="bottom"/>
            <w:gridSpan w:val="35"/>
            <w:shd w:val="clear" w:color="auto" w:fill="CCEEFF"/>
          </w:tcPr>
          <w:p>
            <w:pPr>
              <w:spacing w:after="0" w:line="171"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The Amendment to the Employment Agreement between Douglas Mizzi and TJX effective as of January 29,</w:t>
              </w:r>
            </w:hyperlink>
          </w:p>
        </w:tc>
        <w:tc>
          <w:tcPr>
            <w:tcW w:w="7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10.21</w:t>
            </w:r>
          </w:p>
        </w:tc>
        <w:tc>
          <w:tcPr>
            <w:tcW w:w="11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3/31/2021</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9"/>
              </w:rPr>
            </w:pPr>
            <w:hyperlink r:id="rId83">
              <w:r>
                <w:rPr>
                  <w:rFonts w:ascii="Times New Roman" w:cs="Times New Roman" w:eastAsia="Times New Roman" w:hAnsi="Times New Roman"/>
                  <w:sz w:val="16"/>
                  <w:szCs w:val="16"/>
                  <w:color w:val="0000FF"/>
                  <w:w w:val="99"/>
                </w:rPr>
                <w:t>2021*</w:t>
              </w:r>
            </w:hyperlink>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7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The Amendment to the Employment Agreement between Douglas Mizzi and TJX effective as of February 2,</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4/3/2024</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2024*</w:t>
              </w:r>
            </w:hyperlink>
          </w:p>
        </w:tc>
        <w:tc>
          <w:tcPr>
            <w:tcW w:w="7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3040" w:type="dxa"/>
            <w:vAlign w:val="bottom"/>
            <w:tcBorders>
              <w:bottom w:val="single" w:sz="8" w:color="0000FF"/>
            </w:tcBorders>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The Stock Incentive Plan (2022 Restatement)*</w:t>
              </w:r>
            </w:hyperlink>
          </w:p>
        </w:tc>
        <w:tc>
          <w:tcPr>
            <w:tcW w:w="4480" w:type="dxa"/>
            <w:vAlign w:val="bottom"/>
            <w:tcBorders>
              <w:bottom w:val="single" w:sz="8" w:color="CCEEFF"/>
            </w:tcBorders>
            <w:gridSpan w:val="2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8/26/2022</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752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The First Amendment to the Stock Incentive Plan (2022 Restatement) effective as of January 30, 2026, filed</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02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herewith*</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5820" w:type="dxa"/>
            <w:vAlign w:val="bottom"/>
            <w:tcBorders>
              <w:bottom w:val="single" w:sz="8" w:color="0000FF"/>
            </w:tcBorders>
            <w:gridSpan w:val="14"/>
            <w:shd w:val="clear" w:color="auto" w:fill="CCEEFF"/>
          </w:tcPr>
          <w:p>
            <w:pPr>
              <w:spacing w:after="0" w:line="175"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The Stock Incentive Plan Rules for U.K. Employees, effective as of September 19, 2022*</w:t>
              </w:r>
            </w:hyperlink>
          </w:p>
        </w:tc>
        <w:tc>
          <w:tcPr>
            <w:tcW w:w="170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The Form of Non-Qualified Stock Option Terms and Conditions granted under the Stock Incentive Plan as of</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12/1/2015</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08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September 17, 2015*</w:t>
              </w:r>
            </w:hyperlink>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The Form of Non-Qualified Stock Option Terms and Conditions granted under the Stock Incentive Plan as of</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September 19, 2022*</w:t>
              </w:r>
            </w:hyperlink>
          </w:p>
        </w:tc>
        <w:tc>
          <w:tcPr>
            <w:tcW w:w="5680" w:type="dxa"/>
            <w:vAlign w:val="bottom"/>
            <w:tcBorders>
              <w:top w:val="single" w:sz="8" w:color="0000FF"/>
              <w:bottom w:val="single" w:sz="8" w:color="CCEEFF"/>
            </w:tcBorders>
            <w:gridSpan w:val="23"/>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10.28</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The Restricted Stock Unit Award granted under the Stock Incentive Plan on January 29, 2016 to Ernie Herrman*</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3/29/2016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10.29</w:t>
            </w:r>
          </w:p>
        </w:tc>
        <w:tc>
          <w:tcPr>
            <w:tcW w:w="6960" w:type="dxa"/>
            <w:vAlign w:val="bottom"/>
            <w:tcBorders>
              <w:bottom w:val="single" w:sz="8" w:color="0000FF"/>
            </w:tcBorders>
            <w:gridSpan w:val="22"/>
            <w:shd w:val="clear" w:color="auto" w:fill="CCEEFF"/>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The Form of Performance Share Unit Award granted under the Stock Incentive Plan as of March 28, 2022*</w:t>
              </w:r>
            </w:hyperlink>
          </w:p>
        </w:tc>
        <w:tc>
          <w:tcPr>
            <w:tcW w:w="56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5/27/2022</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10.30</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The Form of Restricted Stock Unit Award granted under the Stock Incentive Plan as of March 28, 2022*</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5/27/2022</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10.31</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The Form of Deferred Stock Award for Directors granted under the Stock Incentive Plan*</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3/31/2015</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The Form of Deferred Stock Award for Directors granted under the Stock Incentive Plan as of June 7, 2016*</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8/26/2016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10.33</w:t>
            </w:r>
          </w:p>
        </w:tc>
        <w:tc>
          <w:tcPr>
            <w:tcW w:w="7260" w:type="dxa"/>
            <w:vAlign w:val="bottom"/>
            <w:tcBorders>
              <w:bottom w:val="single" w:sz="8" w:color="0000FF"/>
            </w:tcBorders>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The Form of Deferred Stock Award for Directors granted under the Stock Incentive Plan as of January 1, 2024*</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11/29/2023</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10.34</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The Management Incentive Plan and Long Range Performance Incentive Plan (2013 Restatement)*</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4/2/2013</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10.35</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The General Deferred Compensation Plan (1998 Restatement) (the GDCP) and First Amendment to the GDCP,</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4/29/1999</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effective January 1, 1999*</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The Second Amendment to the GDCP, effective January 1, 2000*</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4/28/2000</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10.37</w:t>
            </w:r>
          </w:p>
        </w:tc>
        <w:tc>
          <w:tcPr>
            <w:tcW w:w="3280" w:type="dxa"/>
            <w:vAlign w:val="bottom"/>
            <w:tcBorders>
              <w:bottom w:val="single" w:sz="8" w:color="0000FF"/>
            </w:tcBorders>
            <w:gridSpan w:val="7"/>
            <w:shd w:val="clear" w:color="auto" w:fill="CCEEFF"/>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The Third and Fourth Amendments to the GDCP*</w:t>
              </w:r>
            </w:hyperlink>
          </w:p>
        </w:tc>
        <w:tc>
          <w:tcPr>
            <w:tcW w:w="4240" w:type="dxa"/>
            <w:vAlign w:val="bottom"/>
            <w:tcBorders>
              <w:bottom w:val="single" w:sz="8" w:color="CCEEFF"/>
            </w:tcBorders>
            <w:gridSpan w:val="2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3/29/2006</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10.38</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The Fifth Amendment to the GDCP, effective January 1, 2008*</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3/31/2009</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10.39</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The Supplemental Executive Retirement Plan (2015 Restatement)*</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5/29/2015</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10.40</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The Executive Savings Plan (As Amended and Restated, Effective January 1, 2022)*</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10.46</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10.41</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The First Amendment to the Executive Savings Plan, effective April 1, 2023*</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10.42</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 Second Amendment to the Executive Savings Plan, effective January 1, 2024*</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10.49</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10.43</w:t>
            </w:r>
          </w:p>
        </w:tc>
        <w:tc>
          <w:tcPr>
            <w:tcW w:w="752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The Trust Agreement for Executive Savings Plan dated as of January 20, 2023 between TJX and Fidelity</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10.55</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3/29/2023</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680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Management Trust Company*</w:t>
              </w:r>
            </w:hyperlink>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18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10.44</w:t>
            </w:r>
          </w:p>
        </w:tc>
        <w:tc>
          <w:tcPr>
            <w:tcW w:w="752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The Form of TJX Indemnification Agreement for its executive officers and directors*(p)</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4/27/1990</w:t>
            </w:r>
          </w:p>
        </w:tc>
        <w:tc>
          <w:tcPr>
            <w:tcW w:w="0" w:type="dxa"/>
            <w:vAlign w:val="bottom"/>
          </w:tcPr>
          <w:p>
            <w:pPr>
              <w:spacing w:after="0"/>
              <w:rPr>
                <w:sz w:val="1"/>
                <w:szCs w:val="1"/>
                <w:color w:val="auto"/>
              </w:rPr>
            </w:pPr>
          </w:p>
        </w:tc>
      </w:tr>
      <w:tr>
        <w:trPr>
          <w:trHeight w:val="178"/>
        </w:trPr>
        <w:tc>
          <w:tcPr>
            <w:tcW w:w="8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10.45</w:t>
            </w:r>
          </w:p>
        </w:tc>
        <w:tc>
          <w:tcPr>
            <w:tcW w:w="7520" w:type="dxa"/>
            <w:vAlign w:val="bottom"/>
            <w:gridSpan w:val="35"/>
            <w:shd w:val="clear" w:color="auto" w:fill="CCEEFF"/>
          </w:tcPr>
          <w:p>
            <w:pPr>
              <w:spacing w:after="0" w:line="178"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2026 Revolving Credit Agreement, dated June 25, 2021, by and among the TJX Companies, Inc., the lenders from</w:t>
              </w:r>
            </w:hyperlink>
          </w:p>
        </w:tc>
        <w:tc>
          <w:tcPr>
            <w:tcW w:w="78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6/29/2021</w:t>
            </w:r>
          </w:p>
        </w:tc>
        <w:tc>
          <w:tcPr>
            <w:tcW w:w="0" w:type="dxa"/>
            <w:vAlign w:val="bottom"/>
          </w:tcPr>
          <w:p>
            <w:pPr>
              <w:spacing w:after="0"/>
              <w:rPr>
                <w:sz w:val="1"/>
                <w:szCs w:val="1"/>
                <w:color w:val="auto"/>
              </w:rPr>
            </w:pPr>
          </w:p>
        </w:tc>
      </w:tr>
      <w:tr>
        <w:trPr>
          <w:trHeight w:val="169"/>
        </w:trPr>
        <w:tc>
          <w:tcPr>
            <w:tcW w:w="800" w:type="dxa"/>
            <w:vAlign w:val="bottom"/>
            <w:tcBorders>
              <w:top w:val="single" w:sz="8" w:color="CCEEFF"/>
            </w:tcBorders>
            <w:shd w:val="clear" w:color="auto" w:fill="CCEEFF"/>
          </w:tcPr>
          <w:p>
            <w:pPr>
              <w:spacing w:after="0"/>
              <w:rPr>
                <w:sz w:val="14"/>
                <w:szCs w:val="14"/>
                <w:color w:val="auto"/>
              </w:rPr>
            </w:pPr>
          </w:p>
        </w:tc>
        <w:tc>
          <w:tcPr>
            <w:tcW w:w="7420" w:type="dxa"/>
            <w:vAlign w:val="bottom"/>
            <w:tcBorders>
              <w:top w:val="single" w:sz="8" w:color="0000FF"/>
            </w:tcBorders>
            <w:gridSpan w:val="34"/>
            <w:shd w:val="clear" w:color="auto" w:fill="CCEEFF"/>
          </w:tcPr>
          <w:p>
            <w:pPr>
              <w:spacing w:after="0" w:line="169"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time to time party thereto, U.S. Bank National Association, as administrative agent, HSBC Bank USA, National</w:t>
              </w:r>
            </w:hyperlink>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top w:val="single" w:sz="8" w:color="CCEEFF"/>
            </w:tcBorders>
            <w:shd w:val="clear" w:color="auto" w:fill="CCEEFF"/>
          </w:tcPr>
          <w:p>
            <w:pPr>
              <w:spacing w:after="0"/>
              <w:rPr>
                <w:sz w:val="14"/>
                <w:szCs w:val="14"/>
                <w:color w:val="auto"/>
              </w:rPr>
            </w:pPr>
          </w:p>
        </w:tc>
        <w:tc>
          <w:tcPr>
            <w:tcW w:w="7280" w:type="dxa"/>
            <w:vAlign w:val="bottom"/>
            <w:tcBorders>
              <w:top w:val="single" w:sz="8" w:color="0000FF"/>
            </w:tcBorders>
            <w:gridSpan w:val="30"/>
            <w:shd w:val="clear" w:color="auto" w:fill="CCEEFF"/>
          </w:tcPr>
          <w:p>
            <w:pPr>
              <w:spacing w:after="0" w:line="169"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Association and Wells Fargo Bank, National Association, as co-syndication agents, and Bank of America, N.A.,</w:t>
              </w:r>
            </w:hyperlink>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6080" w:type="dxa"/>
            <w:vAlign w:val="bottom"/>
            <w:tcBorders>
              <w:top w:val="single" w:sz="8" w:color="0000FF"/>
              <w:bottom w:val="single" w:sz="8" w:color="0000FF"/>
            </w:tcBorders>
            <w:gridSpan w:val="15"/>
            <w:shd w:val="clear" w:color="auto" w:fill="CCEEFF"/>
          </w:tcPr>
          <w:p>
            <w:pPr>
              <w:spacing w:after="0" w:line="15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JPMorgan Chase Bank, N.A. and Deutsche Bank Securities, Inc., as co-documentation agents</w:t>
              </w:r>
            </w:hyperlink>
          </w:p>
        </w:tc>
        <w:tc>
          <w:tcPr>
            <w:tcW w:w="1180" w:type="dxa"/>
            <w:vAlign w:val="bottom"/>
            <w:tcBorders>
              <w:top w:val="single" w:sz="8" w:color="0000FF"/>
              <w:bottom w:val="single" w:sz="8" w:color="CCEEFF"/>
            </w:tcBorders>
            <w:gridSpan w:val="14"/>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10.46</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First Amendment to 2026 Revolving Credit Agreement, dated as of May 8, 2023, by and among The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8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Companies, Inc., U.S. Bank National Association, as administrative agent, and each of the lenders party</w:t>
              </w:r>
            </w:hyperlink>
          </w:p>
        </w:tc>
        <w:tc>
          <w:tcPr>
            <w:tcW w:w="660" w:type="dxa"/>
            <w:vAlign w:val="bottom"/>
            <w:gridSpan w:val="14"/>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thereto</w:t>
              </w:r>
            </w:hyperlink>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10.47</w:t>
            </w:r>
          </w:p>
        </w:tc>
        <w:tc>
          <w:tcPr>
            <w:tcW w:w="7060" w:type="dxa"/>
            <w:vAlign w:val="bottom"/>
            <w:tcBorders>
              <w:bottom w:val="single" w:sz="8" w:color="0000FF"/>
            </w:tcBorders>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2028 Amended and Restated Revolving Credit Agreement, dated as of May 8, 2023, by and among The TJX</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163"/>
        </w:trPr>
        <w:tc>
          <w:tcPr>
            <w:tcW w:w="800" w:type="dxa"/>
            <w:vAlign w:val="bottom"/>
            <w:tcBorders>
              <w:bottom w:val="single" w:sz="8" w:color="CCEEFF"/>
            </w:tcBorders>
            <w:shd w:val="clear" w:color="auto" w:fill="CCEEFF"/>
          </w:tcPr>
          <w:p>
            <w:pPr>
              <w:spacing w:after="0"/>
              <w:rPr>
                <w:sz w:val="14"/>
                <w:szCs w:val="14"/>
                <w:color w:val="auto"/>
              </w:rPr>
            </w:pPr>
          </w:p>
        </w:tc>
        <w:tc>
          <w:tcPr>
            <w:tcW w:w="7400" w:type="dxa"/>
            <w:vAlign w:val="bottom"/>
            <w:tcBorders>
              <w:bottom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Companies, Inc., U.S. Bank National Association, as administrative agent, and each of the lenders party thereto**</w:t>
              </w:r>
            </w:hyperlink>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10.48</w:t>
            </w:r>
          </w:p>
        </w:tc>
        <w:tc>
          <w:tcPr>
            <w:tcW w:w="7520" w:type="dxa"/>
            <w:vAlign w:val="bottom"/>
            <w:gridSpan w:val="35"/>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First Amendment to 2029 Amended and Restated Revolving Credit Agreement, dated as of May 9, 2025, among</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5/9/2025</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2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the Company, U.S. Bank, as administrative agent, the lenders party thereto, HSBC Bank USA, National</w:t>
              </w:r>
            </w:hyperlink>
          </w:p>
        </w:tc>
        <w:tc>
          <w:tcPr>
            <w:tcW w:w="20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7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w w:val="98"/>
              </w:rPr>
            </w:pPr>
            <w:hyperlink r:id="rId108">
              <w:r>
                <w:rPr>
                  <w:rFonts w:ascii="Times New Roman" w:cs="Times New Roman" w:eastAsia="Times New Roman" w:hAnsi="Times New Roman"/>
                  <w:sz w:val="16"/>
                  <w:szCs w:val="16"/>
                  <w:color w:val="0000FF"/>
                  <w:w w:val="98"/>
                </w:rPr>
                <w:t>Association and Wells Fargo Bank, National Association, as co-syndication agents, and Bank of America,</w:t>
              </w:r>
            </w:hyperlink>
          </w:p>
        </w:tc>
        <w:tc>
          <w:tcPr>
            <w:tcW w:w="780" w:type="dxa"/>
            <w:vAlign w:val="bottom"/>
            <w:gridSpan w:val="17"/>
          </w:tcPr>
          <w:p>
            <w:pPr>
              <w:ind w:left="180"/>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N.A.,</w:t>
              </w:r>
            </w:hyperlink>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Deutsche Bank Securities, Inc., and JPMorgan Chase Bank, N.A., as co-documentation agents.</w:t>
              </w:r>
            </w:hyperlink>
          </w:p>
        </w:tc>
        <w:tc>
          <w:tcPr>
            <w:tcW w:w="1100" w:type="dxa"/>
            <w:vAlign w:val="bottom"/>
            <w:tcBorders>
              <w:top w:val="single" w:sz="8" w:color="0000FF"/>
            </w:tcBorders>
            <w:gridSpan w:val="13"/>
          </w:tcPr>
          <w:p>
            <w:pPr>
              <w:spacing w:after="0"/>
              <w:rPr>
                <w:sz w:val="12"/>
                <w:szCs w:val="12"/>
                <w:color w:val="auto"/>
              </w:rPr>
            </w:pPr>
          </w:p>
        </w:tc>
        <w:tc>
          <w:tcPr>
            <w:tcW w:w="26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4" w:right="5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9"/>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71"/>
        </w:trPr>
        <w:tc>
          <w:tcPr>
            <w:tcW w:w="8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10.49</w:t>
            </w:r>
          </w:p>
        </w:tc>
        <w:tc>
          <w:tcPr>
            <w:tcW w:w="7220" w:type="dxa"/>
            <w:vAlign w:val="bottom"/>
            <w:tcBorders>
              <w:bottom w:val="single" w:sz="8" w:color="0000FF"/>
            </w:tcBorders>
            <w:gridSpan w:val="6"/>
            <w:shd w:val="clear" w:color="auto" w:fill="CCEEFF"/>
          </w:tcPr>
          <w:p>
            <w:pPr>
              <w:spacing w:after="0" w:line="171"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Second Amendment to 2030 Revolving Credit Agreement, dated as of May 9, 2025, among the Company, U.S.</w:t>
              </w:r>
            </w:hyperlink>
          </w:p>
        </w:tc>
        <w:tc>
          <w:tcPr>
            <w:tcW w:w="300" w:type="dxa"/>
            <w:vAlign w:val="bottom"/>
            <w:tcBorders>
              <w:bottom w:val="single" w:sz="8" w:color="CCEEFF"/>
            </w:tcBorders>
            <w:gridSpan w:val="3"/>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8-K</w:t>
            </w: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10.2</w:t>
            </w:r>
          </w:p>
        </w:tc>
        <w:tc>
          <w:tcPr>
            <w:tcW w:w="106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5/9/2025</w:t>
            </w:r>
          </w:p>
        </w:tc>
        <w:tc>
          <w:tcPr>
            <w:tcW w:w="0" w:type="dxa"/>
            <w:vAlign w:val="bottom"/>
          </w:tcPr>
          <w:p>
            <w:pPr>
              <w:spacing w:after="0"/>
              <w:rPr>
                <w:sz w:val="1"/>
                <w:szCs w:val="1"/>
                <w:color w:val="auto"/>
              </w:rPr>
            </w:pPr>
          </w:p>
        </w:tc>
      </w:tr>
      <w:tr>
        <w:trPr>
          <w:trHeight w:val="142"/>
        </w:trPr>
        <w:tc>
          <w:tcPr>
            <w:tcW w:w="800" w:type="dxa"/>
            <w:vAlign w:val="bottom"/>
            <w:shd w:val="clear" w:color="auto" w:fill="CCEEFF"/>
          </w:tcPr>
          <w:p>
            <w:pPr>
              <w:spacing w:after="0"/>
              <w:rPr>
                <w:sz w:val="12"/>
                <w:szCs w:val="12"/>
                <w:color w:val="auto"/>
              </w:rPr>
            </w:pPr>
          </w:p>
        </w:tc>
        <w:tc>
          <w:tcPr>
            <w:tcW w:w="7520" w:type="dxa"/>
            <w:vAlign w:val="bottom"/>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Bank, as administrative agent, swing line lender and a letter of credit issuer, the lenders party thereto, HSBC Bank</w:t>
              </w:r>
            </w:hyperlink>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42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USA, National Association and Wells Fargo Bank, National Association, as co-syndication agents and letter of</w:t>
              </w:r>
            </w:hyperlink>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18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credit issuers, Bank of America, N.A. and JPMorgan Chase Bank, N.A., as co-documentation agents and letter</w:t>
              </w:r>
            </w:hyperlink>
          </w:p>
        </w:tc>
        <w:tc>
          <w:tcPr>
            <w:tcW w:w="340" w:type="dxa"/>
            <w:vAlign w:val="bottom"/>
            <w:tcBorders>
              <w:top w:val="single" w:sz="8" w:color="CCEEFF"/>
            </w:tcBorders>
            <w:gridSpan w:val="4"/>
            <w:shd w:val="clear" w:color="auto" w:fill="CCEEFF"/>
          </w:tcPr>
          <w:p>
            <w:pPr>
              <w:ind w:left="40"/>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of</w:t>
              </w:r>
            </w:hyperlink>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340" w:type="dxa"/>
            <w:vAlign w:val="bottom"/>
            <w:tcBorders>
              <w:top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credit issuers, Deutsche Bank Securities, Inc., as a co-documentation agent and Deutsche Bank AG New York</w:t>
              </w:r>
            </w:hyperlink>
          </w:p>
        </w:tc>
        <w:tc>
          <w:tcPr>
            <w:tcW w:w="180" w:type="dxa"/>
            <w:vAlign w:val="bottom"/>
            <w:tcBorders>
              <w:top w:val="single" w:sz="8" w:color="CCEEFF"/>
            </w:tcBorders>
            <w:gridSpan w:val="2"/>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2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Branch, as a letter of credit issuer.</w:t>
              </w:r>
            </w:hyperlink>
          </w:p>
        </w:tc>
        <w:tc>
          <w:tcPr>
            <w:tcW w:w="492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19.1</w:t>
            </w:r>
          </w:p>
        </w:tc>
        <w:tc>
          <w:tcPr>
            <w:tcW w:w="7520" w:type="dxa"/>
            <w:vAlign w:val="bottom"/>
            <w:gridSpan w:val="9"/>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Insider Trading Policy</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4/2/2025</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19.2</w:t>
            </w:r>
          </w:p>
        </w:tc>
        <w:tc>
          <w:tcPr>
            <w:tcW w:w="752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Pre-clearance Trading Policy</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19.2</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4/2/2025</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0" w:hanging="482"/>
        <w:spacing w:after="0"/>
        <w:tabs>
          <w:tab w:leader="none" w:pos="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Subsidiaries of TJX, filed herewith</w:t>
      </w:r>
    </w:p>
    <w:p>
      <w:pPr>
        <w:spacing w:after="0" w:line="32" w:lineRule="exact"/>
        <w:rPr>
          <w:sz w:val="20"/>
          <w:szCs w:val="20"/>
          <w:color w:val="auto"/>
        </w:rPr>
      </w:pPr>
    </w:p>
    <w:p>
      <w:pPr>
        <w:ind w:left="800" w:hanging="482"/>
        <w:spacing w:after="0"/>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Consent of Independent Registered Public Accounting Firm, filed herewith</w:t>
      </w:r>
    </w:p>
    <w:p>
      <w:pPr>
        <w:spacing w:after="0" w:line="32" w:lineRule="exact"/>
        <w:rPr>
          <w:rFonts w:ascii="Times New Roman" w:cs="Times New Roman" w:eastAsia="Times New Roman" w:hAnsi="Times New Roman"/>
          <w:sz w:val="16"/>
          <w:szCs w:val="16"/>
          <w:color w:val="auto"/>
        </w:rPr>
      </w:pPr>
    </w:p>
    <w:p>
      <w:pPr>
        <w:ind w:left="800" w:hanging="482"/>
        <w:spacing w:after="0"/>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Power of Attorney given by the Directors and certain Executive Officers of TJX,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01230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 w:lineRule="exact"/>
        <w:rPr>
          <w:sz w:val="20"/>
          <w:szCs w:val="20"/>
          <w:color w:val="auto"/>
        </w:rPr>
      </w:pPr>
    </w:p>
    <w:p>
      <w:pPr>
        <w:ind w:left="800" w:right="306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Statement of Chief Executive Officer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1230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4">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ind w:left="800" w:right="310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Certification Statement of Chief Financial Officer pursuant to Section 302 of the Sarbanes-Oxley Act of 2002, filed herewith</w:t>
      </w:r>
    </w:p>
    <w:p>
      <w:pPr>
        <w:spacing w:after="0" w:line="2" w:lineRule="exact"/>
        <w:rPr>
          <w:sz w:val="20"/>
          <w:szCs w:val="20"/>
          <w:color w:val="auto"/>
        </w:rPr>
      </w:pPr>
    </w:p>
    <w:p>
      <w:pPr>
        <w:ind w:left="800" w:right="306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FF"/>
        </w:rPr>
        <w:t>Certification Statement of Chief Executive Officer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1230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5">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ind w:left="800" w:right="310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6"/>
          <w:szCs w:val="16"/>
          <w:u w:val="single" w:color="auto"/>
          <w:color w:val="0000FF"/>
        </w:rPr>
        <w:t>Certification Statement of Chief Financial Officer pursuant to Section 906 of the Sarbanes-Oxley Act of 2002, filed herewith</w:t>
      </w:r>
    </w:p>
    <w:p>
      <w:pPr>
        <w:spacing w:after="0" w:line="2" w:lineRule="exact"/>
        <w:rPr>
          <w:sz w:val="20"/>
          <w:szCs w:val="20"/>
          <w:color w:val="auto"/>
        </w:rPr>
      </w:pPr>
    </w:p>
    <w:p>
      <w:pPr>
        <w:ind w:left="320"/>
        <w:spacing w:after="0"/>
        <w:tabs>
          <w:tab w:leader="none" w:pos="780" w:val="left"/>
          <w:tab w:leader="none" w:pos="8540" w:val="left"/>
          <w:tab w:leader="none" w:pos="9440" w:val="left"/>
          <w:tab w:leader="none" w:pos="1018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97</w:t>
      </w:r>
      <w:r>
        <w:rPr>
          <w:sz w:val="20"/>
          <w:szCs w:val="20"/>
          <w:color w:val="auto"/>
        </w:rPr>
        <w:tab/>
      </w:r>
      <w:hyperlink r:id="rId116">
        <w:r>
          <w:rPr>
            <w:rFonts w:ascii="Times New Roman" w:cs="Times New Roman" w:eastAsia="Times New Roman" w:hAnsi="Times New Roman"/>
            <w:sz w:val="16"/>
            <w:szCs w:val="16"/>
            <w:u w:val="single" w:color="auto"/>
            <w:color w:val="0000FF"/>
          </w:rPr>
          <w:t>Policy for Recovery of Executive Officer Incentive Compensation (Amended and Restated as of October 2, 2023)</w:t>
        </w:r>
      </w:hyperlink>
      <w:r>
        <w:rPr>
          <w:rFonts w:ascii="Times New Roman" w:cs="Times New Roman" w:eastAsia="Times New Roman" w:hAnsi="Times New Roman"/>
          <w:sz w:val="16"/>
          <w:szCs w:val="16"/>
          <w:color w:val="0000FF"/>
        </w:rPr>
        <w:tab/>
        <w:t>10-K</w:t>
        <w:tab/>
        <w:t>97</w:t>
        <w:tab/>
        <w:t>4/3/2024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1230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 w:lineRule="exact"/>
        <w:rPr>
          <w:sz w:val="20"/>
          <w:szCs w:val="20"/>
          <w:color w:val="auto"/>
        </w:rPr>
      </w:pPr>
    </w:p>
    <w:p>
      <w:pPr>
        <w:ind w:left="800" w:right="2880" w:hanging="522"/>
        <w:spacing w:after="0" w:line="223" w:lineRule="auto"/>
        <w:tabs>
          <w:tab w:leader="none" w:pos="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The TJX Companies, Inc.’s Annual Report on Form 10-K for the fiscal year ended January 31, 2026, formatted in Inline Extensible Business Reporting Language (iXBRL):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p>
      <w:pPr>
        <w:spacing w:after="0" w:line="9" w:lineRule="exact"/>
        <w:rPr>
          <w:sz w:val="20"/>
          <w:szCs w:val="20"/>
          <w:color w:val="auto"/>
        </w:rPr>
      </w:pPr>
    </w:p>
    <w:p>
      <w:pPr>
        <w:ind w:left="800" w:right="3520" w:hanging="522"/>
        <w:spacing w:after="0" w:line="245" w:lineRule="auto"/>
        <w:tabs>
          <w:tab w:leader="none" w:pos="80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TJX Companies, Inc.'s Annual Report on Form 10-K for the fiscal year ended January 31, 2026, formatted in iXBRL (included in Exhibit 101)</w:t>
      </w:r>
    </w:p>
    <w:p>
      <w:pPr>
        <w:spacing w:after="0" w:line="9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spacing w:after="0" w:line="113" w:lineRule="exact"/>
        <w:rPr>
          <w:rFonts w:ascii="Times New Roman" w:cs="Times New Roman" w:eastAsia="Times New Roman" w:hAnsi="Times New Roman"/>
          <w:sz w:val="16"/>
          <w:szCs w:val="16"/>
          <w:color w:val="auto"/>
        </w:rPr>
      </w:pPr>
    </w:p>
    <w:p>
      <w:pPr>
        <w:ind w:right="60" w:firstLine="8"/>
        <w:spacing w:after="0" w:line="280" w:lineRule="auto"/>
        <w:tabs>
          <w:tab w:leader="none" w:pos="2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certain portions of this exhibit are omitted pursuant to Item 601 of Regulation S-K. The Company agrees to furnish a supplemental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012305" cy="248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extLst>
                    </a:blip>
                    <a:srcRect/>
                    <a:stretch>
                      <a:fillRect/>
                    </a:stretch>
                  </pic:blipFill>
                  <pic:spPr bwMode="auto">
                    <a:xfrm>
                      <a:off x="0" y="0"/>
                      <a:ext cx="7012305" cy="248285"/>
                    </a:xfrm>
                    <a:prstGeom prst="rect">
                      <a:avLst/>
                    </a:prstGeom>
                    <a:noFill/>
                  </pic:spPr>
                </pic:pic>
              </a:graphicData>
            </a:graphic>
          </wp:anchor>
        </w:drawing>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(p)</w:t>
        <w:tab/>
        <w:t>Paper filing.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indicated, exhibits incorporated by reference were filed under Commission File Number 001-04908.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4" w:right="5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120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840" w:val="left"/>
          <w:tab w:leader="none" w:pos="6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31, 2026</w:t>
      </w:r>
      <w:r>
        <w:rPr>
          <w:sz w:val="20"/>
          <w:szCs w:val="20"/>
          <w:color w:val="auto"/>
        </w:rPr>
        <w:tab/>
      </w:r>
      <w:r>
        <w:rPr>
          <w:rFonts w:ascii="Times New Roman" w:cs="Times New Roman" w:eastAsia="Times New Roman" w:hAnsi="Times New Roman"/>
          <w:sz w:val="17"/>
          <w:szCs w:val="17"/>
          <w:color w:val="auto"/>
        </w:rPr>
        <w:t>John Klinger, Chief Financial Officer</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40"/>
          </w:cols>
          <w:pgMar w:left="320" w:top="882"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Ernie Herrman, Chief Executive Officer, President and Director (Principal Executive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JOSÉ B.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José B. Alvarez,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M. Bennett,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ROSEMARY T. BERKERY*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Rosemary T. Berkery,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T.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T. Ching,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KIM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Kim Goodwin,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Klinger, 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 Lane,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 MEYROWITZ*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9">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 Meyrowitz, Executive Chairman of the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JACKWYN L. NEMEROV*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0">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Jackwyn L. Nemerov,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Wagner, Jr., Director</w:t>
      </w:r>
    </w:p>
    <w:p>
      <w:pPr>
        <w:spacing w:after="0" w:line="942" w:lineRule="exact"/>
        <w:rPr>
          <w:sz w:val="20"/>
          <w:szCs w:val="20"/>
          <w:color w:val="auto"/>
        </w:rPr>
      </w:pPr>
    </w:p>
    <w:p>
      <w:pPr>
        <w:sectPr>
          <w:pgSz w:w="11900" w:h="16838" w:orient="portrait"/>
          <w:cols w:equalWidth="0" w:num="2">
            <w:col w:w="4720" w:space="720"/>
            <w:col w:w="5800"/>
          </w:cols>
          <w:pgMar w:left="320" w:top="8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20" w:type="dxa"/>
            <w:vAlign w:val="bottom"/>
          </w:tcPr>
          <w:p>
            <w:pPr>
              <w:ind w:left="60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KLINGER</w:t>
            </w:r>
          </w:p>
        </w:tc>
      </w:tr>
      <w:tr>
        <w:trPr>
          <w:trHeight w:val="169"/>
        </w:trPr>
        <w:tc>
          <w:tcPr>
            <w:tcW w:w="6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Dated:   March 31, 2026</w:t>
            </w:r>
          </w:p>
        </w:tc>
        <w:tc>
          <w:tcPr>
            <w:tcW w:w="46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John Klinger,</w:t>
            </w:r>
          </w:p>
        </w:tc>
      </w:tr>
      <w:tr>
        <w:trPr>
          <w:trHeight w:val="234"/>
        </w:trPr>
        <w:tc>
          <w:tcPr>
            <w:tcW w:w="65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Years Ended January 31, 2026, February 1, 2025 and February 3, 2024.</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5380" w:type="dxa"/>
            <w:vAlign w:val="bottom"/>
          </w:tcPr>
          <w:p>
            <w:pPr>
              <w:spacing w:after="0"/>
              <w:rPr>
                <w:sz w:val="17"/>
                <w:szCs w:val="17"/>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F-2</w:t>
            </w:r>
          </w:p>
        </w:tc>
      </w:tr>
      <w:tr>
        <w:trPr>
          <w:trHeight w:val="270"/>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97"/>
        </w:trPr>
        <w:tc>
          <w:tcPr>
            <w:tcW w:w="200" w:type="dxa"/>
            <w:vAlign w:val="bottom"/>
          </w:tcPr>
          <w:p>
            <w:pPr>
              <w:spacing w:after="0"/>
              <w:rPr>
                <w:sz w:val="17"/>
                <w:szCs w:val="17"/>
                <w:color w:val="auto"/>
              </w:rPr>
            </w:pPr>
          </w:p>
        </w:tc>
        <w:tc>
          <w:tcPr>
            <w:tcW w:w="25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8140" w:type="dxa"/>
            <w:vAlign w:val="bottom"/>
            <w:gridSpan w:val="5"/>
          </w:tcPr>
          <w:p>
            <w:pPr>
              <w:spacing w:after="0"/>
              <w:rPr>
                <w:sz w:val="17"/>
                <w:szCs w:val="17"/>
                <w:color w:val="auto"/>
              </w:rPr>
            </w:pPr>
          </w:p>
        </w:tc>
        <w:tc>
          <w:tcPr>
            <w:tcW w:w="2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5"/>
              </w:rPr>
              <w:t>F-4</w:t>
            </w:r>
          </w:p>
        </w:tc>
      </w:tr>
      <w:tr>
        <w:trPr>
          <w:trHeight w:val="209"/>
        </w:trPr>
        <w:tc>
          <w:tcPr>
            <w:tcW w:w="200" w:type="dxa"/>
            <w:vAlign w:val="bottom"/>
          </w:tcPr>
          <w:p>
            <w:pPr>
              <w:spacing w:after="0"/>
              <w:rPr>
                <w:sz w:val="18"/>
                <w:szCs w:val="18"/>
                <w:color w:val="auto"/>
              </w:rPr>
            </w:pPr>
          </w:p>
        </w:tc>
        <w:tc>
          <w:tcPr>
            <w:tcW w:w="10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10"/>
        </w:trPr>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4"/>
          </w:tcPr>
          <w:p>
            <w:pPr>
              <w:spacing w:after="0"/>
              <w:rPr>
                <w:sz w:val="18"/>
                <w:szCs w:val="18"/>
                <w:color w:val="auto"/>
              </w:rPr>
            </w:pPr>
          </w:p>
        </w:tc>
        <w:tc>
          <w:tcPr>
            <w:tcW w:w="6980" w:type="dxa"/>
            <w:vAlign w:val="bottom"/>
            <w:gridSpan w:val="2"/>
          </w:tcPr>
          <w:p>
            <w:pPr>
              <w:spacing w:after="0"/>
              <w:rPr>
                <w:sz w:val="18"/>
                <w:szCs w:val="18"/>
                <w:color w:val="auto"/>
              </w:rPr>
            </w:pP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9"/>
        </w:trPr>
        <w:tc>
          <w:tcPr>
            <w:tcW w:w="20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840" w:type="dxa"/>
            <w:vAlign w:val="bottom"/>
            <w:gridSpan w:val="4"/>
          </w:tcPr>
          <w:p>
            <w:pPr>
              <w:spacing w:after="0"/>
              <w:rPr>
                <w:sz w:val="18"/>
                <w:szCs w:val="18"/>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9"/>
        </w:trPr>
        <w:tc>
          <w:tcPr>
            <w:tcW w:w="200" w:type="dxa"/>
            <w:vAlign w:val="bottom"/>
          </w:tcPr>
          <w:p>
            <w:pPr>
              <w:spacing w:after="0"/>
              <w:rPr>
                <w:sz w:val="18"/>
                <w:szCs w:val="18"/>
                <w:color w:val="auto"/>
              </w:rPr>
            </w:pPr>
          </w:p>
        </w:tc>
        <w:tc>
          <w:tcPr>
            <w:tcW w:w="3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7160" w:type="dxa"/>
            <w:vAlign w:val="bottom"/>
            <w:gridSpan w:val="3"/>
          </w:tcPr>
          <w:p>
            <w:pPr>
              <w:spacing w:after="0"/>
              <w:rPr>
                <w:sz w:val="18"/>
                <w:szCs w:val="18"/>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37"/>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70"/>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Financial Statement Schedule: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96"/>
        </w:trPr>
        <w:tc>
          <w:tcPr>
            <w:tcW w:w="200" w:type="dxa"/>
            <w:vAlign w:val="bottom"/>
          </w:tcPr>
          <w:p>
            <w:pPr>
              <w:spacing w:after="0"/>
              <w:rPr>
                <w:sz w:val="17"/>
                <w:szCs w:val="17"/>
                <w:color w:val="auto"/>
              </w:rPr>
            </w:pPr>
          </w:p>
        </w:tc>
        <w:tc>
          <w:tcPr>
            <w:tcW w:w="3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Schedule II – Valuation and Qualifying Accounts</w:t>
            </w:r>
          </w:p>
        </w:tc>
        <w:tc>
          <w:tcPr>
            <w:tcW w:w="7160" w:type="dxa"/>
            <w:vAlign w:val="bottom"/>
            <w:gridSpan w:val="3"/>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The TJX Companies,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TJX Companies, Inc. and its subsidiaries (the “Company”) as of January 31, 2026 and February 1, 2025, and the related consolidated statements of income, of comprehensive income, of shareholders' equity and of cash flows for each of the three years in the period ended January 31, 2026, including the related notes and schedule of valuation and qualifying accounts for each of the three years in the period ended January 31, 2026 appearing under Item 15(a) (collectively referred to as the “consolidated financial statements”). We also have audited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in Note K to the consolidated financial statements, the Company recorded a provision for income taxes of $1.8 billion for the year ended January 31, 2026 and has a deferred tax liability net of deferred tax assets of $121 million, including a valuation allowance of $58 million, as of January 31, 2026. The Company is subject to taxation in the United States, as well as multiple state, local and foreign jurisdictions. The use of estimates and judgments, as well as the interpretation and application of complex tax laws is required by management to determine its provision for income taxes.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provision for income taxes is a critical audit matter are (i) the significant judgment by management when determining the provision for income taxes, which led to (ii) a high degree of auditor judgment, subjectivity, and effort in performing procedures relating to the provision for income taxes.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provision for income taxes. These procedures also included, among others, testing the provision for income taxes, including the rate reconciliation, current and deferred tax provision, and the application of tax laws and regulations.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color w:val="auto"/>
                <w:w w:val="98"/>
              </w:rPr>
              <w:t>February 1,</w:t>
            </w:r>
          </w:p>
        </w:tc>
        <w:tc>
          <w:tcPr>
            <w:tcW w:w="200" w:type="dxa"/>
            <w:vAlign w:val="bottom"/>
          </w:tcPr>
          <w:p>
            <w:pPr>
              <w:spacing w:after="0"/>
              <w:rPr>
                <w:sz w:val="15"/>
                <w:szCs w:val="15"/>
                <w:color w:val="auto"/>
              </w:rPr>
            </w:pPr>
          </w:p>
        </w:tc>
        <w:tc>
          <w:tcPr>
            <w:tcW w:w="124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rPr>
              <w:t>February 3,</w:t>
            </w:r>
          </w:p>
        </w:tc>
      </w:tr>
      <w:tr>
        <w:trPr>
          <w:trHeight w:val="238"/>
        </w:trPr>
        <w:tc>
          <w:tcPr>
            <w:tcW w:w="6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60,372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56,360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54,217</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41,679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r>
      <w:tr>
        <w:trPr>
          <w:trHeight w:val="22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color w:val="auto"/>
                <w:w w:val="98"/>
              </w:rPr>
              <w:t>February 1,</w:t>
            </w:r>
          </w:p>
        </w:tc>
        <w:tc>
          <w:tcPr>
            <w:tcW w:w="200" w:type="dxa"/>
            <w:vAlign w:val="bottom"/>
          </w:tcPr>
          <w:p>
            <w:pPr>
              <w:spacing w:after="0"/>
              <w:rPr>
                <w:sz w:val="15"/>
                <w:szCs w:val="15"/>
                <w:color w:val="auto"/>
              </w:rPr>
            </w:pPr>
          </w:p>
        </w:tc>
        <w:tc>
          <w:tcPr>
            <w:tcW w:w="124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rPr>
              <w:t>February 3,</w:t>
            </w:r>
          </w:p>
        </w:tc>
        <w:tc>
          <w:tcPr>
            <w:tcW w:w="0" w:type="dxa"/>
            <w:vAlign w:val="bottom"/>
          </w:tcPr>
          <w:p>
            <w:pPr>
              <w:spacing w:after="0"/>
              <w:rPr>
                <w:sz w:val="1"/>
                <w:szCs w:val="1"/>
                <w:color w:val="auto"/>
              </w:rPr>
            </w:pPr>
          </w:p>
        </w:tc>
      </w:tr>
      <w:tr>
        <w:trPr>
          <w:trHeight w:val="238"/>
        </w:trPr>
        <w:tc>
          <w:tcPr>
            <w:tcW w:w="6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income (loss), net of tax:</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related tax provision of $4 in fiscal 2026</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tax benefits of $8 and $1 in fiscal 2025 and 2024, respectively</w:t>
            </w:r>
          </w:p>
        </w:tc>
        <w:tc>
          <w:tcPr>
            <w:tcW w:w="2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Recognition of net gains/(losses) on benefit obligations, net of related tax provisions of $5,</w:t>
            </w: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 and $16 in fiscal 2026, 2025 and 2024, respectively</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income (loss), net of tax, to net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 and deferred gains/(losses), net of related tax provision of</w:t>
            </w: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 in fiscal 2026, tax benefit of $1 in fiscal 2025 and tax provision of $1 in fiscal 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41"/>
        </w:trPr>
        <w:tc>
          <w:tcPr>
            <w:tcW w:w="8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state and foreign income taxes recoverable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at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31,749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state and foreign income taxes payable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 5,000,000 shares, par value $1, no shares issued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authorized 1,800,000,000 shares, par value $1, issued and outstanding 1,107,087,991 and</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1,119,333,622 shares, respectively</w:t>
            </w: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4"/>
                <w:szCs w:val="14"/>
                <w:color w:val="auto"/>
              </w:rPr>
            </w:pPr>
          </w:p>
        </w:tc>
        <w:tc>
          <w:tcPr>
            <w:tcW w:w="11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180" w:type="dxa"/>
            <w:vAlign w:val="bottom"/>
          </w:tcPr>
          <w:p>
            <w:pPr>
              <w:spacing w:after="0"/>
              <w:rPr>
                <w:sz w:val="14"/>
                <w:szCs w:val="14"/>
                <w:color w:val="auto"/>
              </w:rPr>
            </w:pPr>
          </w:p>
        </w:tc>
        <w:tc>
          <w:tcPr>
            <w:tcW w:w="11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February 3,</w:t>
            </w:r>
          </w:p>
        </w:tc>
      </w:tr>
      <w:tr>
        <w:trPr>
          <w:trHeight w:val="241"/>
        </w:trPr>
        <w:tc>
          <w:tcPr>
            <w:tcW w:w="7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7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(53 weeks)</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property disposals and impairment charges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in merchandise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Decrease (increase) in income taxes recoverable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(decrease) in net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2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6,874</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additions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equity investments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2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(4,215)</w:t>
            </w:r>
          </w:p>
        </w:tc>
      </w:tr>
      <w:tr>
        <w:trPr>
          <w:trHeight w:val="223"/>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0" w:type="dxa"/>
            <w:vAlign w:val="bottom"/>
          </w:tcPr>
          <w:p>
            <w:pPr>
              <w:spacing w:after="0"/>
              <w:rPr>
                <w:sz w:val="19"/>
                <w:szCs w:val="19"/>
                <w:color w:val="auto"/>
              </w:rPr>
            </w:pPr>
          </w:p>
        </w:tc>
        <w:tc>
          <w:tcPr>
            <w:tcW w:w="23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Additional</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36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Par Value</w:t>
            </w: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Retained</w:t>
            </w: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3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Capital</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6,364</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7,883</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214</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6"/>
                <w:szCs w:val="16"/>
                <w:color w:val="auto"/>
              </w:rPr>
            </w:pPr>
          </w:p>
        </w:tc>
        <w:tc>
          <w:tcPr>
            <w:tcW w:w="1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240</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A. Basis of Presentation and Summary of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Notes thereto of The TJX Companies, Inc. (referred to as “TJX” or “the Company”) have been prepared in accordance with accounting principles generally accepted in the United States of America (“GAAP”) and include the Consolidated Financial Statements of all of TJX’s subsidiaries, all of which are wholly owned. All of the Company's activities are conducted by TJX or its subsidiaries and are consolidated in these Consolidated Financial Statements. All intercompany transactions have been eliminated in consolidation. Investments for which the Company exercises significant influence but does not have control are accounted for under the equity method.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TJX’s fiscal year ends on the Saturday nearest to the last day of January of each year. The fiscal year ended January 31, 2026 (“fiscal 2026”) is a 52-week fiscal year. The fiscal year ended February 1, 2025 (“fiscal 2025”) was a 52-week fiscal year, and the fiscal year ended February 3, 2024 (“fiscal 2024”) was a 53-week fiscal year. Fiscal 2027 will be 52-week fiscal year and will end January 30, 2027.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sales consist primarily of merchandise sales, which are recorded net of a reserve for estimated returns, any discounts and sales taxes, for the sales of merchandise both within TJX’s stores and online. Net sales also include an immaterial amount of other revenues that represent less than 1% of total revenues, including revenue generated by the TJX-branded credit card program. In addition, certain customers, primarily Associates, may receive discounts that are accounted for as consideration reducing the transaction price. Merchandise sales from TJX’s stores are recognized at the point of sale when TJX provides the merchandise to the customer. The performance obligation is fulfilled at this point when the customer has obtained control by paying for and leaving with the merchandise. Merchandise sales made online are recognized when the product has been shipped, which is when legal title has passed and when TJX is entitled to payment, and the customer has obtained the ability to direct the use of and obtain substantially all of the remaining benefits from the goods. Shipping and handling activities related to online sales occur after the customer obtains control of the goods. TJX’s policy is to treat shipping costs as part of its fulfillment center costs within operating expenditures. As a result, shipping fee revenues received are recognized when control of the goods transfer to the customer and are recorded as net sales. Shipping and handling costs incurred by TJX are included in cost of sales, including buying and occupancy costs. TJX disaggregates revenue by segment, see Note G—Segment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Deferred Gift Card Revenue</w:t>
      </w:r>
    </w:p>
    <w:p>
      <w:pPr>
        <w:spacing w:after="0" w:line="13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Proceeds from the sale of gift cards as well as the value of store cards issued to customers as a result of a return or exchange are deferred until the customers use the cards to acquire merchandise, as TJX does not fulfill its performance obligation until the gift card has been redeemed. While gift cards have an indefinite life, substantially all are redeemed in the first year of issuance.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deferred gift card revenue activity:</w:t>
            </w:r>
          </w:p>
        </w:tc>
        <w:tc>
          <w:tcPr>
            <w:tcW w:w="2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3"/>
        </w:trPr>
        <w:tc>
          <w:tcPr>
            <w:tcW w:w="6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7"/>
                <w:szCs w:val="17"/>
                <w:color w:val="auto"/>
              </w:rPr>
            </w:pPr>
          </w:p>
        </w:tc>
        <w:tc>
          <w:tcPr>
            <w:tcW w:w="124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deferred revenue</w:t>
            </w:r>
          </w:p>
        </w:tc>
        <w:tc>
          <w:tcPr>
            <w:tcW w:w="20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bl>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TJX also recognized approximately $2 billion in gift card revenue in fiscal 2024. Gift cards are combined in one homogeneous pool and are not separately identifiable. As such, the revenue recognized consists of gift cards that were part of the deferred revenue balance at the beginning of the period as well as gift cards that were issued during the period. Based on historical experience, the Company estimates the amount of gift cards and store cards that will not be redeemed (referred to as breakage) and, to the extent allowed by local law, these amounts are amortized into income over the estimated redemption period. Revenue recognized from breakage was $51 million in fiscal 2026, $38 million in fiscal 2025 and $36 million in fiscal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Return Reserve</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products are generally sold with a right of return and the Company may provide other credits or incentives, which are accounted for as variable consideration when estimating the amount of revenue to recognize. The Company has elected to apply the portfolio practical expedient. The Company estimates the variable consideration using the expected value method when calculating the returns reserve because the difference in applying it to the individual contract would not differ materially. Returns are estimated based on historical experience and are required to be established and presented at the gross sales value with an asset established for the estimated value of the merchandise returned separately from the refund liability. Liabilities for return allowances are included in “Accrued expenses and other current liabilities” and the estimated value of the merchandise to be returned is included in “Prepaid expenses and other current assets” on the Company’s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Income Classifications</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sales, including buying and occupancy costs, includes the cost of merchandise sold including foreign currency gains and losses on merchandise purchases denominated in other currencies; gains and losses on inventory and fuel-related derivative contracts; asset retirement obligation costs; divisional occupancy costs (including real estate taxes, utility and maintenance costs and fixed asset depreciation); the costs of operating distribution centers; payroll, benefits and travel costs directly associated with buying inventory; and systems costs related to the buying and tracking of inventory.</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store payroll, benefits and supplies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TJX generally considers highly liquid investments with a maturity of 90 days or less at the date of purchase to be cash equivalents. If applicable, investments with maturities greater than 90 days but less than one year at the date of purchase are included in short-term investments. These investments are classified as trading securities and are stated at fair value. Investments are classified as either short-term or long-term based on their original maturities. TJX’s investments are primarily institutional money market funds, bank investment products with major banks (such as time deposits), and high-grade commercial paper.</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January 31, 2026, TJX’s cash and cash equivalents held outside the U.S. were $2 billion, of which $1.5 billion was held in countries where we have indefinitely reinvested the undistributed earnings.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auto"/>
        </w:rPr>
        <w:t>Merchandise Inventories</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market. TJX uses the retail method for valuing inventories at all of its businesses, except TK Maxx in Australia which is immaterial to TJX’s total inventory. The businesses that utilize the retail method have some inventory that is initially valued at cost before the retail method is applied as that inventory has not been fully processed for sale (i.e. inventory in transit and unprocessed inventory in the Company’s distribution centers). Under the retail method, TJX utilizes a permanent markdown strategy and lowers the cost value of the inventory that is subject to markdown at the time the retail prices are lowered in the stores. TJX records inventory at the time title transfers, which is typically at the time when inventory is shipped. As a result, Merchandise inventories on TJX’s Consolidated Balance Sheets include in-transit inventory of $1.8 billion at January 31, 2026 and $1.6 billion at February 1, 2025. Comparable amounts were reflected in Accounts payable at those dates.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and Equity</w:t>
      </w:r>
    </w:p>
    <w:p>
      <w:pPr>
        <w:spacing w:after="0" w:line="1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Equity transactions consist primarily of the repurchase by TJX of its common stock under its stock repurchase programs and the recognition of compensation expense and issuance of common stock under TJX’s Stock Incentive Plan. Under TJX’s stock repurchase programs, the Company repurchases its common stock on the open market. The par value of the shares repurchased is charged to Common stock with the excess of the purchase price over par first charged against any available Additional paid-in capital (“APIC”) and the balance charged to Retained earnings. Due to the volume of share repurchases under previous programs, TJX has historically had no remaining balance in APIC. All shares repurchased have been retired.</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Inflation Reduction Act of 2022 (“IRA”) introduced a 1% excise tax after December 31, 2022 on the fair market value of certain stock that is repurchased during the taxable year. The taxable amount is reduced by the fair market value of certain issuances of stock throughout the year. Any excise tax incurred on repurchases is recognized as part of the cost of the repurchase.</w:t>
      </w:r>
    </w:p>
    <w:p>
      <w:pPr>
        <w:spacing w:after="0" w:line="68"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Shares issued under TJX’s Stock Incentive Plan are issued from authorized but unissued shares, and proceeds received are recorded by increasing common stock for the par value of the shares with the excess over par added to APIC. A deferred tax asset is recorded upon expensing of stock compensation in the financial statements. This deferred tax asset is recognized upon the exercise of the related stock grants. Any excess tax benefits or deficiencies are included in the provision for income taxes. The par value of performance share units and restricted stock units is added to common stock when shares are delivered following performance measurement date or service period to the extent vesting requirements have been achieved. The fair value of stock awards and units are added to APIC as the awards are amortized into earnings over the related requisite service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3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TJX accounts for share-based compensation by estimating the fair value of each award on the date of grant. TJX uses the Black-Scholes option pricing model for options awarded and the market price on the grant date for stock awards. Compensation expense is recognized over the requisite service period for each award with forfeitures recognized as they occur. Performance-based awards are evaluated quarterly for probability of vesting and performance achievement levels. See Note H—Stock Incentive Plan for a detailed discussion of share-based compensation.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net</w:t>
      </w:r>
    </w:p>
    <w:p>
      <w:pPr>
        <w:spacing w:after="0" w:line="1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TJX’s interest (income) expense, net is presented net of capitalized interest and interest income. The following is a summary of interest (income) expense, net: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color w:val="auto"/>
                <w:w w:val="98"/>
              </w:rPr>
              <w:t>February 1,</w:t>
            </w:r>
          </w:p>
        </w:tc>
        <w:tc>
          <w:tcPr>
            <w:tcW w:w="200" w:type="dxa"/>
            <w:vAlign w:val="bottom"/>
          </w:tcPr>
          <w:p>
            <w:pPr>
              <w:spacing w:after="0"/>
              <w:rPr>
                <w:sz w:val="15"/>
                <w:szCs w:val="15"/>
                <w:color w:val="auto"/>
              </w:rPr>
            </w:pPr>
          </w:p>
        </w:tc>
        <w:tc>
          <w:tcPr>
            <w:tcW w:w="124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rPr>
              <w:t>February 3,</w:t>
            </w:r>
          </w:p>
        </w:tc>
      </w:tr>
      <w:tr>
        <w:trPr>
          <w:trHeight w:val="238"/>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6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 capitalizes interest during the active construction period of major capital projects and adds the interest to the related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financial reporting purposes, TJX provides for depreciation and amortization of property using the straight-line method over the estimated useful lives of the assets. Buildings are depreciated over 33 years. Leasehold costs and improvements are generally amortized over their useful life or the committed lease term (typically 10 years to 15 years), whichever is shorter. Furniture, fixtures and equipment are depreciated over 3 to 10 years. Depreciation and amortization expense for property was $1.2 billion in fiscal 2026, $1.1 billion in fiscal 2025, and $958 million in fiscal 2024. TJX had no property held under finance leases during fiscal 2026, fiscal 2025 or fiscal 2024. Maintenance and repairs are charged to expense as incurred. Significant costs incurred for internally developed software are capitalized and amortized, generally over 5 years. Upon retirement or sale, the cost of disposed assets and the related accumulated depreciation are eliminated, and any gain or loss is included in income. Pre-opening costs, including rent, are expensed as incurred.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Accounting</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leases are included in “Operating lease right of use assets,” “Current portion of operating lease liabilities,” and “Long-term operating lease liabilities” on the Company’s Consolidated Balance Sheets. Right of use (“ROU”) assets represent TJX’s right to use an underlying asset for the lease term and lease liabilities represent TJX’s obligation to make lease payments arising from the lease. At the inception of the arrangement, the Company determines if an arrangement is a lease based on assessment of the terms and conditions of the contract. Operating lease ROU assets and lease liabilities are recognized at possession date based on the present value of lease payments over the lease term. The majority of the Company’s leases are retail store locations, and the possession date is typically 30 to 60 days prior to the opening of the store and generally occurs before the commencement of the lease term, as specified in the lease. TJX’s lessors do not provide an implicit rate, nor is one readily available, therefore the Company uses its incremental borrowing rate based on the information available at possession date in determining the present value of future lease payments. The incremental borrowing rate is calculated based on the US Consumer Discretionary yield curve and adjusted for collateralization and foreign currency impact for TJX International and Canada leases. The operating lease ROU assets also include any acquisition costs offset by lease incentives. The Company’s lease terms include options to extend the lease, which will be included in the operating lease ROU asset and lease liabilities when it is reasonably certain the Company will exercise that option. Lease expense for lease payments is recognized on a straight-line basis over the lease term within “Cost of sales, including buying and occupancy costs”. See Note L—Leases for a detailed discussion of lease accounting.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Tradenames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includes the excess of the purchase price paid over the carrying value of the minority interest acquired in fiscal 1990 in TJX’s former 83%-owned subsidiary and represents goodwill associated with the TJ Maxx chain, which is included in the Marmaxx segment. The Company’s goodwill also includes the excess of cost over the estimated fair market value of the net assets acquired by TJX in the purchase of Winners in fiscal 1991, included in TJX Canada, as well as the purchase of Trade Secret in fiscal 2016, which was re-branded under the TK Maxx name during fiscal 2018 and is included in TJX International.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roll forward of goodwill by segment:</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Marmaxx</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TJX International</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goodwill</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5"/>
              </w:rPr>
              <w:t>(0)</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goodwill</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considered to have an indefinite life and accordingly is not amortized.</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Tradenames, which are included in other assets, are the value assigned to the name “Marshalls,” acquired by TJX in fiscal 1996 as part of the acquisition of the Marshalls chain, the value assigned to the name “Sierra Trading Post,” acquired by TJX in fiscal 2013 and the value assigned to the name “Trade Secret,” acquired by TJX in fiscal 2016. The tradenames were valued utilizing the relief from royalty method, which calculates the discounted present value of assumed after-tax royalty payments. The Marshalls tradename is considered to have an indefinite life and accordingly is not amortized.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roll forward of tradenames: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Fiscal Year Ended</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860" w:type="dxa"/>
            <w:vAlign w:val="bottom"/>
            <w:tcBorders>
              <w:right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8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Sierra Trading Post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Marshalls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TJX occasionally acquires or licenses other trademarks to be used in connection with private label merchandise. Such trademarks are included in other assets and are amortized to cost of sales, including buying and occupancy costs, over their useful life, generally from 7 to 10 years.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Goodwill, tradenames and trademarks, and the related accumulated amortization or impairment if any, are included in the respective segment to which they relate.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 Goodwill and Tradenames</w:t>
      </w:r>
    </w:p>
    <w:p>
      <w:pPr>
        <w:spacing w:after="0" w:line="11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TJX evaluates long-lived assets, including tradenames that are amortized and operating lease right of use assets, for impairment whenever events or changes in circumstances indicate that their carrying amounts may not be recoverable. This evaluation is performed at the lowest level of identifiable cash flows which are largely independent of other groups of assets, generally at the individual store level for fixed assets and operating lease right of use assets, and at the reporting unit for tradenames that are amortized. If indicators of impairment are identified, an undiscounted cash flow analysis is performed to determine if the carrying value of the asset or asset group is recoverable. If the sum of undiscounted cash flows are less than the carrying value then an impairment charge will be recorded to the extent the fair value of an asset or asset group is less than the carrying value of that asset or asset group. This resulted in immaterial impairment charges on operating lease ROU assets and store fixed assets in fiscal 2026, fiscal 2025 and fiscal 2024. There were no impairments related to tradenames in fiscal 2026, fiscal 2025 or fiscal 2024.</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and indefinite life tradenames are tested for impairment whenever events or changes in circumstances indicate that an impairment may have occurred and at least annually as of the end of the fiscal year. Goodwill is tested for impairment by using a quantitative assessment by comparing the carrying value of the related reporting unit to its fair value. An impairment exists when this analysis, using typical valuation models such as the discounted cash flow method, shows that the fair value of the reporting unit is less than the carrying value of the reporting unit. The Company may assess qualitative factors to determine if it is more likely than not that the fair value of a reporting unit is less than its carrying value, including goodwill. The assessment of qualitative factors is optional and at the Company’s discretion. Indefinite life tradenames are tested for impairment by comparing their carrying value to their fair value, which is determined by calculating the discounted present value of assumed after-tax royalty payments. In fiscal 2026, fiscal 2025 and fiscal 2024, the Company bypassed the qualitative assessment and performed the quantitative impairment test. There were no impairments related to the Company’s goodwill or indefinite life tradenames in fiscal 2026, fiscal 2025 or fiscal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1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TJX expenses advertising costs as incurred. Advertising expense was $680 million for fiscal 2026, $617 million for fiscal 2025 and $573 million for fiscal 2024.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1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TJX’s foreign assets and liabilities are translated into U.S. dollars at fiscal year-end exchange rates with resulting translation gains and losses included in shareholders’ equity as a component of Accumulated other comprehensive (loss) income. Activity of the foreign operations that affect the Consolidated Statements of Income and Cash Flows is translated at average exchange rates prevailing during the fiscal year.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TJX records a reserve for loss contingencies when it is both probable that a loss will be incurred and the amount of the loss is reasonably estimable. TJX evaluates pending litigation and other contingencies at least quarterly and adjusts the reserve for such contingencies for changes in probable and reasonably estimable losses. TJX includes an estimate for related legal costs at the time such costs are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Multibrand Outlet Stores</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2025, the Company completed an investment for a 49% ownership stake in Multibrand Outlet Stores S.A.P de C.V. (“MOS”), through a joint venture with Grupo Axo, S.A.P.I de C.V. (“AXO”). MOS is Axo’s off-price, physical store business in Mexico and includes a total of over 200 stores for its Promoda, Reduced, and Urban Store banners. TJX has the option to increase its ownership interest in the joint venture over the long term. TJX completed this investment for $193 million, inclusive of acquisition costs, during the third quarter of fiscal 2025.</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fiscal year ended January 31, 2026, the carrying value of the Company’s equity investment in MOS was $218 million, which exceed its share of MOS’ net assets by approximately $181 million. For the fiscal year ended February 1, 2025, the carrying value of the Company’s equity investment in MOS was $168 million, which exceed its share of MOS’ net assets by approximately $133 million. The difference primarily consists of goodwill and tradenames. Tradenames are definite-lived intangible assets and are amortized straight-line over their useful lives of 10 years. The carrying value of this equity investment is adjusted for the Company’s share of MOS’s results, tradename amortization, cumulative translation adjustments and additional capital contributions. The cumulative translation adjustment is recorded in the Consolidated Balance Sheets as a component of Accumulated other comprehensive (loss)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Brands for Less</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2025, the Company completed an investment for a 35% ownership stake in privately held Brands for Less (“BFL”), representing a non-controlling, minority position. BFL currently operates over 100 stores, primarily in the UAE and Saudi Arabia, as well as an e-commerce business, and is the region’s only major off-price branded apparel, toys and home fashions retailer. TJX completed this investment for $358 million, inclusive of acquisition costs, during the fourth quarter of fiscal 2025.</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fiscal year ended January 31, 2026, the carrying value of the Company’s equity investment in BFL was $348 million, which exceed its share of BFL net assets by approximately $301 million. For the fiscal year ended February 1, 2025, the carrying value of the Company’s equity investment in BFL was $336 million, which exceed its share of BFL net assets by approximately $292 million. The difference primarily consists of goodwill and a tradename. The tradename is a definite-lived intangible asset and will be amortized straight-line over the useful life of 15 years. The carrying value of this equity investment is adjusted for the Company’s share of BFL’s results and tradename amortization.</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Both investments are accounted for under the equity method of accounting and are recorded in Other assets on the Consolidated Balance Sheets. TJX reports the results of its share of the investments in MOS and BFL on a one-quarter lag, as their results are not expected to be available in time to be recorded in the concurrent period. Earnings from the investments in MOS and BFL are recorded in Selling, general &amp; administrative expenses on the Consolidated Statements of Income. The earnings from these investments did not have a material impact on the Company’s results for the fiscal year ended January 31, 2026.</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Additionally, both equity investments are evaluated for indicators of impairment on a periodic basis or whenever events or circumstances indicate the carrying amount may be other-than-temporarily impaired. If the Company concludes that there is an other-than-temporary impairment of these equity investments, it will adjust the carrying amount of the investments to the current fair value. As of the end of fiscal 2026, the Company determined that no impairments of its equity method investments existed.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 Settlement Related to Credit Card Interchange Fees</w:t>
      </w:r>
    </w:p>
    <w:p>
      <w:pPr>
        <w:spacing w:after="0" w:line="11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2026, the Company entered into a settlement agreement to resolve litigation related to credit card interchange fees in which the Company was a plaintiff. The settlement resulted in a non-recurring gain of $419 million, net of legal expenses, which was recognized within SG&amp;A expenses.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w:t>
      </w:r>
    </w:p>
    <w:p>
      <w:pPr>
        <w:spacing w:after="0" w:line="13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issued a decision invalidating tariffs imposed under the International Emergency Economic Powers Act (“IEEPA”). This ruling may allow for the recovery of IEEPA tariff amounts previously paid. The ruling leaves uncertainties regarding the timing and administration of any potential IEEPA tariff refunds by the U.S. government, and may be subject to further legal and regulatory developments. The Company is currently evaluating the impact of this ruling on its business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Future Adoption of New Accounting Standards</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or other standard setting bodies issue new accounting pronouncements. Updates to the FASB Accounting Standards Codification are communicated through issuance of an Accounting Standards Update (“ASU”). Unless otherwise discussed, the Company has reviewed the new guidance and has determined that it will either not apply to TJX or is not expected to be material to its Consolidated Financial Statements upon adoption, and, therefore, the guidance is not disclosed.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Income Statement Expenses</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new guidance to enhance the disclosure of expenses by requiring further disaggregation of relevant expenses in a separate note to the financial statements. This standard is effective for fiscal years beginning after December 15, 2026, and for interim periods within fiscal years beginning after December 15, 2027, with early adoption permitted. The Company is currently evaluating the impact of this adoption on its consolidated financial statement disclosures and plans to adopt this standard for the fiscal 2028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Accounting for Internal-Use Software</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new guidance to modernize the accounting for internal-use software costs by increasing the operability of the recognition guidance considering different methods of software development. This standard is effective for fiscal years beginning after December 15, 2027, and for interim periods within those fiscal years, with early adoption permitted. The Company is currently evaluating the impact of the adoption on its consolidated financial statement disclosures and plans to adopt this standard for annual reporting as well as interim period reporting beginning in fiscal year 2029.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 Rule Changes</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2024, the SEC adopted new rules phasing in for fiscal years beginning on or after January 1, 2025 that will require registrants to provide certain climate-related information in their registration statements and annual reports. In April 2024, the SEC determined to voluntarily stay the final rules pending certain legal challenges. In March 2025, the SEC withdrew its defense of the rules in the pending litigation and, in July 2025, filed a status report requesting that the U.S. Court of Appeals for the Eighth Circuit (the "Eighth Circuit") proceed with the case and issue an opinion on the challenges to the rules. In September 2025, the Eighth Circuit denied the SEC's request to proceed with the case and issued an order staying the litigation until the SEC either renews its defense of the rules or revised the rules via notice-and-comment rulemaking. The Company is continuing to monitor the status.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Income Tax Disclosures</w:t>
      </w:r>
    </w:p>
    <w:p>
      <w:pPr>
        <w:spacing w:after="0" w:line="13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guidance related to improvements to income tax disclosures. The new standard updates the income tax disclosure related to the rate reconciliation and requires disclosure of income taxes paid by jurisdiction. The standard also provides for further disclosure comparability. The standard is effective for fiscal years beginning after December 15, 2024, with early adoption permitted. The Company adopted this standard as of January 31, 2026, on a prospective basis. Refer to Note K—Income Taxes for the impact upon adoption of the new required disclosures.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color w:val="auto"/>
        </w:rPr>
        <w:t>Note B. Property at Cost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property at cost: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5"/>
                <w:szCs w:val="15"/>
                <w:color w:val="auto"/>
              </w:rPr>
            </w:pPr>
          </w:p>
        </w:tc>
        <w:tc>
          <w:tcPr>
            <w:tcW w:w="122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5"/>
                <w:szCs w:val="15"/>
                <w:color w:val="auto"/>
              </w:rPr>
            </w:pPr>
          </w:p>
        </w:tc>
        <w:tc>
          <w:tcPr>
            <w:tcW w:w="124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February 3,</w:t>
            </w:r>
          </w:p>
        </w:tc>
      </w:tr>
      <w:tr>
        <w:trPr>
          <w:trHeight w:val="238"/>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costs and improvements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2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at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23"/>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property at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8,220</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information related to carrying values of TJX’s long-lived tangible assets by geographic location: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C. Accumulated Other Comprehensive (Loss) Income</w:t>
      </w:r>
    </w:p>
    <w:p>
      <w:pPr>
        <w:spacing w:after="0" w:line="111"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Amounts included in Accumulated other comprehensive (loss) income are recorded net of taxes. The following table details the changes in Accumulated other comprehensive (loss) income for fiscal 2026, fiscal 2025 and fiscal 2024:</w:t>
      </w:r>
    </w:p>
    <w:tbl>
      <w:tblPr>
        <w:tblLayout w:type="fixed"/>
        <w:tblInd w:w="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540"/>
              <w:spacing w:after="0" w:line="182"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5"/>
                <w:szCs w:val="15"/>
                <w:color w:val="auto"/>
              </w:rPr>
            </w:pPr>
          </w:p>
        </w:tc>
        <w:tc>
          <w:tcPr>
            <w:tcW w:w="1780" w:type="dxa"/>
            <w:vAlign w:val="bottom"/>
            <w:gridSpan w:val="2"/>
          </w:tcPr>
          <w:p>
            <w:pPr>
              <w:jc w:val="center"/>
              <w:ind w:right="56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56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taxes</w:t>
            </w:r>
          </w:p>
        </w:tc>
        <w:tc>
          <w:tcPr>
            <w:tcW w:w="178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Translation</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Benefit Costs</w:t>
            </w:r>
          </w:p>
        </w:tc>
        <w:tc>
          <w:tcPr>
            <w:tcW w:w="140" w:type="dxa"/>
            <w:vAlign w:val="bottom"/>
          </w:tcPr>
          <w:p>
            <w:pPr>
              <w:spacing w:after="0"/>
              <w:rPr>
                <w:sz w:val="21"/>
                <w:szCs w:val="21"/>
                <w:color w:val="auto"/>
              </w:rPr>
            </w:pP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(Loss) Income</w:t>
            </w: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1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1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1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1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1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(losses), net of taxes</w:t>
            </w:r>
          </w:p>
        </w:tc>
        <w:tc>
          <w:tcPr>
            <w:tcW w:w="1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17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F-16</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b w:val="1"/>
          <w:bCs w:val="1"/>
          <w:color w:val="auto"/>
        </w:rPr>
        <w:t>Note D. Capital Stock and Earnings Per Share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13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February 2026, the Company announced that its Board of Directors had approved a new stock repurchase program that authorizes the repurchase of up to an additional $3 billion of TJX common stock from time to time. Under this program and previously announced programs, TJX had approximately $4.1 billion available for repurchase as of January 31, 2026.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share repurchases, excluding applicable excise tax:</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 and retired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repurchased under the stock repurchase programs have been retired. These expenditures were funded by cash generated from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 has 5 million shares of authorized but unissued preferred stock, $1 par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23"/>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23"/>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Assumed exercise/vesting of stock options and awards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earnings per share calculation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Cash dividends declared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3 million, 4 million, and 5 million such options excluded at the end of fiscal 2026, fiscal 2025 and fiscal 2024,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Note E. Financial Instruments</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Consolidated Balance Sheet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Accumulated other comprehensive (loss) income or are recognized currently in earnings, along with an offsetting adjustment against the basis of the item being hedged. Gains and losses on derivative instruments are reported in the Consolidated Statements of Cash Flows in operating activities, under Other,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Diesel Fuel Contracts</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TJX hedges portions of its estimated notional diesel fuel requirements based on the diesel fuel expected to be consumed 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2026, TJX entered into agreements to hedge a portion of its estimated notional diesel fuel requirements for fiscal 2027. The hedge agreements outstanding at January 31, 2026 relate to approximately 50% of TJX’s estimated notional diesel fuel requirements for fiscal 2027. These diesel fuel hedge agreements will settle throughout fiscal 2027 and the first month of fiscal 2028. Upon settlement, the realized gains and losses on these contracts are offset by the realized gains and losses of the underlying item in Cost of sales, including buying and occupancy costs. TJX elected not to apply hedge accounting to these contracts.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Contracts</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January 31, 2026 cover merchandise purchases the Company is committed to over the next several months in fiscal 2027. Additionally, TJX’s operations in Europe are subject to foreign currency exposure as a result of their buying function being centralized in the U.K. Merchandise is purchased centrally in the U.K.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excess exposure. Upon settlement, the realized gains and losses on these contracts are offset by the realized gains and losses of the underlying item in Cost of sales, including buying and occupancy costs.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January 31,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Blended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7"/>
                <w:szCs w:val="17"/>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7"/>
                <w:szCs w:val="17"/>
                <w:color w:val="auto"/>
              </w:rPr>
            </w:pPr>
          </w:p>
        </w:tc>
        <w:tc>
          <w:tcPr>
            <w:tcW w:w="12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Net Fair Value</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20" w:type="dxa"/>
            <w:vAlign w:val="bottom"/>
          </w:tcPr>
          <w:p>
            <w:pPr>
              <w:spacing w:after="0"/>
              <w:rPr>
                <w:sz w:val="15"/>
                <w:szCs w:val="15"/>
                <w:color w:val="auto"/>
              </w:rPr>
            </w:pPr>
          </w:p>
        </w:tc>
        <w:tc>
          <w:tcPr>
            <w:tcW w:w="126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4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in U.S.$ at</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Receive</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Rate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7"/>
              </w:rPr>
              <w:t>U.S.$</w:t>
            </w: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January 31, 2026</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0.8759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0" w:type="dxa"/>
            <w:vAlign w:val="bottom"/>
          </w:tcPr>
          <w:p>
            <w:pPr>
              <w:spacing w:after="0"/>
              <w:rPr>
                <w:sz w:val="1"/>
                <w:szCs w:val="1"/>
                <w:color w:val="auto"/>
              </w:rPr>
            </w:pPr>
          </w:p>
        </w:tc>
      </w:tr>
      <w:tr>
        <w:trPr>
          <w:trHeight w:val="229"/>
        </w:trPr>
        <w:tc>
          <w:tcPr>
            <w:tcW w:w="14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0.6648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w:t>
            </w:r>
          </w:p>
        </w:tc>
        <w:tc>
          <w:tcPr>
            <w:tcW w:w="1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1.1718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w:t>
            </w:r>
          </w:p>
        </w:tc>
        <w:tc>
          <w:tcPr>
            <w:tcW w:w="140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Fixed on</w:t>
            </w:r>
          </w:p>
        </w:tc>
        <w:tc>
          <w:tcPr>
            <w:tcW w:w="6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rPr>
              <w:t>Float on</w:t>
            </w:r>
          </w:p>
        </w:tc>
        <w:tc>
          <w:tcPr>
            <w:tcW w:w="8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3.2M - 3.9M</w:t>
            </w:r>
          </w:p>
        </w:tc>
        <w:tc>
          <w:tcPr>
            <w:tcW w:w="6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3.2M - 3.9M</w:t>
            </w: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5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6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gal per month</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Prepaid Exp</w:t>
            </w:r>
          </w:p>
        </w:tc>
        <w:tc>
          <w:tcPr>
            <w:tcW w:w="74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2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0.8680</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Prepaid Exp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29"/>
        </w:trPr>
        <w:tc>
          <w:tcPr>
            <w:tcW w:w="4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Intercompany balances in TJX International:</w:t>
            </w:r>
          </w:p>
        </w:tc>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30"/>
        </w:trPr>
        <w:tc>
          <w:tcPr>
            <w:tcW w:w="3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5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856</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0.7241</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5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43"/>
        </w:trPr>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0.6176</w:t>
            </w:r>
          </w:p>
        </w:tc>
        <w:tc>
          <w:tcPr>
            <w:tcW w:w="21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5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43"/>
        </w:trPr>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0.2062</w:t>
            </w:r>
          </w:p>
        </w:tc>
        <w:tc>
          <w:tcPr>
            <w:tcW w:w="21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0.6621</w:t>
            </w:r>
          </w:p>
        </w:tc>
        <w:tc>
          <w:tcPr>
            <w:tcW w:w="21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5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0.8495</w:t>
            </w:r>
          </w:p>
        </w:tc>
        <w:tc>
          <w:tcPr>
            <w:tcW w:w="21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(Accrued Exp)</w:t>
            </w:r>
          </w:p>
        </w:tc>
        <w:tc>
          <w:tcPr>
            <w:tcW w:w="7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gridSpan w:val="4"/>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Total fair value of derivative financial instruments</w:t>
            </w:r>
          </w:p>
        </w:tc>
        <w:tc>
          <w:tcPr>
            <w:tcW w:w="8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r>
        <w:trPr>
          <w:trHeight w:val="858"/>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99"/>
              </w:rPr>
              <w:t>F-19</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February 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Blended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7"/>
                <w:szCs w:val="17"/>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7"/>
                <w:szCs w:val="17"/>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Current</w:t>
            </w:r>
          </w:p>
        </w:tc>
        <w:tc>
          <w:tcPr>
            <w:tcW w:w="160" w:type="dxa"/>
            <w:vAlign w:val="bottom"/>
          </w:tcPr>
          <w:p>
            <w:pPr>
              <w:spacing w:after="0"/>
              <w:rPr>
                <w:sz w:val="17"/>
                <w:szCs w:val="17"/>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Net Fair Value</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2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6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in U.S.$ at</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w:t>
            </w:r>
          </w:p>
        </w:tc>
        <w:tc>
          <w:tcPr>
            <w:tcW w:w="6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Receive</w:t>
            </w: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6"/>
              </w:rPr>
              <w:t>Rate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February 1, 2025</w:t>
            </w:r>
          </w:p>
        </w:tc>
        <w:tc>
          <w:tcPr>
            <w:tcW w:w="0" w:type="dxa"/>
            <w:vAlign w:val="bottom"/>
          </w:tcPr>
          <w:p>
            <w:pPr>
              <w:spacing w:after="0"/>
              <w:rPr>
                <w:sz w:val="1"/>
                <w:szCs w:val="1"/>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0.8523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0.6420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0.8177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1.0852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Fixed on</w:t>
            </w: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7"/>
              </w:rPr>
              <w:t>Float on</w:t>
            </w: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3.1M - 3.9M</w:t>
            </w: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3.1M - 3.9M</w:t>
            </w: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6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gal per month</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6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0.8442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0.7159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0.6673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1.2742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0.1933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0.6448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0.9317</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financial instruments</w:t>
            </w:r>
          </w:p>
        </w:tc>
        <w:tc>
          <w:tcPr>
            <w:tcW w:w="10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derivative financial instruments on the Consolidated Statements of Income is presented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Gain (Loss) Recognized in</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Location of Gain (Loss)</w:t>
            </w: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Income by Derivative</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3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February 1,</w:t>
            </w: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February 3,</w:t>
            </w:r>
          </w:p>
        </w:tc>
        <w:tc>
          <w:tcPr>
            <w:tcW w:w="0" w:type="dxa"/>
            <w:vAlign w:val="bottom"/>
          </w:tcPr>
          <w:p>
            <w:pPr>
              <w:spacing w:after="0" w:line="20" w:lineRule="exact"/>
              <w:rPr>
                <w:sz w:val="1"/>
                <w:szCs w:val="1"/>
                <w:color w:val="auto"/>
              </w:rPr>
            </w:pPr>
          </w:p>
        </w:tc>
      </w:tr>
      <w:tr>
        <w:trPr>
          <w:trHeight w:val="176"/>
        </w:trPr>
        <w:tc>
          <w:tcPr>
            <w:tcW w:w="3760" w:type="dxa"/>
            <w:vAlign w:val="bottom"/>
          </w:tcPr>
          <w:p>
            <w:pPr>
              <w:spacing w:after="0"/>
              <w:rPr>
                <w:sz w:val="15"/>
                <w:szCs w:val="15"/>
                <w:color w:val="auto"/>
              </w:rPr>
            </w:pPr>
          </w:p>
        </w:tc>
        <w:tc>
          <w:tcPr>
            <w:tcW w:w="330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Recognized in Income by</w:t>
            </w: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30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Derivative</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5"/>
        </w:trPr>
        <w:tc>
          <w:tcPr>
            <w:tcW w:w="37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3300" w:type="dxa"/>
            <w:vAlign w:val="bottom"/>
          </w:tcPr>
          <w:p>
            <w:pPr>
              <w:jc w:val="center"/>
              <w:ind w:left="590"/>
              <w:spacing w:after="0" w:line="176" w:lineRule="exact"/>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94"/>
        </w:trPr>
        <w:tc>
          <w:tcPr>
            <w:tcW w:w="376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4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Intercompany balances in TJX International</w:t>
            </w:r>
          </w:p>
        </w:tc>
        <w:tc>
          <w:tcPr>
            <w:tcW w:w="27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2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expenses</w:t>
            </w:r>
          </w:p>
        </w:tc>
        <w:tc>
          <w:tcPr>
            <w:tcW w:w="5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Diesel fuel contracts</w:t>
            </w:r>
          </w:p>
        </w:tc>
        <w:tc>
          <w:tcPr>
            <w:tcW w:w="278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shd w:val="clear" w:color="auto" w:fill="CCEEFF"/>
          </w:tcPr>
          <w:p>
            <w:pPr>
              <w:spacing w:after="0"/>
              <w:rPr>
                <w:sz w:val="12"/>
                <w:szCs w:val="12"/>
                <w:color w:val="auto"/>
              </w:rPr>
            </w:pPr>
          </w:p>
        </w:tc>
        <w:tc>
          <w:tcPr>
            <w:tcW w:w="278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5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5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94"/>
        </w:trPr>
        <w:tc>
          <w:tcPr>
            <w:tcW w:w="4280" w:type="dxa"/>
            <w:vAlign w:val="bottom"/>
            <w:shd w:val="clear" w:color="auto" w:fill="CCEEFF"/>
          </w:tcPr>
          <w:p>
            <w:pPr>
              <w:spacing w:after="0"/>
              <w:rPr>
                <w:sz w:val="8"/>
                <w:szCs w:val="8"/>
                <w:color w:val="auto"/>
              </w:rPr>
            </w:pPr>
          </w:p>
        </w:tc>
        <w:tc>
          <w:tcPr>
            <w:tcW w:w="278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Intercompany billings in TJX International, primarily</w:t>
            </w:r>
          </w:p>
        </w:tc>
        <w:tc>
          <w:tcPr>
            <w:tcW w:w="278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merchandise</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5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278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80" w:type="dxa"/>
            <w:vAlign w:val="bottom"/>
            <w:vMerge w:val="continue"/>
            <w:shd w:val="clear" w:color="auto" w:fill="CCEEFF"/>
          </w:tcPr>
          <w:p>
            <w:pPr>
              <w:spacing w:after="0"/>
              <w:rPr>
                <w:sz w:val="12"/>
                <w:szCs w:val="12"/>
                <w:color w:val="auto"/>
              </w:rPr>
            </w:pPr>
          </w:p>
        </w:tc>
        <w:tc>
          <w:tcPr>
            <w:tcW w:w="278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5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5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95"/>
        </w:trPr>
        <w:tc>
          <w:tcPr>
            <w:tcW w:w="4280" w:type="dxa"/>
            <w:vAlign w:val="bottom"/>
            <w:tcBorders>
              <w:bottom w:val="single" w:sz="8" w:color="auto"/>
            </w:tcBorders>
            <w:shd w:val="clear" w:color="auto" w:fill="CCEEFF"/>
          </w:tcPr>
          <w:p>
            <w:pPr>
              <w:spacing w:after="0"/>
              <w:rPr>
                <w:sz w:val="8"/>
                <w:szCs w:val="8"/>
                <w:color w:val="auto"/>
              </w:rPr>
            </w:pPr>
          </w:p>
        </w:tc>
        <w:tc>
          <w:tcPr>
            <w:tcW w:w="2780" w:type="dxa"/>
            <w:vAlign w:val="bottom"/>
            <w:tcBorders>
              <w:bottom w:val="single" w:sz="8" w:color="auto"/>
            </w:tcBorders>
            <w:vMerge w:val="continue"/>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vMerge w:val="continue"/>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vMerge w:val="continue"/>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(loss) recognized in income</w:t>
            </w:r>
          </w:p>
        </w:tc>
        <w:tc>
          <w:tcPr>
            <w:tcW w:w="2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Included in the table above are realized losses of $58 million in fiscal 2026, realized gains of $14 million in fiscal 2025 and realized losses of $23 million in fiscal 2024, all of which were largely offset by gains and losses on the underlying hedged item.</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2"/>
          <w:szCs w:val="22"/>
          <w:b w:val="1"/>
          <w:bCs w:val="1"/>
          <w:color w:val="auto"/>
        </w:rPr>
        <w:t>Note F. Fair Value Measurements</w:t>
      </w:r>
    </w:p>
    <w:p>
      <w:pPr>
        <w:spacing w:after="0" w:line="11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(also referred to as exit price). The inputs used to measure fair value are generally classified into the following hierarchy:</w:t>
      </w:r>
    </w:p>
    <w:p>
      <w:pPr>
        <w:spacing w:after="0" w:line="2"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w:t>
      </w:r>
    </w:p>
    <w:p>
      <w:pPr>
        <w:spacing w:after="0" w:line="2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Unadjusted quoted prices in active markets for similar assets or liabilities, or unadjusted quoted prices for identical or similar assets or</w:t>
      </w:r>
    </w:p>
    <w:p>
      <w:pPr>
        <w:ind w:left="1280"/>
        <w:spacing w:after="0"/>
        <w:rPr>
          <w:sz w:val="20"/>
          <w:szCs w:val="20"/>
          <w:color w:val="auto"/>
        </w:rPr>
      </w:pPr>
      <w:r>
        <w:rPr>
          <w:rFonts w:ascii="Times New Roman" w:cs="Times New Roman" w:eastAsia="Times New Roman" w:hAnsi="Times New Roman"/>
          <w:sz w:val="18"/>
          <w:szCs w:val="18"/>
          <w:color w:val="auto"/>
        </w:rPr>
        <w:t>liabilities in markets that are not active, or inputs other than quoted prices that are observable for the asset or liability</w:t>
      </w:r>
    </w:p>
    <w:p>
      <w:pPr>
        <w:spacing w:after="0" w:line="7"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TJX’s financial assets and liabilities that are accounted for at fair value on a recurring basis: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Executive Savings Plan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Diesel fuel contracts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Diesel fuel contracts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designed to meet obligations under the Executive Savings Plan are invested in registered investment companies traded in active markets and are recorded at unadjusted quoted prices.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TJX’s general corporate debt was estimated by obtaining market quotes given the trading levels of other bonds of the same general issuer type and market perceived credit quality. These inputs are considered to be Level 2 inputs. These estimates do not necessarily reflect provisions or restrictions in the various debt agreements that might affect TJX’s ability to settle these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and fair value estimates of the Company’s components of long-term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Borders>
              <w:bottom w:val="single" w:sz="8" w:color="auto"/>
            </w:tcBorders>
          </w:tcPr>
          <w:p>
            <w:pPr>
              <w:spacing w:after="0"/>
              <w:rPr>
                <w:sz w:val="20"/>
                <w:szCs w:val="20"/>
                <w:color w:val="auto"/>
              </w:rPr>
            </w:pPr>
          </w:p>
        </w:tc>
      </w:tr>
      <w:tr>
        <w:trPr>
          <w:trHeight w:val="169"/>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3"/>
          </w:tcPr>
          <w:p>
            <w:pPr>
              <w:jc w:val="right"/>
              <w:ind w:right="87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4"/>
                <w:szCs w:val="14"/>
                <w:color w:val="auto"/>
              </w:rPr>
            </w:pPr>
          </w:p>
        </w:tc>
        <w:tc>
          <w:tcPr>
            <w:tcW w:w="2740" w:type="dxa"/>
            <w:vAlign w:val="bottom"/>
            <w:gridSpan w:val="2"/>
          </w:tcPr>
          <w:p>
            <w:pPr>
              <w:jc w:val="right"/>
              <w:ind w:right="93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Borders>
              <w:bottom w:val="single" w:sz="8" w:color="auto"/>
            </w:tcBorders>
          </w:tcPr>
          <w:p>
            <w:pPr>
              <w:spacing w:after="0"/>
              <w:rPr>
                <w:sz w:val="20"/>
                <w:szCs w:val="20"/>
                <w:color w:val="auto"/>
              </w:rPr>
            </w:pP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8"/>
              </w:rPr>
              <w:t>Carrying Value</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2,866 $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long-term debt, see Note J—Long-Term Debt and Credit Lines.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cash equivalents are stated at cost, which approximates fair value due to the short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whereas the majority of assets and liabilities are not measured at fair value on an ongoing basis but are subject to fair value adjustments in certain circumstances, such as when there is evidence of an impairment. For the years ended January 31, 2026, February 1, 2025 and February 3, 2024, the Company did not record any material impairments to long-lived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G. Segment Information</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operates four segments. TJX defines its segments as those operations whose results the Chief Executive Officer, who is the Company’s chief operating decision maker (“CODM”), regularly reviews to analyze performance and allocate resources. In the United States, the Marmaxx segment operates TJ Maxx, Marshalls, tjmaxx.com and marshalls.com and the HomeGoods segment operates HomeGoods and Homesense. The TJX Canada segment operates Winners, HomeSense and Marshalls in Canada, and the TJX International segment operates TK Maxx, Homesense, tkmaxx.com, tkmaxx.de, and tkmaxx.at in Europe and TK Maxx in Australia. In addition to the Company’s four segments, Sierra operates retail stores and sierra.com in the U.S. The results of Sierra are included in the Marmaxx segment.</w:t>
      </w:r>
    </w:p>
    <w:p>
      <w:pPr>
        <w:spacing w:after="0" w:line="7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All of TJX’s stores, with the exception of HomeGoods and HomeSense/Homesense, sell family apparel and home fashions. HomeGoods and HomeSense/Homesense offer home fashions. The percentages of the Company’s consolidated revenues by major product category for the last three fiscal years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Fiscal 2025</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3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Clothing including footwear</w:t>
            </w:r>
          </w:p>
        </w:tc>
        <w:tc>
          <w:tcPr>
            <w:tcW w:w="3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44 %</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Accessories including jewelry and beauty</w:t>
            </w:r>
          </w:p>
        </w:tc>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 fashions</w:t>
            </w:r>
          </w:p>
        </w:tc>
        <w:tc>
          <w:tcPr>
            <w:tcW w:w="3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CODM regularly reviews net sales by segment and segment profit or loss. There are no significant expense categories or amounts regularly provided to the CODM and included in reported segment profit or loss. As such, no significant expense categories are disclosed in the table below. The CODM evaluates the performance of the Company’s segments based on “segment profit or loss,” which it defines as pre-tax income or loss before general corporate expense, interest (income) expense, net and certain separately disclosed unusual or infrequent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Presented below is financial information with respect to TJX’s segments: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4"/>
        </w:trPr>
        <w:tc>
          <w:tcPr>
            <w:tcW w:w="6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8"/>
              </w:rPr>
              <w:t>February 3,</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(53 weeks)</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Marmaxx</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w:t>
            </w:r>
          </w:p>
        </w:tc>
      </w:tr>
      <w:tr>
        <w:trPr>
          <w:trHeight w:val="229"/>
        </w:trPr>
        <w:tc>
          <w:tcPr>
            <w:tcW w:w="68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31,057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r>
      <w:tr>
        <w:trPr>
          <w:trHeight w:val="223"/>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23"/>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HomeGoods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r>
      <w:tr>
        <w:trPr>
          <w:trHeight w:val="229"/>
        </w:trPr>
        <w:tc>
          <w:tcPr>
            <w:tcW w:w="68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r>
      <w:tr>
        <w:trPr>
          <w:trHeight w:val="223"/>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TJX Canada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9"/>
        </w:trPr>
        <w:tc>
          <w:tcPr>
            <w:tcW w:w="68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3"/>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TJX International</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29"/>
        </w:trPr>
        <w:tc>
          <w:tcPr>
            <w:tcW w:w="68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23"/>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TJX</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60,372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w:t>
            </w:r>
          </w:p>
        </w:tc>
      </w:tr>
      <w:tr>
        <w:trPr>
          <w:trHeight w:val="230"/>
        </w:trPr>
        <w:tc>
          <w:tcPr>
            <w:tcW w:w="688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52,283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47,712</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23"/>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6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6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r>
    </w:tbl>
    <w:p>
      <w:pPr>
        <w:spacing w:after="0" w:line="166" w:lineRule="exact"/>
        <w:rPr>
          <w:sz w:val="20"/>
          <w:szCs w:val="20"/>
          <w:color w:val="auto"/>
        </w:rPr>
      </w:pPr>
    </w:p>
    <w:p>
      <w:pPr>
        <w:ind w:left="340" w:hanging="332"/>
        <w:spacing w:after="0" w:line="271" w:lineRule="auto"/>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for each reportable segment include cost of sales and selling, general and administrative expenses. Cost of sales includes buying and occupancy costs, cost of merchandise sold, and other expenses. Selling, general and administrative expenses include store payroll and benefit costs, communication costs, and other expenses. Refer to Note A - Basis of Presentation and Summary of Accounting Principles for more information on the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Segment information (continued):</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identifiable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r>
      <w:tr>
        <w:trPr>
          <w:trHeight w:val="223"/>
        </w:trPr>
        <w:tc>
          <w:tcPr>
            <w:tcW w:w="6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23"/>
        </w:trPr>
        <w:tc>
          <w:tcPr>
            <w:tcW w:w="6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6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bl>
    <w:p>
      <w:pPr>
        <w:spacing w:after="0" w:line="126" w:lineRule="exact"/>
        <w:rPr>
          <w:sz w:val="20"/>
          <w:szCs w:val="20"/>
          <w:color w:val="auto"/>
        </w:rPr>
      </w:pPr>
    </w:p>
    <w:p>
      <w:pPr>
        <w:ind w:left="340" w:right="640" w:hanging="332"/>
        <w:spacing w:after="0" w:line="282"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identifiable assets mainly include cash and trust assets from the Executive Savings Plan and in both fiscal 2026 and fiscal 2025 includes the equity method investments. Consolidated cash, including that held by foreign entities, is reported with Corporate assets for consistency with segment reporting in the U.S.</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discount accretion and debt expense amortization.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H. Stock Incentive Plan</w:t>
      </w:r>
    </w:p>
    <w:p>
      <w:pPr>
        <w:spacing w:after="0" w:line="1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TJX has a Stock Incentive Plan under which options and other share-based awards may be granted to its directors, officers and key employees. The number of shares authorized for issuance under this plan has been approved by TJX’s shareholders, and all share-based compensation awards are made under this plan. The Stock Incentive Plan, as amended with shareholder approval, has provided for the issuance of up to 723 million shares with 36 million shares available for future grants as of January 31, 2026. TJX issues shares under the plan from authorized but unissued common stock.</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share-based compensation was $214 million, $183 million and $160 million in fiscal 2026, 2025 and 2024, respectively. As of January 31, 2026, there was $242 million of total unrecognized compensation cost related to non-vested share-based compensation arrangements granted under the plan. That cost is expected to be recognized over a weighted-average period of 2 years.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Options for the purchase of common stock are granted with an exercise price that is 100% of market price on the grant date, generally vest in thirds over a 3-year period starting 1 year after the grant, and have a 10-year maximum term. When options are granted with other vesting terms, the vesting information is reflected in the valuation.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ind w:right="920"/>
        <w:spacing w:after="0" w:line="273" w:lineRule="auto"/>
        <w:rPr>
          <w:sz w:val="20"/>
          <w:szCs w:val="20"/>
          <w:color w:val="auto"/>
        </w:rPr>
      </w:pPr>
      <w:r>
        <w:rPr>
          <w:rFonts w:ascii="Times New Roman" w:cs="Times New Roman" w:eastAsia="Times New Roman" w:hAnsi="Times New Roman"/>
          <w:sz w:val="18"/>
          <w:szCs w:val="18"/>
          <w:color w:val="auto"/>
        </w:rPr>
        <w:t>The fair value of options is estimated as of the date of grant using the Black-Scholes option pricing model with the following weighted average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69"/>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20" w:type="dxa"/>
            <w:vAlign w:val="bottom"/>
          </w:tcPr>
          <w:p>
            <w:pPr>
              <w:spacing w:after="0"/>
              <w:rPr>
                <w:sz w:val="14"/>
                <w:szCs w:val="14"/>
                <w:color w:val="auto"/>
              </w:rPr>
            </w:pPr>
          </w:p>
        </w:tc>
        <w:tc>
          <w:tcPr>
            <w:tcW w:w="14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factor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 years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years</w:t>
            </w:r>
          </w:p>
        </w:tc>
      </w:tr>
      <w:tr>
        <w:trPr>
          <w:trHeight w:val="229"/>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issued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24.62</w:t>
            </w:r>
          </w:p>
        </w:tc>
      </w:tr>
    </w:tbl>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risk-free interest rate is for periods within the contractual life of the option based on the U.S. Treasury yield curve in effect at the time of grant. The Company uses historical data to estimate option exercises, employee termination behavior and dividend yield within the valuation model. Expected volatility is based on a combination of implied volatility from traded options on the Company’s stock, and historical volatility during a term approximating the expected life of the option granted. The expected option life represents an estimate of the period of time options are expected to remain outstanding based upon historical exercise trends. Employee groups and option characteristics are considered separately for valuation purposes, when applicable.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TJX’s stock options and related weighted average exercise prices (“WAEP”) is presented below:</w:t>
      </w:r>
    </w:p>
    <w:p>
      <w:pPr>
        <w:spacing w:after="0" w:line="5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2600" w:type="dxa"/>
            <w:vAlign w:val="bottom"/>
            <w:tcBorders>
              <w:top w:val="single" w:sz="8" w:color="auto"/>
            </w:tcBorders>
            <w:gridSpan w:val="3"/>
          </w:tcPr>
          <w:p>
            <w:pPr>
              <w:jc w:val="right"/>
              <w:ind w:right="83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4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9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February 3,</w:t>
            </w:r>
          </w:p>
        </w:tc>
        <w:tc>
          <w:tcPr>
            <w:tcW w:w="800" w:type="dxa"/>
            <w:vAlign w:val="bottom"/>
            <w:tcBorders>
              <w:top w:val="single" w:sz="8" w:color="auto"/>
            </w:tcBorders>
          </w:tcPr>
          <w:p>
            <w:pPr>
              <w:spacing w:after="0"/>
              <w:rPr>
                <w:sz w:val="14"/>
                <w:szCs w:val="14"/>
                <w:color w:val="auto"/>
              </w:rPr>
            </w:pPr>
          </w:p>
        </w:tc>
      </w:tr>
      <w:tr>
        <w:trPr>
          <w:trHeight w:val="241"/>
        </w:trPr>
        <w:tc>
          <w:tcPr>
            <w:tcW w:w="394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spacing w:after="0"/>
              <w:rPr>
                <w:sz w:val="20"/>
                <w:szCs w:val="20"/>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Shares in millions</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WAEP</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WAEP</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WAEP</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68.26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140.04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54.42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99.75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82.98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79.28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64.31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56.87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$476 million in fiscal 2026, $466 million in fiscal 2025 and $278 million in fiscal 2024.</w:t>
      </w:r>
    </w:p>
    <w:p>
      <w:pPr>
        <w:spacing w:after="0" w:line="11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that were expected to vest and stock options outstanding that were exercisable as of January 31,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8"/>
              </w:rPr>
              <w:t>Aggregate</w:t>
            </w: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Weighted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20" w:type="dxa"/>
            <w:vAlign w:val="bottom"/>
            <w:vMerge w:val="restart"/>
          </w:tcPr>
          <w:p>
            <w:pPr>
              <w:jc w:val="center"/>
              <w:ind w:left="5654"/>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73"/>
              <w:spacing w:after="0" w:line="189" w:lineRule="exact"/>
              <w:rPr>
                <w:sz w:val="20"/>
                <w:szCs w:val="20"/>
                <w:color w:val="auto"/>
              </w:rPr>
            </w:pPr>
            <w:r>
              <w:rPr>
                <w:rFonts w:ascii="Times New Roman" w:cs="Times New Roman" w:eastAsia="Times New Roman" w:hAnsi="Times New Roman"/>
                <w:sz w:val="18"/>
                <w:szCs w:val="18"/>
                <w:color w:val="auto"/>
                <w:w w:val="99"/>
              </w:rPr>
              <w:t>Intrinsic</w:t>
            </w:r>
          </w:p>
        </w:tc>
        <w:tc>
          <w:tcPr>
            <w:tcW w:w="16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253"/>
              <w:spacing w:after="0" w:line="176" w:lineRule="exact"/>
              <w:rPr>
                <w:sz w:val="20"/>
                <w:szCs w:val="20"/>
                <w:color w:val="auto"/>
              </w:rPr>
            </w:pPr>
            <w:r>
              <w:rPr>
                <w:rFonts w:ascii="Times New Roman" w:cs="Times New Roman" w:eastAsia="Times New Roman" w:hAnsi="Times New Roman"/>
                <w:sz w:val="18"/>
                <w:szCs w:val="18"/>
                <w:color w:val="auto"/>
                <w:w w:val="97"/>
              </w:rPr>
              <w:t>Value</w:t>
            </w:r>
          </w:p>
        </w:tc>
        <w:tc>
          <w:tcPr>
            <w:tcW w:w="162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WAEP</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auto"/>
            </w:tcBorders>
          </w:tcPr>
          <w:p>
            <w:pPr>
              <w:jc w:val="center"/>
              <w:ind w:left="5654"/>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color w:val="auto"/>
              </w:rPr>
              <w:t>(in millions)</w:t>
            </w:r>
          </w:p>
        </w:tc>
        <w:tc>
          <w:tcPr>
            <w:tcW w:w="1620" w:type="dxa"/>
            <w:vAlign w:val="bottom"/>
            <w:tcBorders>
              <w:bottom w:val="single" w:sz="8" w:color="auto"/>
            </w:tcBorders>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Contract Life</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Options outstanding expected to vest</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193</w:t>
            </w:r>
          </w:p>
        </w:tc>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8.9 years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1,825</w:t>
            </w: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4.9 years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outstanding options vested and expected to vest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5.9 years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(a)</w:t>
        <w:tab/>
        <w:t>Reflects 7 million unvested options, net of anticipated forfeitures.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Awards</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TJX grants restricted stock units and performance share units under the Stock Incentive Plan. Restricted stock units and performance share units are collectively referred to as stock awards. These stock awards were granted without a purchase price to the recipient and are subject to vesting conditions. Vesting conditions for performance share units include specified performance criteria, generally for a period of three fiscal years. The grant date fair value of the stock awards is charged to income over the requisite service period, generally three years, during which the recipient must remain employed. The fair value of the stock awards is determined at date of grant in accordance with ASC Topic 718 and, for performance share units, assumes that performance goals will be achieved at target. Performance share units and related compensation costs recognized are adjusted, as applicable, for performance above or below the target specified in the award.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modifications to stock awards in fiscal 2026, fiscal 2025 or fiscal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stock awards and changes during fiscal 2026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2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Restricted Stock</w:t>
            </w:r>
          </w:p>
        </w:tc>
        <w:tc>
          <w:tcPr>
            <w:tcW w:w="1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Performance Share</w:t>
            </w: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 Stock</w:t>
            </w:r>
          </w:p>
        </w:tc>
        <w:tc>
          <w:tcPr>
            <w:tcW w:w="280" w:type="dxa"/>
            <w:vAlign w:val="bottom"/>
          </w:tcPr>
          <w:p>
            <w:pPr>
              <w:spacing w:after="0"/>
              <w:rPr>
                <w:sz w:val="16"/>
                <w:szCs w:val="16"/>
                <w:color w:val="auto"/>
              </w:rPr>
            </w:pPr>
          </w:p>
        </w:tc>
        <w:tc>
          <w:tcPr>
            <w:tcW w:w="13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grant date fair value</w:t>
            </w:r>
          </w:p>
        </w:tc>
        <w:tc>
          <w:tcPr>
            <w:tcW w:w="2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Units</w:t>
            </w: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Units</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Awards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beginning of year</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1,071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end of year</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units granted and the weighted average grant date fair value for total stock awards over the previous two fiscal years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c>
          <w:tcPr>
            <w:tcW w:w="540" w:type="dxa"/>
            <w:vAlign w:val="bottom"/>
            <w:tcBorders>
              <w:bottom w:val="single" w:sz="8" w:color="auto"/>
            </w:tcBorders>
          </w:tcPr>
          <w:p>
            <w:pPr>
              <w:spacing w:after="0"/>
              <w:rPr>
                <w:sz w:val="20"/>
                <w:szCs w:val="20"/>
                <w:color w:val="auto"/>
              </w:rPr>
            </w:pPr>
          </w:p>
        </w:tc>
      </w:tr>
      <w:tr>
        <w:trPr>
          <w:trHeight w:val="169"/>
        </w:trPr>
        <w:tc>
          <w:tcPr>
            <w:tcW w:w="7240" w:type="dxa"/>
            <w:vAlign w:val="bottom"/>
          </w:tcPr>
          <w:p>
            <w:pPr>
              <w:spacing w:after="0"/>
              <w:rPr>
                <w:sz w:val="14"/>
                <w:szCs w:val="14"/>
                <w:color w:val="auto"/>
              </w:rPr>
            </w:pPr>
          </w:p>
        </w:tc>
        <w:tc>
          <w:tcPr>
            <w:tcW w:w="1480" w:type="dxa"/>
            <w:vAlign w:val="bottom"/>
          </w:tcPr>
          <w:p>
            <w:pPr>
              <w:jc w:val="center"/>
              <w:ind w:left="43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500" w:type="dxa"/>
            <w:vAlign w:val="bottom"/>
          </w:tcPr>
          <w:p>
            <w:pPr>
              <w:spacing w:after="0"/>
              <w:rPr>
                <w:sz w:val="14"/>
                <w:szCs w:val="14"/>
                <w:color w:val="auto"/>
              </w:rPr>
            </w:pPr>
          </w:p>
        </w:tc>
        <w:tc>
          <w:tcPr>
            <w:tcW w:w="1480" w:type="dxa"/>
            <w:vAlign w:val="bottom"/>
          </w:tcPr>
          <w:p>
            <w:pPr>
              <w:jc w:val="center"/>
              <w:ind w:left="470"/>
              <w:spacing w:after="0" w:line="169" w:lineRule="exact"/>
              <w:rPr>
                <w:sz w:val="20"/>
                <w:szCs w:val="20"/>
                <w:color w:val="auto"/>
              </w:rPr>
            </w:pPr>
            <w:r>
              <w:rPr>
                <w:rFonts w:ascii="Times New Roman" w:cs="Times New Roman" w:eastAsia="Times New Roman" w:hAnsi="Times New Roman"/>
                <w:sz w:val="18"/>
                <w:szCs w:val="18"/>
                <w:color w:val="auto"/>
              </w:rPr>
              <w:t>February 3,</w:t>
            </w:r>
          </w:p>
        </w:tc>
        <w:tc>
          <w:tcPr>
            <w:tcW w:w="540" w:type="dxa"/>
            <w:vAlign w:val="bottom"/>
          </w:tcPr>
          <w:p>
            <w:pPr>
              <w:spacing w:after="0"/>
              <w:rPr>
                <w:sz w:val="14"/>
                <w:szCs w:val="14"/>
                <w:color w:val="auto"/>
              </w:rPr>
            </w:pPr>
          </w:p>
        </w:tc>
      </w:tr>
      <w:tr>
        <w:trPr>
          <w:trHeight w:val="23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grant date fair value</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48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48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awards that vested was $51 million in fiscal 2026, $46 million in fiscal 2025 and $48 million in fiscal 2024.</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nonvested performance share units are based on the target level of performance achievement under the awards. The actual payout of performance share units will depend on performance results for the award cycle.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Awards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TJX also awards deferred shares to its outside directors under the Stock Incentive Plan. As of January 31, 2026, a total of 360 thousand of these deferred shares were outstanding under the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I. Pension Plans and Other Retirement Benefits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Pension</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has a funded defined benefit retirement plan that covers eligible U.S. employees hired prior to February 1, 2006. No employee contributions are required, or permitted, and benefits are based principally on compensation earned in each year of service. TJX’s funded defined benefit retirement plan assets are invested in domestic and international equity and fixed income securities, both directly and through investment funds. The plan does not invest in TJX securities. TJX also has an unfunded supplemental retirement plan that covers certain key employees and provides additional retirement benefits based on final average compensation for certain of those employees (the “primary benefit”) or, alternatively, based on benefits that would be provided under the funded retirement plan absent Internal Revenue Code limitations (the “alternative benefit”).</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Presented below is financial information relating to TJX’s funded defined benefit pension plan (“qualified pension plan” or “funded plan”) and its unfunded supplemental pension plan (“unfunded plan”) for the fiscal years indicated. The Company has elected the practical expedient pursuant to ASU 2015-4– Compensation-retirement benefits (Topic 715) and has selected the measurement date of January 31, the calendar month end closest to the Company’s fiscal year-end.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Funded Plan</w:t>
            </w:r>
          </w:p>
        </w:tc>
        <w:tc>
          <w:tcPr>
            <w:tcW w:w="200" w:type="dxa"/>
            <w:vAlign w:val="bottom"/>
          </w:tcPr>
          <w:p>
            <w:pPr>
              <w:spacing w:after="0"/>
              <w:rPr>
                <w:sz w:val="17"/>
                <w:szCs w:val="17"/>
                <w:color w:val="auto"/>
              </w:rPr>
            </w:pPr>
          </w:p>
        </w:tc>
        <w:tc>
          <w:tcPr>
            <w:tcW w:w="270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3"/>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7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5"/>
                <w:szCs w:val="15"/>
                <w:color w:val="auto"/>
              </w:rPr>
            </w:pPr>
          </w:p>
        </w:tc>
        <w:tc>
          <w:tcPr>
            <w:tcW w:w="1240" w:type="dxa"/>
            <w:vAlign w:val="bottom"/>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February 1,</w:t>
            </w:r>
          </w:p>
        </w:tc>
        <w:tc>
          <w:tcPr>
            <w:tcW w:w="200" w:type="dxa"/>
            <w:vAlign w:val="bottom"/>
          </w:tcPr>
          <w:p>
            <w:pPr>
              <w:spacing w:after="0"/>
              <w:rPr>
                <w:sz w:val="15"/>
                <w:szCs w:val="15"/>
                <w:color w:val="auto"/>
              </w:rPr>
            </w:pPr>
          </w:p>
        </w:tc>
        <w:tc>
          <w:tcPr>
            <w:tcW w:w="1240" w:type="dxa"/>
            <w:vAlign w:val="bottom"/>
          </w:tcPr>
          <w:p>
            <w:pPr>
              <w:jc w:val="right"/>
              <w:ind w:right="17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5"/>
                <w:szCs w:val="15"/>
                <w:color w:val="auto"/>
              </w:rPr>
            </w:pPr>
          </w:p>
        </w:tc>
        <w:tc>
          <w:tcPr>
            <w:tcW w:w="1240" w:type="dxa"/>
            <w:vAlign w:val="bottom"/>
          </w:tcPr>
          <w:p>
            <w:pPr>
              <w:jc w:val="right"/>
              <w:ind w:right="230"/>
              <w:spacing w:after="0" w:line="173"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Actuarial losses (gains)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Expenses paid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Funded Plan</w:t>
            </w:r>
          </w:p>
        </w:tc>
        <w:tc>
          <w:tcPr>
            <w:tcW w:w="160" w:type="dxa"/>
            <w:vAlign w:val="bottom"/>
          </w:tcPr>
          <w:p>
            <w:pPr>
              <w:spacing w:after="0"/>
              <w:rPr>
                <w:sz w:val="17"/>
                <w:szCs w:val="17"/>
                <w:color w:val="auto"/>
              </w:rPr>
            </w:pPr>
          </w:p>
        </w:tc>
        <w:tc>
          <w:tcPr>
            <w:tcW w:w="26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19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5"/>
                <w:szCs w:val="15"/>
                <w:color w:val="auto"/>
              </w:rPr>
            </w:pPr>
          </w:p>
        </w:tc>
        <w:tc>
          <w:tcPr>
            <w:tcW w:w="1240" w:type="dxa"/>
            <w:vAlign w:val="bottom"/>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February 1,</w:t>
            </w:r>
          </w:p>
        </w:tc>
        <w:tc>
          <w:tcPr>
            <w:tcW w:w="160" w:type="dxa"/>
            <w:vAlign w:val="bottom"/>
          </w:tcPr>
          <w:p>
            <w:pPr>
              <w:spacing w:after="0"/>
              <w:rPr>
                <w:sz w:val="15"/>
                <w:szCs w:val="15"/>
                <w:color w:val="auto"/>
              </w:rPr>
            </w:pPr>
          </w:p>
        </w:tc>
        <w:tc>
          <w:tcPr>
            <w:tcW w:w="118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5"/>
                <w:szCs w:val="15"/>
                <w:color w:val="auto"/>
              </w:rPr>
            </w:pPr>
          </w:p>
        </w:tc>
        <w:tc>
          <w:tcPr>
            <w:tcW w:w="1240" w:type="dxa"/>
            <w:vAlign w:val="bottom"/>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Employer contribution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Expenses paid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funded status: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Funded status – excess (asset) obligation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 liability recognized on Consolidated Balance Sheets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169"/>
        </w:trPr>
        <w:tc>
          <w:tcPr>
            <w:tcW w:w="5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Amounts not yet reflected in net periodic benefit cost and included in</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actuarial losses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Amounts included in Accumulated other comprehensive (loss)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reflect the funded status of the plans with any unrecognized prior service cost (credit) and actuarial gains and losses recorded in Accumulated other comprehensive (loss) income. The funded plan asset of $189 million and $179 million is reflected on the Consolidated Balance Sheets in Other assets as of January 31, 2026 and February 1, 2025, respectively. The unfunded plan liability is reflected on the Consolidated Balance Sheets as Current liabilities of $6 million and $7 million and a long-term liability of $113 million and $100 million as of January 31, 2026 and February 1, 2025, respectively.</w:t>
      </w:r>
    </w:p>
    <w:p>
      <w:pPr>
        <w:spacing w:after="0" w:line="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decrease in the actuarial losses included in Accumulated other comprehensive (loss) income for the funded plan for fiscal 2026 was driven by an increase in actual return on plan assets offset by the impact of lower discount rates.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3" w:name="page74"/>
    <w:bookmarkEnd w:id="73"/>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TJX determined the assumed discount rate using the BOND: Link model in fiscal 2026 and fiscal 2025. TJX uses the BOND: Link model as this model allows for the selection of specific bonds resulting in better matches in timing of the plans’ expected cash flows. Presented below are weighted average assumptions for measurement purposes for determining the obligation at the year-end measurement date:</w:t>
      </w:r>
    </w:p>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3260" w:type="dxa"/>
            <w:vAlign w:val="bottom"/>
            <w:gridSpan w:val="2"/>
          </w:tcPr>
          <w:p>
            <w:pPr>
              <w:jc w:val="right"/>
              <w:ind w:right="1170"/>
              <w:spacing w:after="0" w:line="181" w:lineRule="exact"/>
              <w:rPr>
                <w:sz w:val="20"/>
                <w:szCs w:val="20"/>
                <w:color w:val="auto"/>
              </w:rPr>
            </w:pPr>
            <w:r>
              <w:rPr>
                <w:rFonts w:ascii="Times New Roman" w:cs="Times New Roman" w:eastAsia="Times New Roman" w:hAnsi="Times New Roman"/>
                <w:sz w:val="18"/>
                <w:szCs w:val="18"/>
                <w:color w:val="auto"/>
              </w:rPr>
              <w:t>Funded Plan</w:t>
            </w:r>
          </w:p>
        </w:tc>
        <w:tc>
          <w:tcPr>
            <w:tcW w:w="2960" w:type="dxa"/>
            <w:vAlign w:val="bottom"/>
            <w:gridSpan w:val="2"/>
          </w:tcPr>
          <w:p>
            <w:pPr>
              <w:ind w:left="860"/>
              <w:spacing w:after="0" w:line="181" w:lineRule="exact"/>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00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Fiscal Year Ended</w:t>
            </w:r>
          </w:p>
        </w:tc>
        <w:tc>
          <w:tcPr>
            <w:tcW w:w="296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3"/>
        </w:trPr>
        <w:tc>
          <w:tcPr>
            <w:tcW w:w="5000" w:type="dxa"/>
            <w:vAlign w:val="bottom"/>
          </w:tcPr>
          <w:p>
            <w:pPr>
              <w:spacing w:after="0"/>
              <w:rPr>
                <w:sz w:val="15"/>
                <w:szCs w:val="15"/>
                <w:color w:val="auto"/>
              </w:rPr>
            </w:pPr>
          </w:p>
        </w:tc>
        <w:tc>
          <w:tcPr>
            <w:tcW w:w="1740" w:type="dxa"/>
            <w:vAlign w:val="bottom"/>
          </w:tcPr>
          <w:p>
            <w:pPr>
              <w:jc w:val="right"/>
              <w:ind w:right="41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520" w:type="dxa"/>
            <w:vAlign w:val="bottom"/>
          </w:tcPr>
          <w:p>
            <w:pPr>
              <w:jc w:val="right"/>
              <w:ind w:right="410"/>
              <w:spacing w:after="0" w:line="173" w:lineRule="exact"/>
              <w:rPr>
                <w:sz w:val="20"/>
                <w:szCs w:val="20"/>
                <w:color w:val="auto"/>
              </w:rPr>
            </w:pPr>
            <w:r>
              <w:rPr>
                <w:rFonts w:ascii="Times New Roman" w:cs="Times New Roman" w:eastAsia="Times New Roman" w:hAnsi="Times New Roman"/>
                <w:sz w:val="18"/>
                <w:szCs w:val="18"/>
                <w:color w:val="auto"/>
              </w:rPr>
              <w:t>February 1,</w:t>
            </w:r>
          </w:p>
        </w:tc>
        <w:tc>
          <w:tcPr>
            <w:tcW w:w="1580" w:type="dxa"/>
            <w:vAlign w:val="bottom"/>
          </w:tcPr>
          <w:p>
            <w:pPr>
              <w:jc w:val="center"/>
              <w:ind w:right="230"/>
              <w:spacing w:after="0" w:line="173"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380" w:type="dxa"/>
            <w:vAlign w:val="bottom"/>
          </w:tcPr>
          <w:p>
            <w:pPr>
              <w:jc w:val="right"/>
              <w:ind w:right="270"/>
              <w:spacing w:after="0" w:line="173"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5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5.90 %</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6.10 %</w:t>
            </w:r>
          </w:p>
        </w:tc>
        <w:tc>
          <w:tcPr>
            <w:tcW w:w="1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5.60 %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2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4.00 %</w:t>
            </w:r>
          </w:p>
        </w:tc>
        <w:tc>
          <w:tcPr>
            <w:tcW w:w="15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made aggregate cash contributions of $5 million in fiscal 2026 and $4 million in fiscal 2025 to the funded plan and to fund current benefit and expense payments under the unfunded plan. 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2027 for the funded plan. The Company anticipates making contributions of $6 million to provide current benefits coming due under the unfunded plan in fiscal 2027.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components of net periodic benefit cost and other amounts recognized in other comprehensive income (loss)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pension plans: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Funded Plan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Unfunded Plan</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1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20" w:type="dxa"/>
            <w:vAlign w:val="bottom"/>
          </w:tcPr>
          <w:p>
            <w:pPr>
              <w:spacing w:after="0"/>
              <w:rPr>
                <w:sz w:val="15"/>
                <w:szCs w:val="15"/>
                <w:color w:val="auto"/>
              </w:rPr>
            </w:pPr>
          </w:p>
        </w:tc>
        <w:tc>
          <w:tcPr>
            <w:tcW w:w="114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color w:val="auto"/>
              </w:rPr>
              <w:t>February 1,</w:t>
            </w:r>
          </w:p>
        </w:tc>
        <w:tc>
          <w:tcPr>
            <w:tcW w:w="140" w:type="dxa"/>
            <w:vAlign w:val="bottom"/>
          </w:tcPr>
          <w:p>
            <w:pPr>
              <w:spacing w:after="0"/>
              <w:rPr>
                <w:sz w:val="15"/>
                <w:szCs w:val="15"/>
                <w:color w:val="auto"/>
              </w:rPr>
            </w:pPr>
          </w:p>
        </w:tc>
        <w:tc>
          <w:tcPr>
            <w:tcW w:w="110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color w:val="auto"/>
              </w:rPr>
              <w:t>February 3,</w:t>
            </w:r>
          </w:p>
        </w:tc>
        <w:tc>
          <w:tcPr>
            <w:tcW w:w="160" w:type="dxa"/>
            <w:vAlign w:val="bottom"/>
          </w:tcPr>
          <w:p>
            <w:pPr>
              <w:spacing w:after="0"/>
              <w:rPr>
                <w:sz w:val="15"/>
                <w:szCs w:val="15"/>
                <w:color w:val="auto"/>
              </w:rPr>
            </w:pPr>
          </w:p>
        </w:tc>
        <w:tc>
          <w:tcPr>
            <w:tcW w:w="120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5"/>
                <w:szCs w:val="15"/>
                <w:color w:val="auto"/>
              </w:rPr>
            </w:pPr>
          </w:p>
        </w:tc>
        <w:tc>
          <w:tcPr>
            <w:tcW w:w="1080" w:type="dxa"/>
            <w:vAlign w:val="bottom"/>
          </w:tcPr>
          <w:p>
            <w:pPr>
              <w:jc w:val="right"/>
              <w:ind w:right="110"/>
              <w:spacing w:after="0" w:line="173" w:lineRule="exact"/>
              <w:rPr>
                <w:sz w:val="20"/>
                <w:szCs w:val="20"/>
                <w:color w:val="auto"/>
              </w:rPr>
            </w:pPr>
            <w:r>
              <w:rPr>
                <w:rFonts w:ascii="Times New Roman" w:cs="Times New Roman" w:eastAsia="Times New Roman" w:hAnsi="Times New Roman"/>
                <w:sz w:val="18"/>
                <w:szCs w:val="18"/>
                <w:color w:val="auto"/>
              </w:rPr>
              <w:t>February 1,</w:t>
            </w:r>
          </w:p>
        </w:tc>
        <w:tc>
          <w:tcPr>
            <w:tcW w:w="160" w:type="dxa"/>
            <w:vAlign w:val="bottom"/>
          </w:tcPr>
          <w:p>
            <w:pPr>
              <w:spacing w:after="0"/>
              <w:rPr>
                <w:sz w:val="15"/>
                <w:szCs w:val="15"/>
                <w:color w:val="auto"/>
              </w:rPr>
            </w:pPr>
          </w:p>
        </w:tc>
        <w:tc>
          <w:tcPr>
            <w:tcW w:w="1080" w:type="dxa"/>
            <w:vAlign w:val="bottom"/>
          </w:tcPr>
          <w:p>
            <w:pPr>
              <w:jc w:val="right"/>
              <w:ind w:right="110"/>
              <w:spacing w:after="0" w:line="173" w:lineRule="exact"/>
              <w:rPr>
                <w:sz w:val="20"/>
                <w:szCs w:val="20"/>
                <w:color w:val="auto"/>
              </w:rPr>
            </w:pPr>
            <w:r>
              <w:rPr>
                <w:rFonts w:ascii="Times New Roman" w:cs="Times New Roman" w:eastAsia="Times New Roman" w:hAnsi="Times New Roman"/>
                <w:sz w:val="18"/>
                <w:szCs w:val="18"/>
                <w:color w:val="auto"/>
              </w:rPr>
              <w:t>February 3,</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49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Other changes in plan assets and benefit obligations recognized in</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480"/>
              <w:spacing w:after="0" w:line="169" w:lineRule="exact"/>
              <w:rPr>
                <w:sz w:val="20"/>
                <w:szCs w:val="20"/>
                <w:color w:val="auto"/>
              </w:rPr>
            </w:pPr>
            <w:r>
              <w:rPr>
                <w:rFonts w:ascii="Times New Roman" w:cs="Times New Roman" w:eastAsia="Times New Roman" w:hAnsi="Times New Roman"/>
                <w:sz w:val="18"/>
                <w:szCs w:val="18"/>
                <w:color w:val="auto"/>
              </w:rPr>
              <w:t>Total (gain) loss recognized in other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9"/>
        </w:trPr>
        <w:tc>
          <w:tcPr>
            <w:tcW w:w="3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recognized in net periodic benefit cost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assumptions for expense purposes: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6.10 %</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TJX develops its long-term rate of return assumption by evaluating input from professional advisors taking into account the asset allocation of the portfolio and long-term asset class return expectations, as well as long-term inflation assumptions.</w:t>
      </w:r>
    </w:p>
    <w:p>
      <w:pPr>
        <w:spacing w:after="0" w:line="5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unrecognized gains and losses in excess of 10% of the projected benefit obligation are amortized over the average remaining service life of participants.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following is a schedule of the benefits expected to be paid in each of the next five fiscal years and in the aggregate for the five fiscal years thereafter: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Funded Plan</w:t>
            </w:r>
          </w:p>
        </w:tc>
        <w:tc>
          <w:tcPr>
            <w:tcW w:w="25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w w:val="99"/>
              </w:rPr>
              <w:t>Expected Benefit Payments Expected Benefit Payments</w:t>
            </w:r>
          </w:p>
        </w:tc>
      </w:tr>
      <w:tr>
        <w:trPr>
          <w:trHeight w:val="22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91 $</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2032 through 2036</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548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pension assets measured at fair value on a recurring basis: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Funded Plan at January 31, 2026</w:t>
            </w:r>
          </w:p>
        </w:tc>
        <w:tc>
          <w:tcPr>
            <w:tcW w:w="960" w:type="dxa"/>
            <w:vAlign w:val="bottom"/>
            <w:tcBorders>
              <w:bottom w:val="single" w:sz="8" w:color="auto"/>
            </w:tcBorders>
          </w:tcPr>
          <w:p>
            <w:pPr>
              <w:spacing w:after="0"/>
              <w:rPr>
                <w:sz w:val="22"/>
                <w:szCs w:val="22"/>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Level 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29"/>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government bond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r>
      <w:tr>
        <w:trPr>
          <w:trHeight w:val="229"/>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Futures Contracts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r>
      <w:tr>
        <w:trPr>
          <w:trHeight w:val="439"/>
        </w:trPr>
        <w:tc>
          <w:tcPr>
            <w:tcW w:w="6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Funded Plan at February 1, 2025</w:t>
            </w:r>
          </w:p>
        </w:tc>
        <w:tc>
          <w:tcPr>
            <w:tcW w:w="960" w:type="dxa"/>
            <w:vAlign w:val="bottom"/>
            <w:tcBorders>
              <w:bottom w:val="single" w:sz="8" w:color="auto"/>
            </w:tcBorders>
          </w:tcPr>
          <w:p>
            <w:pPr>
              <w:spacing w:after="0"/>
              <w:rPr>
                <w:sz w:val="24"/>
                <w:szCs w:val="24"/>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Level 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27</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government bond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Futures Contracts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65</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65</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bl>
    <w:p>
      <w:pPr>
        <w:spacing w:after="0" w:line="126" w:lineRule="exact"/>
        <w:rPr>
          <w:sz w:val="20"/>
          <w:szCs w:val="20"/>
          <w:color w:val="auto"/>
        </w:rPr>
      </w:pPr>
    </w:p>
    <w:p>
      <w:pPr>
        <w:ind w:left="340" w:right="240" w:hanging="332"/>
        <w:spacing w:after="0" w:line="302"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Subtopic 820-10, certain investments that were measured using net asset value per share (or its equivalent) as a practical expedient have not been classified in the fair value hierarchy. The fair value amounts presented in this table are intended to permit reconciliation of the fair value hierarchy to the fair value of assets presented above.</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Pension plan assets are reported at fair value. Refer to Note F—Fair Value Measurements for further information on the fair value hierarchy. Investments in equity securities traded on a national securities exchange are valued at the composite close price, as of the financial statement date. This information is provided by independent pricing 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are primarily cash related to funding of the plan which had yet to be invested as of balance sheet dates.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Certain corporate and government bonds are valued at the closing price reported in the active market in which the bond is traded. Other bonds are valued based on yields currently available on comparable securities of issuers with similar credit ratings. When quoted prices are not available for identical or similar bonds, the bond is valued under a discounted cash flow approach that maximizes observable inputs, such as current yields of similar instruments, but includes adjustments for certain risks that may not be observable, such as credit and liquidity risks. All bonds are priced by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5" w:name="page76"/>
    <w:bookmarkEnd w:id="75"/>
    <w:p>
      <w:pPr>
        <w:ind w:right="80"/>
        <w:spacing w:after="0" w:line="261" w:lineRule="auto"/>
        <w:rPr>
          <w:sz w:val="20"/>
          <w:szCs w:val="20"/>
          <w:color w:val="auto"/>
        </w:rPr>
      </w:pPr>
      <w:r>
        <w:rPr>
          <w:rFonts w:ascii="Times New Roman" w:cs="Times New Roman" w:eastAsia="Times New Roman" w:hAnsi="Times New Roman"/>
          <w:sz w:val="18"/>
          <w:szCs w:val="18"/>
          <w:color w:val="auto"/>
        </w:rPr>
        <w:t>Assets measured at net asset value include investments in limited partnerships, which are stated at the fair value of the plan’s partnership interest based on information supplied by the partnerships as compared to financial statements of the limited partnership or other fair value information as determined by management. Cash equivalents or short-term investments are stated at cost which approximates fair value, and the fair value of common/collective trusts is determined based on net asset value as reported by their fund managers.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the asset allocation under the qualified pension plan as of the valuation date for the fiscal years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47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514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Return-seeking assets</w:t>
            </w:r>
          </w:p>
        </w:tc>
        <w:tc>
          <w:tcPr>
            <w:tcW w:w="4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Liability-hedging assets</w:t>
            </w:r>
          </w:p>
        </w:tc>
        <w:tc>
          <w:tcPr>
            <w:tcW w:w="4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 primarily cash</w:t>
            </w:r>
          </w:p>
        </w:tc>
        <w:tc>
          <w:tcPr>
            <w:tcW w:w="4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TJX’s investment policy, qualified pension plan assets are to be invested with the objective of generating investment returns that, in combination with funding contributions, provide adequate assets to meet all current and reasonably anticipated future benefit obligations under the plan. The investment policy includes a dynamic asset allocation strategy, whereby, over time, in connection with improvements in the plan’s funded status, the target allocation of return-seeking assets (generally, equities and other instruments with a similar risk profile) may decline and the target allocation of liability-hedging assets (generally, fixed income and other instruments with a similar risk profile) may increase. Under the investment policy guidelines, the target asset allocation of return-seeking assets and liability-hedging assets was 30% and 70%, respectively, as of January 31, 2026. Risks are sought to be mitigated through asset diversification and the use of multiple investment managers. Investment risk is measured and monitored on an ongoing basis through investment portfolio reviews, annual liability measurements and periodic asset/liability studies.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Retirement Benefits</w:t>
      </w:r>
    </w:p>
    <w:p>
      <w:pPr>
        <w:spacing w:after="0" w:line="11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TJX also sponsors an employee savings plan under Section 401(k) of the Internal Revenue Code for eligible U.S. employees and a similar type of plan for eligible employees in Puerto Rico. Employees may contribute up to 50% of eligible pay, subject to limitations. For eligible employees who have completed the applicable service requirement, TJX matches a portion of employee contributions at rates that vary based on certain eligibility criteria under the plan, and may make additional discretionary year-end contributions based on TJX’s performance. TJX may also make additional discretionary non-matching contributions. Certain eligible employees are automatically enrolled in the 401(k) savings plan and the Puerto Rico savings plan, unless the employee elects otherwise. The total cost of TJX contributions to these plans was $130 million in fiscal 2026, $113 million in fiscal 2025 and $103 million in fiscal 2024.</w:t>
      </w:r>
    </w:p>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TJX also has a nonqualified savings plan (the Executive Savings Plan) for certain U.S. employees. TJX matches employee deferrals at various rates which amounted to $11 million in fiscal 2026, $10 million in fiscal 2025 and $9 million in fiscal 2024. Although the plan is unfunded, in order to help meet its future obligations TJX transfers an amount generally equal to employee deferrals and the related company match to a separate “rabbi” trust. The trust assets, which are invested in a variety of mutual funds, are included in other assets on the balance sheets.</w:t>
      </w:r>
    </w:p>
    <w:p>
      <w:pPr>
        <w:spacing w:after="0" w:line="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to the plans described above, TJX also contributes to retirement/deferred savings programs for eligible Associates at certain of its foreign subsidiaries. The Company contributed $37 million for these programs in fiscal 2026, $39 million in fiscal 2025 and $32 million in fiscal 2024.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Multiemployer Pension Plans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TJX contributes to certain multiemployer defined benefit pension plans under the terms of collective-bargaining agreements that cover union-represented employees. TJX contributed $27 million in fiscal 2026, $27 million in fiscal 2025 and $27 million in fiscal 2024 to the Legacy Plan of the National Retirement Fund (EIN #13-6130178, plan #1), the Adjustable Plan of the National Retirement Fund (EIN #13-6130178, plan #2), the Legacy Plan of the UNITE HERE Retirement Fund (EIN #82-0994119, plan #1) and the Adjustable Plan of the UNITE HERE Retirement Fund (EIN #82-0994119, plan #2). TJX was listed in the Form 5500 for the Legacy Plan of the National Retirement Fund and the Adjustable Plan of the National Retirement Fund as providing more than 5% of the total contributions, or being one of the top ten highest contributors, for the plan year ending December 31, 2024. In addition, based on information available to TJX, the Pension Protection Act Zone status for each of the Legacy Plan of the National Retirement Fund and the Legacy Plan of the UNITE HERE Retirement Fund is critical, rehabilitation plans have been adopted by these plans, and the Legacy Plan of the UNITE HERE Retirement Fund has received Special Financial Assistance under the American Rescue Plan Act of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ind w:right="20"/>
        <w:spacing w:after="0" w:line="256" w:lineRule="auto"/>
        <w:rPr>
          <w:sz w:val="20"/>
          <w:szCs w:val="20"/>
          <w:color w:val="auto"/>
        </w:rPr>
      </w:pPr>
      <w:r>
        <w:rPr>
          <w:rFonts w:ascii="Times New Roman" w:cs="Times New Roman" w:eastAsia="Times New Roman" w:hAnsi="Times New Roman"/>
          <w:sz w:val="18"/>
          <w:szCs w:val="18"/>
          <w:color w:val="auto"/>
        </w:rPr>
        <w:t>The risks of participating in multiemployer pension plans are different from the risks of single-employer pension plans in certain respects, including the following: (a) assets contributed to the multiemployer plan by one employer may be used to provide benefits to employees of other participating employers; (b) if a participating employer stops contributing to the plan, the unfunded obligations of the plan may be borne by the remaining participating employers; and (c) if TJX ceases to have an obligation to contribute to a multiemployer plan in which the Company had been a contributing employer, or in certain other circumstances, the Company may be required to pay to the plan an amount based on the Company’s allocable share of the underfunded status of the plan, referred to as a withdrawal liability.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J. Long-Term Debt and Credit Lines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long-term debt as of January 31, 2026 and February 1, 2025. All amounts are net of unamortized debt discounts.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7"/>
                <w:szCs w:val="17"/>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38"/>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unamortized debt discounts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2.250% senior unsecured notes, maturing September 15, 2026 (effective interest rate of 2.32% after reduction of</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1.150% senior unsecured notes, maturing May 15, 2028 (effective interest rate of 1.18% after reduction of</w:t>
            </w: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85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3.875% senior unsecured notes, maturing April 15, 2030 (effective interest rate of 3.89% after reduction of</w:t>
            </w: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1.600% senior unsecured notes, maturing May 15, 2031 (effective interest rate of 1.61% after reduction of</w:t>
            </w: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85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4.500% senior unsecured notes, maturing April 15, 2050 (effective interest rate of 4.52% after reduction of</w:t>
            </w: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net of debt issuance costs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412"/>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maturities of long-term debt, inclusive of current installments at January 31, 2026 are as follows: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2031</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Later years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Aggregate maturities of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Notes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January 31, 2026, TJX had outstanding $1 billion aggregate principal amount of 2.250% 10-year Notes due September 2026. TJX entered into a rate-lock agreement to hedge $700 million of the 2.250% notes prior to issuance. The cost of this agreement is being amortized to interest expense over the term of the note resulting in an effective fixed rate of 2.36% for the 2.25% notes.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January 31, 2026, TJX has two revolving credit facilities, a $750 million revolving credit facility maturing in May 2029 (the “2029 Revolving Credit Facility”) and a $750 million senior unsecured revolving credit facility maturing in May 2030 (the “2030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ind w:right="180"/>
        <w:spacing w:after="0" w:line="266" w:lineRule="auto"/>
        <w:rPr>
          <w:sz w:val="20"/>
          <w:szCs w:val="20"/>
          <w:color w:val="auto"/>
        </w:rPr>
      </w:pPr>
      <w:r>
        <w:rPr>
          <w:rFonts w:ascii="Times New Roman" w:cs="Times New Roman" w:eastAsia="Times New Roman" w:hAnsi="Times New Roman"/>
          <w:sz w:val="18"/>
          <w:szCs w:val="18"/>
          <w:color w:val="auto"/>
        </w:rPr>
        <w:t>On May 9, 2025, the Company amended and restated its $500 million revolving credit facility (as amended, the 2029 Revolving Credit Facility) to (i) extend the maturity to May 9, 2029 and (ii) increase the aggregate principal amount commitment to $750 million. All other material terms and conditions of the 2029 Revolving Credit Facility were unchanged.</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on May 9, 2025, the Company amended and restated its $1 billion revolving credit facility (as amended, the 2030 Revolving Credit Facility) to (i) extend the maturity to May 9, 2030, (ii) decrease the aggregate principal amount of commitments to $750 million and (iii) reduce the interest rate margin applicable to borrowings bearing interest at a term secured overnight financing rate to a margin of 45.0 - 87.5 basis points consistent with the 2029 Revolving Credit Facility. All other material terms and conditions of the 2030 Revolving Credit Facility were unchanged.</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these credit facilities, the Company has maintained a borrowing capacity of $1.5 billion. As of January 31, 2026 and February 1, 2025, there were no amounts outstanding under these facilities. TJX was in compliance with all covenants related to its credit facilities at the end of all periods presented.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K. Income Taxes</w:t>
      </w:r>
    </w:p>
    <w:p>
      <w:pPr>
        <w:spacing w:after="0" w:line="11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guidance related to improvements to income tax disclosures. The new standard updates the income tax disclosure related to the rate reconciliation and requires disclosure of income taxes paid by jurisdiction. The standard also provides for further disclosure comparability. The standard is effective for fiscal years beginning after December 15, 2024, with early adoption permitted. The Company adopted this standard as of January 31, 2026, on a prospective basis.</w:t>
      </w:r>
    </w:p>
    <w:p>
      <w:pPr>
        <w:spacing w:after="0" w:line="7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the Company’s income tax provision but have resulted in a reduction of the Company’s current year U.S. cash tax obligations.</w:t>
      </w:r>
    </w:p>
    <w:p>
      <w:pPr>
        <w:spacing w:after="0" w:line="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including the release of a comprehensive Side-by-Side Package in January 2026, which introduced additional safe harbors and options to adopt simplified compliance mechanism for companies headquartered in jurisdictions with a qualified Side-by-Side regime. Member countries must enact local legislation or update existing regulations to adopt and incorporate the Pillar Two Side-by-Side Package. Many non-US tax jurisdictions have either recently enacted legislation to adopt certain components of the Pillar Two Model Rules beginning in 2024 with the adoption of additional components in later years or announced their plans to enact legislation in future years. Considering TJX does not have material operations in jurisdictions with tax rates lower than the Pillar Two minimum, these rules did not have a material impact on the Company’s financial statements for fiscal 2026. There remains uncertainty as to the final Pillar Two model rules. The Company is continuing to evaluate the impacts of enacted legislation and pending legislation to enact Pillar Two Model Rules in the non-US tax jurisdictions in which TJX operates.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 financial reporting purposes, components of income before income taxes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3"/>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includes the following:</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69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169"/>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20" w:type="dxa"/>
            <w:vAlign w:val="bottom"/>
          </w:tcPr>
          <w:p>
            <w:pPr>
              <w:spacing w:after="0"/>
              <w:rPr>
                <w:sz w:val="14"/>
                <w:szCs w:val="14"/>
                <w:color w:val="auto"/>
              </w:rPr>
            </w:pPr>
          </w:p>
        </w:tc>
        <w:tc>
          <w:tcPr>
            <w:tcW w:w="12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(53 weeks)</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41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TJX had net deferred tax (liabilities) assets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220" w:type="dxa"/>
            <w:vAlign w:val="bottom"/>
          </w:tcPr>
          <w:p>
            <w:pPr>
              <w:spacing w:after="0"/>
              <w:rPr>
                <w:sz w:val="14"/>
                <w:szCs w:val="14"/>
                <w:color w:val="auto"/>
              </w:rPr>
            </w:pPr>
          </w:p>
        </w:tc>
        <w:tc>
          <w:tcPr>
            <w:tcW w:w="12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stock compensation, postretirement and employee benefits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Accruals and reserves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29"/>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inventory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Tradename/intangibles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23"/>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6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TJX has provided for and recorded a deferred tax liability for all applicable taxes on undistributed earnings of its foreign subsidiaries that are not indefinitely reinvested through January 31, 2026. The Company has not provided for deferred taxes on the approximately $2.2 billion of undistributed earnings related to all other foreign subsidiaries as such earnings are considered to be indefinitely reinvested in the business. The amount of unrecognized deferred tax liability related to the undistributed earnings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ind w:right="200"/>
        <w:spacing w:after="0" w:line="261" w:lineRule="auto"/>
        <w:rPr>
          <w:sz w:val="20"/>
          <w:szCs w:val="20"/>
          <w:color w:val="auto"/>
        </w:rPr>
      </w:pPr>
      <w:r>
        <w:rPr>
          <w:rFonts w:ascii="Times New Roman" w:cs="Times New Roman" w:eastAsia="Times New Roman" w:hAnsi="Times New Roman"/>
          <w:sz w:val="18"/>
          <w:szCs w:val="18"/>
          <w:color w:val="auto"/>
        </w:rPr>
        <w:t>As of January 31, 2026 and February 1, 2025, TJX had state net operating loss carryforwards of $195 million and $225 million respectively. Of the $195 million as of January 31, 2026, $10 million can be carried forward indefinitely, and $185 million will expire, if unused, in the fiscal years 2033 through 2046. TJX has analyzed the realization of its state net operating loss carryforwards and determined that it is more likely than not that a portion of its state net operating loss carryforwards will not be realized.</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had foreign (primarily Australia and the U.K.) net operating loss carryforwards of $293 million as of January 31, 2026 and $338 million as of February 1, 2025, which can be carried forward indefinitely. For the foreign net operating loss carryforwards for which the Company determined it is more likely than not that they will not be realized (primarily Australia), valuation allowance of $56 million and $50 million has been provided for as of January 31, 2026 and February 1,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U.S. federal statutory income tax rate and TJX’s worldwide effective income tax rate is reconciled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Fiscal Year Ended</w:t>
            </w:r>
          </w:p>
        </w:tc>
        <w:tc>
          <w:tcPr>
            <w:tcW w:w="720" w:type="dxa"/>
            <w:vAlign w:val="bottom"/>
            <w:tcBorders>
              <w:bottom w:val="single" w:sz="8" w:color="auto"/>
            </w:tcBorders>
          </w:tcPr>
          <w:p>
            <w:pPr>
              <w:spacing w:after="0"/>
              <w:rPr>
                <w:sz w:val="20"/>
                <w:szCs w:val="20"/>
                <w:color w:val="auto"/>
              </w:rPr>
            </w:pPr>
          </w:p>
        </w:tc>
      </w:tr>
      <w:tr>
        <w:trPr>
          <w:trHeight w:val="169"/>
        </w:trPr>
        <w:tc>
          <w:tcPr>
            <w:tcW w:w="8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center"/>
              <w:ind w:lef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720" w:type="dxa"/>
            <w:vAlign w:val="bottom"/>
          </w:tcPr>
          <w:p>
            <w:pPr>
              <w:spacing w:after="0"/>
              <w:rPr>
                <w:sz w:val="14"/>
                <w:szCs w:val="14"/>
                <w:color w:val="auto"/>
              </w:rPr>
            </w:pPr>
          </w:p>
        </w:tc>
      </w:tr>
      <w:tr>
        <w:trPr>
          <w:trHeight w:val="241"/>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720" w:type="dxa"/>
            <w:vAlign w:val="bottom"/>
            <w:tcBorders>
              <w:bottom w:val="single" w:sz="8" w:color="auto"/>
            </w:tcBorders>
          </w:tcPr>
          <w:p>
            <w:pPr>
              <w:spacing w:after="0"/>
              <w:rPr>
                <w:sz w:val="20"/>
                <w:szCs w:val="20"/>
                <w:color w:val="auto"/>
              </w:rPr>
            </w:pPr>
          </w:p>
        </w:tc>
      </w:tr>
      <w:tr>
        <w:trPr>
          <w:trHeight w:val="22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1,533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r>
      <w:tr>
        <w:trPr>
          <w:trHeight w:val="229"/>
        </w:trPr>
        <w:tc>
          <w:tcPr>
            <w:tcW w:w="8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Effective state income tax rate, net of federal income tax effect</w:t>
            </w:r>
            <w:r>
              <w:rPr>
                <w:rFonts w:ascii="Times New Roman" w:cs="Times New Roman" w:eastAsia="Times New Roman" w:hAnsi="Times New Roman"/>
                <w:sz w:val="23"/>
                <w:szCs w:val="23"/>
                <w:color w:val="auto"/>
                <w:vertAlign w:val="superscript"/>
              </w:rPr>
              <w:t>(a)</w:t>
            </w:r>
          </w:p>
        </w:tc>
        <w:tc>
          <w:tcPr>
            <w:tcW w:w="480" w:type="dxa"/>
            <w:vAlign w:val="bottom"/>
          </w:tcPr>
          <w:p>
            <w:pPr>
              <w:spacing w:after="0"/>
              <w:rPr>
                <w:sz w:val="19"/>
                <w:szCs w:val="19"/>
                <w:color w:val="auto"/>
              </w:rPr>
            </w:pPr>
          </w:p>
        </w:tc>
        <w:tc>
          <w:tcPr>
            <w:tcW w:w="18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275</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tcPr>
          <w:p>
            <w:pPr>
              <w:spacing w:after="0"/>
              <w:rPr>
                <w:sz w:val="19"/>
                <w:szCs w:val="19"/>
                <w:color w:val="auto"/>
              </w:rPr>
            </w:pPr>
          </w:p>
        </w:tc>
        <w:tc>
          <w:tcPr>
            <w:tcW w:w="18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107</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18</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80" w:type="dxa"/>
            <w:vAlign w:val="bottom"/>
          </w:tcPr>
          <w:p>
            <w:pPr>
              <w:spacing w:after="0"/>
              <w:rPr>
                <w:sz w:val="19"/>
                <w:szCs w:val="19"/>
                <w:color w:val="auto"/>
              </w:rPr>
            </w:pPr>
          </w:p>
        </w:tc>
        <w:tc>
          <w:tcPr>
            <w:tcW w:w="18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(17)</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(63)</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(0.9)</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480" w:type="dxa"/>
            <w:vAlign w:val="bottom"/>
          </w:tcPr>
          <w:p>
            <w:pPr>
              <w:spacing w:after="0"/>
              <w:rPr>
                <w:sz w:val="19"/>
                <w:szCs w:val="19"/>
                <w:color w:val="auto"/>
              </w:rPr>
            </w:pPr>
          </w:p>
        </w:tc>
        <w:tc>
          <w:tcPr>
            <w:tcW w:w="18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(37)</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4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(5)</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9"/>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3"/>
        </w:trPr>
        <w:tc>
          <w:tcPr>
            <w:tcW w:w="82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Worldwide effective income tax rate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1,805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24.7 %</w:t>
            </w:r>
          </w:p>
        </w:tc>
      </w:tr>
    </w:tbl>
    <w:p>
      <w:pPr>
        <w:spacing w:after="0" w:line="16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New York, New Jersey, Massachusetts, Illinois, and Florida make up the majority (greater than 50%) of this category.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changes in tax laws or rates enacted in the current period or changes in valuation allowances which are material for separate disclosure.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8"/>
        </w:trPr>
        <w:tc>
          <w:tcPr>
            <w:tcW w:w="8100" w:type="dxa"/>
            <w:vAlign w:val="bottom"/>
          </w:tcPr>
          <w:p>
            <w:pPr>
              <w:spacing w:after="0"/>
              <w:rPr>
                <w:sz w:val="15"/>
                <w:szCs w:val="15"/>
                <w:color w:val="auto"/>
              </w:rPr>
            </w:pPr>
          </w:p>
        </w:tc>
        <w:tc>
          <w:tcPr>
            <w:tcW w:w="1740" w:type="dxa"/>
            <w:vAlign w:val="bottom"/>
          </w:tcPr>
          <w:p>
            <w:pPr>
              <w:jc w:val="right"/>
              <w:ind w:right="450"/>
              <w:spacing w:after="0" w:line="177" w:lineRule="exact"/>
              <w:rPr>
                <w:sz w:val="20"/>
                <w:szCs w:val="20"/>
                <w:color w:val="auto"/>
              </w:rPr>
            </w:pPr>
            <w:r>
              <w:rPr>
                <w:rFonts w:ascii="Times New Roman" w:cs="Times New Roman" w:eastAsia="Times New Roman" w:hAnsi="Times New Roman"/>
                <w:sz w:val="18"/>
                <w:szCs w:val="18"/>
                <w:color w:val="auto"/>
              </w:rPr>
              <w:t>February 1,</w:t>
            </w:r>
          </w:p>
        </w:tc>
        <w:tc>
          <w:tcPr>
            <w:tcW w:w="140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8"/>
              </w:rPr>
              <w:t>February 3,</w:t>
            </w:r>
          </w:p>
        </w:tc>
      </w:tr>
      <w:tr>
        <w:trPr>
          <w:trHeight w:val="234"/>
        </w:trPr>
        <w:tc>
          <w:tcPr>
            <w:tcW w:w="8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(53 weeks)</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state income tax rate</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share-based compensation</w:t>
            </w: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Worldwide effective income tax rate</w:t>
            </w: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25.0 %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TJX’s effective income tax rate decreased for fiscal 2026 compared to fiscal 2025. The decrease in the fiscal 2026 effective income tax rate is primarily due to a benefit from the acquisition of federal tax credits.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Cash paid (net of refunds received) for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Fiscal Year Ended</w:t>
            </w: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Borders>
              <w:bottom w:val="single" w:sz="8" w:color="auto"/>
            </w:tcBorders>
          </w:tcPr>
          <w:p>
            <w:pPr>
              <w:spacing w:after="0"/>
              <w:rPr>
                <w:sz w:val="20"/>
                <w:szCs w:val="20"/>
                <w:color w:val="auto"/>
              </w:rPr>
            </w:pPr>
          </w:p>
        </w:tc>
      </w:tr>
      <w:tr>
        <w:trPr>
          <w:trHeight w:val="22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20" w:type="dxa"/>
            <w:vAlign w:val="bottom"/>
            <w:shd w:val="clear" w:color="auto" w:fill="CCEEFF"/>
          </w:tcPr>
          <w:p>
            <w:pPr>
              <w:spacing w:after="0"/>
              <w:rPr>
                <w:sz w:val="19"/>
                <w:szCs w:val="19"/>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20" w:type="dxa"/>
            <w:vAlign w:val="bottom"/>
          </w:tcPr>
          <w:p>
            <w:pPr>
              <w:spacing w:after="0"/>
              <w:rPr>
                <w:sz w:val="19"/>
                <w:szCs w:val="19"/>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0" w:type="dxa"/>
            <w:vAlign w:val="bottom"/>
          </w:tcPr>
          <w:p>
            <w:pPr>
              <w:spacing w:after="0"/>
              <w:rPr>
                <w:sz w:val="19"/>
                <w:szCs w:val="19"/>
                <w:color w:val="auto"/>
              </w:rPr>
            </w:pPr>
          </w:p>
        </w:tc>
      </w:tr>
      <w:tr>
        <w:trPr>
          <w:trHeight w:val="230"/>
        </w:trPr>
        <w:tc>
          <w:tcPr>
            <w:tcW w:w="6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income taxes paid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20" w:type="dxa"/>
            <w:vAlign w:val="bottom"/>
            <w:tcBorders>
              <w:bottom w:val="single" w:sz="8" w:color="auto"/>
            </w:tcBorders>
          </w:tcPr>
          <w:p>
            <w:pPr>
              <w:spacing w:after="0"/>
              <w:rPr>
                <w:sz w:val="19"/>
                <w:szCs w:val="19"/>
                <w:color w:val="auto"/>
              </w:rPr>
            </w:pPr>
          </w:p>
        </w:tc>
      </w:tr>
      <w:tr>
        <w:trPr>
          <w:trHeight w:val="399"/>
        </w:trPr>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gross unrecognized tax benefits, excluding interest and penalties, is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February 3,</w:t>
            </w:r>
          </w:p>
        </w:tc>
        <w:tc>
          <w:tcPr>
            <w:tcW w:w="20" w:type="dxa"/>
            <w:vAlign w:val="bottom"/>
          </w:tcPr>
          <w:p>
            <w:pPr>
              <w:spacing w:after="0"/>
              <w:rPr>
                <w:sz w:val="14"/>
                <w:szCs w:val="14"/>
                <w:color w:val="auto"/>
              </w:rPr>
            </w:pP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r>
      <w:tr>
        <w:trPr>
          <w:trHeight w:val="22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uncertain tax positions taken in current year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uncertain tax positions taken in prior years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uncertain tax positions taken in prior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resulting from lapse of statute of limitations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amount of unrecognized tax benefits that, if recognized, would impact TJX’s effective tax rates is $214 million as of January 31, 2026, $212 million as of February 1, 2025 and $221 million as of February 3, 2024.</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TJX is subject to U.S. federal income tax as well as income tax in multiple state, local and foreign jurisdictions. For U.S. federal income tax purposes, fiscal years through 2010 are no longer subject to examination. The Company is under examination in various jurisdictions, including the U.S. (federal, state and local) as well as foreign, and believes it has adequately provided for all tax positions in such jurisdictions.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TJX’s accounting policy is to classify interest and penalties related to income taxes as part of income tax expense. The Company accrued interest and penalties of $9 million for the fiscal year ended January 31, 2026, $7 million for the fiscal year ended February 1, 2025 and $10 million for the fiscal year ended February 3, 2024. The total accrued amount of interest and penalties was $22 million as of January 31, 2026, $28 million as of February 1, 2025 and $32 million as of February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auto"/>
        </w:rPr>
        <w:t>Note L. Leases</w:t>
      </w:r>
    </w:p>
    <w:p>
      <w:pPr>
        <w:spacing w:after="0" w:line="11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TJX is committed under long-term leases related to its continuing operations for the rental of real estate and certain service contracts containing embedded leases, all of which are operating leases. Real estate leases represent virtually all of the Company’s store locations as well as some of its distribution and fulfillment centers and office space. Most of TJX’s leases in the U.S. and Canada are store operating leases, generally for an initial term of ten years with options to extend the lease term for one or more five year periods. Leases in Europe generally have an initial term of ten to fifteen years and leases in Australia generally have an initial term of ten years, some of which have options to extend. Some of the Company's leases have options to terminate prior to the lease expiration date. The exercise of both lease renewal and termination options is at the Company’s sole discretion, as opposed to the landlord’s discretion, and is not reasonably certain at lease commencement. The Company has deemed that the expense of store renovations makes the renewal of the next lease option reasonably certain to be exercised after these renovations occur.</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the overwhelming majority of leases have fixed payment schedules, some leases have variable lease payments based on market indices adjusted periodically for inflation, or include rental payments based on a percentage of retail sales over contractual levels. In addition, for real estate leases, TJX is generally required to pay insurance, real estate taxes and certain other expenses including common area maintenance based on a proportionate share of premises as compared to the shopping center, and some of these costs are based on a market index, primarily in Canada. For leases with these payments based on a market index, the initial lease payment amount is used in the calculation of the operating lease liability and corresponding operating lease ROU assets included on the Consolidated Balance Sheets. Future payment changes to these market index rate leases are not reflected in the operating lease liability and are instead included in variable lease cost. Variable lease cost also includes variable operating expenses for third party service centers and dedicated transportation contracts that are deemed embedded leases. The operating lease ROU assets also includes any lease payments made in advance of the assets’ use and is reduced by lease incentives received. Lease expense for lease payments is recognized on a straight-line basis over the lease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37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5"/>
                <w:szCs w:val="15"/>
                <w:color w:val="auto"/>
              </w:rPr>
            </w:pPr>
          </w:p>
        </w:tc>
        <w:tc>
          <w:tcPr>
            <w:tcW w:w="1280" w:type="dxa"/>
            <w:vAlign w:val="bottom"/>
          </w:tcPr>
          <w:p>
            <w:pPr>
              <w:jc w:val="right"/>
              <w:ind w:right="290"/>
              <w:spacing w:after="0" w:line="174" w:lineRule="exact"/>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 years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412"/>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fiscal years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240" w:type="dxa"/>
            <w:vAlign w:val="bottom"/>
          </w:tcPr>
          <w:p>
            <w:pPr>
              <w:spacing w:after="0"/>
              <w:rPr>
                <w:sz w:val="14"/>
                <w:szCs w:val="14"/>
                <w:color w:val="auto"/>
              </w:rPr>
            </w:pPr>
          </w:p>
        </w:tc>
        <w:tc>
          <w:tcPr>
            <w:tcW w:w="12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18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February 3,</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(53 weeks)</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cost</w:t>
            </w:r>
          </w:p>
        </w:tc>
        <w:tc>
          <w:tcPr>
            <w:tcW w:w="37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 occupancy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2,196</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spacing w:after="0"/>
              <w:rPr>
                <w:sz w:val="21"/>
                <w:szCs w:val="21"/>
                <w:color w:val="auto"/>
              </w:rPr>
            </w:pPr>
          </w:p>
        </w:tc>
        <w:tc>
          <w:tcPr>
            <w:tcW w:w="3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costs</w:t>
            </w:r>
          </w:p>
        </w:tc>
        <w:tc>
          <w:tcPr>
            <w:tcW w:w="200" w:type="dxa"/>
            <w:vAlign w:val="bottom"/>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and short term lease cost</w:t>
            </w:r>
          </w:p>
        </w:tc>
        <w:tc>
          <w:tcPr>
            <w:tcW w:w="376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 occupancy</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1,618</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costs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3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3,814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February 1,</w:t>
            </w:r>
          </w:p>
        </w:tc>
        <w:tc>
          <w:tcPr>
            <w:tcW w:w="22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February 3,</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 weeks)</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 of use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41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as of January 31, 2026 summarizes the maturity of lease liabilities under operating leases: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2,259</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2,123</w:t>
            </w: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1,886</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r>
      <w:tr>
        <w:trPr>
          <w:trHeight w:val="229"/>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Later years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2,930</w:t>
            </w:r>
          </w:p>
        </w:tc>
      </w:tr>
      <w:tr>
        <w:trPr>
          <w:trHeight w:val="22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9"/>
                <w:szCs w:val="9"/>
                <w:color w:val="auto"/>
              </w:rPr>
              <w:t>(a)</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12,119</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9"/>
                <w:szCs w:val="9"/>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w:t>
            </w:r>
          </w:p>
        </w:tc>
      </w:tr>
      <w:tr>
        <w:trPr>
          <w:trHeight w:val="223"/>
        </w:trPr>
        <w:tc>
          <w:tcPr>
            <w:tcW w:w="6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lease liabilities</w:t>
            </w:r>
            <w:r>
              <w:rPr>
                <w:rFonts w:ascii="Times New Roman" w:cs="Times New Roman" w:eastAsia="Times New Roman" w:hAnsi="Times New Roman"/>
                <w:sz w:val="9"/>
                <w:szCs w:val="9"/>
                <w:b w:val="1"/>
                <w:bCs w:val="1"/>
                <w:color w:val="auto"/>
              </w:rPr>
              <w:t>(c)</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10,620</w:t>
            </w:r>
          </w:p>
        </w:tc>
      </w:tr>
    </w:tbl>
    <w:p>
      <w:pPr>
        <w:spacing w:after="0" w:line="112" w:lineRule="exact"/>
        <w:rPr>
          <w:sz w:val="20"/>
          <w:szCs w:val="20"/>
          <w:color w:val="auto"/>
        </w:rPr>
      </w:pPr>
    </w:p>
    <w:p>
      <w:pPr>
        <w:ind w:left="340" w:right="520" w:hanging="332"/>
        <w:spacing w:after="0" w:line="301"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exclude legally binding minimum lease payments for leases signed but not yet commenced and include options to extend lease terms that are now deemed reasonably certain of being exercised according to the Company’s Lease Accounting Policy.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incremental borrowing rate for each lease.</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lease liabilities are broken out on the Consolidated Balance Sheets between Current portion of operating lease liabilities and Long-term operating lease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M. Accrued Expenses and Other Liabilities, Current and Long-Term</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accrued expenses and other current liabilities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current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credits and gift certificates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costs, including rent, utilities and real estate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additions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collections and V.A.T.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3"/>
        </w:trPr>
        <w:tc>
          <w:tcPr>
            <w:tcW w:w="8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5,891</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r>
    </w:tbl>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other current liabilities primarily include accruals for insurance, customer rewards liability, expenses payable, reserve for sales returns, professional fees, reserve for taxes, warehouse services, advertising, and other items, each of which is individually less than 5% of current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other long-term liabilities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long-term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reserve, long-term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N. Contingent Obligations, Contingencies, and Commitments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Contractual Obligations</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TJX is subject to certain legal proceedings, lawsuits, disputes and claims that arise from time to time in the ordinary course of its business. TJX has accrued immaterial amounts in the accompanying Consolidated Financial Statements for certain of its legal proceedings.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TJX had outstanding letters of credit totaling $13 million as of January 31, 2026 and $36 million as of February 1, 2025. Letters of credit are issued by TJX primarily for the purchase of inventory.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O. Supplemental Cash Flow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cash payments for interest and income taxes and non-cash investing and financing activities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February 1,</w:t>
            </w: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8"/>
              </w:rPr>
              <w:t>February 3,</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5"/>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(53 weeks)</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additions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891"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TJX COMPANIES,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STOCK INCENTIVE PLAN</w:t>
      </w:r>
    </w:p>
    <w:p>
      <w:pPr>
        <w:jc w:val="center"/>
        <w:spacing w:after="0"/>
        <w:rPr>
          <w:sz w:val="20"/>
          <w:szCs w:val="20"/>
          <w:color w:val="auto"/>
        </w:rPr>
      </w:pPr>
      <w:r>
        <w:rPr>
          <w:rFonts w:ascii="Times New Roman" w:cs="Times New Roman" w:eastAsia="Times New Roman" w:hAnsi="Times New Roman"/>
          <w:sz w:val="20"/>
          <w:szCs w:val="20"/>
          <w:color w:val="auto"/>
        </w:rPr>
        <w:t>(2022 Restatement)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First Amendment</w:t>
      </w:r>
    </w:p>
    <w:p>
      <w:pPr>
        <w:spacing w:after="0" w:line="243"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0"/>
          <w:szCs w:val="20"/>
          <w:color w:val="auto"/>
        </w:rPr>
        <w:t>Pursuant to Section 10 of The TJX Companies, Inc. Stock Incentive Plan (2022 Restatement) (the “Plan”), The TJX Companies, Inc. (the “Company”), by authorization of the Compensation Committee of the Company’s Board of Directors, hereby amends the Plan as follows, effective as of January 30, 2026:</w:t>
      </w:r>
    </w:p>
    <w:p>
      <w:pPr>
        <w:spacing w:after="0" w:line="19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14(gg) of the Plan is hereby replaced in its entirety with the following text:</w:t>
      </w:r>
    </w:p>
    <w:p>
      <w:pPr>
        <w:spacing w:after="0" w:line="229" w:lineRule="exact"/>
        <w:rPr>
          <w:rFonts w:ascii="Times New Roman" w:cs="Times New Roman" w:eastAsia="Times New Roman" w:hAnsi="Times New Roman"/>
          <w:sz w:val="20"/>
          <w:szCs w:val="20"/>
          <w:color w:val="auto"/>
        </w:rPr>
      </w:pPr>
    </w:p>
    <w:p>
      <w:pPr>
        <w:ind w:left="660" w:right="60"/>
        <w:spacing w:after="0" w:line="23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Service Recognition’ means, subject to and in accordance with such rules that may be prescribed by the Committee, a Participant’s eligibility for certain specified benefits under the Plan in connection with, or following, termination of employment. Except as otherwise provided by the Committee, a Participant shall be eligible for Special Service Recognition if the Participant is in active employment with the Company and its Subsidiaries at a time when the sum of the Participant’s age and years of service at the Company and its Subsidiaries is greater than or equal to seventy-five (75). For purposes of determining whether a Participant meets the requirements for Special Service Recognition, years of service shall be determined by the Committee; provided, that, except as otherwise provided by the Committee, periods of service for an entity prior to the date such entity becomes a Subsidiary will not be treated as service for purposes of this definition and only completed years of service shall be included. For the avoidance of doubt, a Participant who satisfied the requirements for Special Service Retirement under the terms of the Plan in effect immediately prior to January 30, 2026 shall be eligible for Special Service Recognition as of January 30, 2026.”</w:t>
      </w:r>
    </w:p>
    <w:p>
      <w:pPr>
        <w:spacing w:after="0" w:line="218" w:lineRule="exact"/>
        <w:rPr>
          <w:rFonts w:ascii="Times New Roman" w:cs="Times New Roman" w:eastAsia="Times New Roman" w:hAnsi="Times New Roman"/>
          <w:sz w:val="20"/>
          <w:szCs w:val="20"/>
          <w:color w:val="auto"/>
        </w:rPr>
      </w:pPr>
    </w:p>
    <w:p>
      <w:pPr>
        <w:ind w:left="660" w:right="20" w:hanging="328"/>
        <w:spacing w:after="0" w:line="237"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hereby further amended to provide that all references to “Special Service Retirement” under the Plan shall be deemed to refer to “Special Service Recognition”; and all references to a termination of employment by reason of a Special Service Retirement (or similar terms), or the date or timing of such a termination, shall be deemed to refer to a termination of employment for any reason (other than for Cause) at a time when the individual has satisfied the requirements for Special Service Recognition, or (as applicable) the date or timing of such termination.</w:t>
      </w:r>
    </w:p>
    <w:p>
      <w:pPr>
        <w:sectPr>
          <w:pgSz w:w="11900" w:h="16838" w:orient="portrait"/>
          <w:cols w:equalWidth="0" w:num="1">
            <w:col w:w="11240"/>
          </w:cols>
          <w:pgMar w:left="320" w:top="84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SUBSIDIARIES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the following subsidiaries are either directly or indirectly owned by The TJX Companies,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9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Maxx of CA,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 Maxx of IL,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Digital,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T.J. Maxx, Marshalls</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Merchants,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Arizona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Charlotte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North Carolina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Distributors,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Manteca Merchants,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California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Merchants,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Nevada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Philadelphia Merchants,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Pittston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San Antonio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Digital Memphis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Digital Dayton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Beacon, VA.,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CA,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Elizabeth, NJ,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New Jersey</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IL,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MA,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Richfield, MN.,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Minnesota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Newton Buying Company of CA,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Marshalls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Atlanta Merchants, Inc.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Georgia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Bridgewater Merchants,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Nevada,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Woburn Merchants,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El Paso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Marmaxx Operating Corp.</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T.J.Maxx, Marshalls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HomeGoods, Homesense</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H.G. AZ Merchants,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Arizona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 Conn.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Connecticut</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H.G. Georgia Merchants,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Georgia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 Indiana Distributors,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HomeGoods Ohio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 Imports Corp.</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HomeGoods Fort Worth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Sierra Trading Post,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Wyoming</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Sierra</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STP Retail,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Wyoming</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Concord Buying Group,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New Hampshire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Apparel,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6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Apparel,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Attire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Massachusetts</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GP,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Holding,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Manager,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Operating, LP</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Trading, Inc.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Trust</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Massachusetts</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Newton Buying Corp.</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Newton Buying Imports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Strathmex Corp.</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Incentive Sales, Inc.</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OCP Investments, Inc.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Australia Holding Company Pty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Australia Merchants Pty Limited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Australia Pty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Austria Holding GmbH</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Austria</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Oesterreich Ltd. &amp; Co. KG</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Austria</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Atlantic Holding Ltd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Bermuda</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Atlantic Ltd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Bermuda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WMI-1 Holding Company</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Nova Scotia, Canada</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WMI-99 Holding Company</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Nova Scotia, Canada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Winners Merchants International L.P.</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Ontario, Canada</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Winners, HomeSense &amp; Marshalls</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T.K. Maxx Holding GmbH</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T.K. Maxx Management GmbH</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Deutschland Ltd &amp; Co. KG</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Distribution Ltd &amp; Co. KG</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Hong Kong Merchants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Hong Kong</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Fashion India Private Limited</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India</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Global Capability Center Private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India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Ireland Unlimited Company</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Ireland</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T.K. Maxx, HomeSense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Germany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Ireland</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Italy Merchants S.r.l.</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Italy</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Fashion Mexico, S. DE R.L. DE C.V.</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Mexico</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Nederland B.V.</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Netherlands</w:t>
            </w:r>
          </w:p>
        </w:tc>
        <w:tc>
          <w:tcPr>
            <w:tcW w:w="3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European Distribution Sp. Z o.o</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Poland</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Poland Sp. Z o.o</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Poland</w:t>
            </w:r>
          </w:p>
        </w:tc>
        <w:tc>
          <w:tcPr>
            <w:tcW w:w="3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Department Stores de Puerto</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Puerto Rico</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T.J. Maxx, Marshalls &amp;</w:t>
            </w:r>
          </w:p>
        </w:tc>
      </w:tr>
      <w:tr>
        <w:trPr>
          <w:trHeight w:val="230"/>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Rico, Inc.</w:t>
            </w:r>
          </w:p>
        </w:tc>
        <w:tc>
          <w:tcPr>
            <w:tcW w:w="3660" w:type="dxa"/>
            <w:vAlign w:val="bottom"/>
          </w:tcPr>
          <w:p>
            <w:pPr>
              <w:spacing w:after="0"/>
              <w:rPr>
                <w:sz w:val="19"/>
                <w:szCs w:val="19"/>
                <w:color w:val="auto"/>
              </w:rPr>
            </w:pP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HomeGoods</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Trading Spain, S.L.U.</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Spain</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Europe Ltd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United Kingdom</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Buying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United Kingdom</w:t>
            </w:r>
          </w:p>
        </w:tc>
        <w:tc>
          <w:tcPr>
            <w:tcW w:w="34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9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9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Europe Buying Group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Buying (Deutschland) Limited</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Europe Buying (Polska)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Limited</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Austria Management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UK</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T.K. Maxx, Homesense</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UK Property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 Holding Limited</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TK Maxx</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Vietnam Company Limited</w:t>
            </w:r>
          </w:p>
        </w:tc>
        <w:tc>
          <w:tcPr>
            <w:tcW w:w="39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Vietnam</w:t>
            </w:r>
          </w:p>
        </w:tc>
        <w:tc>
          <w:tcPr>
            <w:tcW w:w="334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Leasing Subsidiaries</w:t>
            </w:r>
          </w:p>
        </w:tc>
        <w:tc>
          <w:tcPr>
            <w:tcW w:w="43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37"/>
        </w:trPr>
        <w:tc>
          <w:tcPr>
            <w:tcW w:w="354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AJW South Bend Realty, LLC</w:t>
            </w:r>
          </w:p>
        </w:tc>
        <w:tc>
          <w:tcPr>
            <w:tcW w:w="4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First Realty Corp.</w:t>
            </w:r>
          </w:p>
        </w:tc>
        <w:tc>
          <w:tcPr>
            <w:tcW w:w="4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shd w:val="clear" w:color="auto" w:fill="CCEEFF"/>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Fourth Realty Corp.</w:t>
            </w: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Second Realty Corp.</w:t>
            </w:r>
          </w:p>
        </w:tc>
        <w:tc>
          <w:tcPr>
            <w:tcW w:w="43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Seventh Realty Corp.</w:t>
            </w: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tcPr>
          <w:p>
            <w:pPr>
              <w:spacing w:after="0"/>
              <w:rPr>
                <w:sz w:val="19"/>
                <w:szCs w:val="19"/>
                <w:color w:val="auto"/>
              </w:rPr>
            </w:pP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Sixth Realty Corp.</w:t>
            </w:r>
          </w:p>
        </w:tc>
        <w:tc>
          <w:tcPr>
            <w:tcW w:w="436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North Carolina</w:t>
            </w:r>
          </w:p>
        </w:tc>
        <w:tc>
          <w:tcPr>
            <w:tcW w:w="334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S-8 (Nos. 333-267095, 333-189511, 333-169297, 333-162218, 333-116277, 333-86966, 333-63293, and 333-35073) of The TJX Companies, Inc. of our report dated March 31, 2026 relating to the financial statements, financial statement schedule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31, 2026</w:t>
      </w:r>
    </w:p>
    <w:p>
      <w:pPr>
        <w:sectPr>
          <w:pgSz w:w="11900" w:h="16838" w:orient="portrait"/>
          <w:cols w:equalWidth="0" w:num="1">
            <w:col w:w="11240"/>
          </w:cols>
          <w:pgMar w:left="320" w:top="36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Ernie Herrman and John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Klinger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31, 2026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José B. Alvarez</w:t>
            </w:r>
          </w:p>
        </w:tc>
        <w:tc>
          <w:tcPr>
            <w:tcW w:w="252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Amy B. Lane</w:t>
            </w:r>
          </w:p>
        </w:tc>
        <w:tc>
          <w:tcPr>
            <w:tcW w:w="3460" w:type="dxa"/>
            <w:vAlign w:val="bottom"/>
            <w:gridSpan w:val="4"/>
          </w:tcPr>
          <w:p>
            <w:pPr>
              <w:spacing w:after="0"/>
              <w:rPr>
                <w:sz w:val="17"/>
                <w:szCs w:val="17"/>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B. Alvarez,</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Amy B. Lane, Director</w:t>
            </w:r>
          </w:p>
        </w:tc>
      </w:tr>
      <w:tr>
        <w:trPr>
          <w:trHeight w:val="473"/>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Alan M. Bennett</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/s/ Carol Meyrowitz</w:t>
            </w:r>
          </w:p>
        </w:tc>
      </w:tr>
      <w:tr>
        <w:trPr>
          <w:trHeight w:val="20"/>
        </w:trPr>
        <w:tc>
          <w:tcPr>
            <w:tcW w:w="13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Alan M. Bennett,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w w:val="99"/>
              </w:rPr>
              <w:t>Carol Meyrowitz, Executive Chairman of the Board of Directors</w:t>
            </w:r>
          </w:p>
        </w:tc>
      </w:tr>
      <w:tr>
        <w:trPr>
          <w:trHeight w:val="729"/>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Rosemary T. Berkery</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/s/ Jackwyn L. Nemerov</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Rosemary T. Berkery,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Jackwyn L. Nemerov, Director</w:t>
            </w:r>
          </w:p>
        </w:tc>
      </w:tr>
      <w:tr>
        <w:trPr>
          <w:trHeight w:val="729"/>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T. Ching</w:t>
            </w:r>
          </w:p>
        </w:tc>
        <w:tc>
          <w:tcPr>
            <w:tcW w:w="254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6"/>
              </w:rPr>
              <w:t>/s/ Charles F. Wagner, Jr.</w:t>
            </w:r>
          </w:p>
        </w:tc>
        <w:tc>
          <w:tcPr>
            <w:tcW w:w="2860" w:type="dxa"/>
            <w:vAlign w:val="bottom"/>
          </w:tcPr>
          <w:p>
            <w:pPr>
              <w:spacing w:after="0"/>
              <w:rPr>
                <w:sz w:val="24"/>
                <w:szCs w:val="24"/>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David T. Ching,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Charles F. Wagner, Jr., Director</w:t>
            </w:r>
          </w:p>
        </w:tc>
      </w:tr>
      <w:tr>
        <w:trPr>
          <w:trHeight w:val="958"/>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C. Kim Goodwin</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
        </w:trPr>
        <w:tc>
          <w:tcPr>
            <w:tcW w:w="1460" w:type="dxa"/>
            <w:vAlign w:val="bottom"/>
            <w:gridSpan w:val="4"/>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 Kim Goodwin, Director</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110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Dated: March 31, 2026</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Ernie Herrman, certify that:</w:t>
      </w:r>
    </w:p>
    <w:p>
      <w:pPr>
        <w:spacing w:after="0" w:line="50" w:lineRule="exact"/>
        <w:rPr>
          <w:sz w:val="20"/>
          <w:szCs w:val="20"/>
          <w:color w:val="auto"/>
        </w:rPr>
      </w:pPr>
    </w:p>
    <w:p>
      <w:pPr>
        <w:ind w:left="600" w:hanging="547"/>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34290</wp:posOffset>
            </wp:positionV>
            <wp:extent cx="31635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Ernie Herrman</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Klinger, certify that:</w:t>
      </w:r>
    </w:p>
    <w:p>
      <w:pPr>
        <w:spacing w:after="0" w:line="50" w:lineRule="exact"/>
        <w:rPr>
          <w:sz w:val="20"/>
          <w:szCs w:val="20"/>
          <w:color w:val="auto"/>
        </w:rPr>
      </w:pPr>
    </w:p>
    <w:p>
      <w:pPr>
        <w:ind w:left="600" w:hanging="547"/>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34290</wp:posOffset>
            </wp:positionV>
            <wp:extent cx="31635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John Klinger</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2" w:lineRule="exact"/>
        <w:rPr>
          <w:sz w:val="20"/>
          <w:szCs w:val="20"/>
          <w:color w:val="auto"/>
        </w:rPr>
      </w:pPr>
    </w:p>
    <w:p>
      <w:pPr>
        <w:ind w:left="700" w:right="560" w:hanging="647"/>
        <w:spacing w:after="0" w:line="237"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fiscal year ended January 31, 2026 fully complies with the requirements of Section 13(a) or 15(d) of the Securities Exchange Act of 1934; and</w:t>
      </w:r>
    </w:p>
    <w:p>
      <w:pPr>
        <w:spacing w:after="0" w:line="131" w:lineRule="exact"/>
        <w:rPr>
          <w:sz w:val="20"/>
          <w:szCs w:val="20"/>
          <w:color w:val="auto"/>
        </w:rPr>
      </w:pPr>
    </w:p>
    <w:p>
      <w:pPr>
        <w:ind w:left="700" w:right="360" w:hanging="647"/>
        <w:spacing w:after="0" w:line="237"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fiscal year ended January 31, 2026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Ernie Herrman</w:t>
      </w:r>
    </w:p>
    <w:p>
      <w:pPr>
        <w:spacing w:after="0" w:line="27" w:lineRule="exact"/>
        <w:rPr>
          <w:sz w:val="20"/>
          <w:szCs w:val="20"/>
          <w:color w:val="auto"/>
        </w:rPr>
      </w:pPr>
    </w:p>
    <w:tbl>
      <w:tblPr>
        <w:tblLayout w:type="fixed"/>
        <w:tblInd w:w="682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Ernie Herrman</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2" w:lineRule="exact"/>
        <w:rPr>
          <w:sz w:val="20"/>
          <w:szCs w:val="20"/>
          <w:color w:val="auto"/>
        </w:rPr>
      </w:pPr>
    </w:p>
    <w:p>
      <w:pPr>
        <w:ind w:left="700" w:right="560" w:hanging="647"/>
        <w:spacing w:after="0" w:line="237"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fiscal year ended January 31, 2026 fully complies with the requirements of Section 13(a) or 15(d) of the Securities Exchange Act of 1934; and</w:t>
      </w:r>
    </w:p>
    <w:p>
      <w:pPr>
        <w:spacing w:after="0" w:line="131" w:lineRule="exact"/>
        <w:rPr>
          <w:sz w:val="20"/>
          <w:szCs w:val="20"/>
          <w:color w:val="auto"/>
        </w:rPr>
      </w:pPr>
    </w:p>
    <w:p>
      <w:pPr>
        <w:ind w:left="700" w:right="360" w:hanging="647"/>
        <w:spacing w:after="0" w:line="237"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fiscal year ended January 31, 2026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John Klinger</w:t>
      </w:r>
    </w:p>
    <w:p>
      <w:pPr>
        <w:spacing w:after="0" w:line="27" w:lineRule="exact"/>
        <w:rPr>
          <w:sz w:val="20"/>
          <w:szCs w:val="20"/>
          <w:color w:val="auto"/>
        </w:rPr>
      </w:pPr>
    </w:p>
    <w:tbl>
      <w:tblPr>
        <w:tblLayout w:type="fixed"/>
        <w:tblInd w:w="682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John Klinger</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endash "/>
      <w:numFmt w:val="bullet"/>
      <w:start w:val="1"/>
    </w:lvl>
  </w:abstractNum>
  <w:abstractNum w:abstractNumId="4">
    <w:nsid w:val="519B500D"/>
    <w:multiLevelType w:val="hybridMultilevel"/>
    <w:lvl w:ilvl="0">
      <w:lvlJc w:val="left"/>
      <w:lvlText w:val="\endash "/>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endash "/>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endash "/>
      <w:numFmt w:val="bullet"/>
      <w:start w:val="1"/>
    </w:lvl>
  </w:abstractNum>
  <w:abstractNum w:abstractNumId="10">
    <w:nsid w:val="436C6125"/>
    <w:multiLevelType w:val="hybridMultilevel"/>
    <w:lvl w:ilvl="0">
      <w:lvlJc w:val="left"/>
      <w:lvlText w:val="\endash "/>
      <w:numFmt w:val="bullet"/>
      <w:start w:val="1"/>
    </w:lvl>
  </w:abstractNum>
  <w:abstractNum w:abstractNumId="11">
    <w:nsid w:val="628C895D"/>
    <w:multiLevelType w:val="hybridMultilevel"/>
    <w:lvl w:ilvl="0">
      <w:lvlJc w:val="left"/>
      <w:lvlText w:val="(%1)"/>
      <w:numFmt w:val="lowerRoman"/>
      <w:start w:val="2"/>
    </w:lvl>
  </w:abstractNum>
  <w:abstractNum w:abstractNumId="12">
    <w:nsid w:val="333AB105"/>
    <w:multiLevelType w:val="hybridMultilevel"/>
    <w:lvl w:ilvl="0">
      <w:lvlJc w:val="left"/>
      <w:lvlText w:val="\endash "/>
      <w:numFmt w:val="bullet"/>
      <w:start w:val="1"/>
    </w:lvl>
  </w:abstractNum>
  <w:abstractNum w:abstractNumId="13">
    <w:nsid w:val="721DA317"/>
    <w:multiLevelType w:val="hybridMultilevel"/>
    <w:lvl w:ilvl="0">
      <w:lvlJc w:val="left"/>
      <w:lvlText w:val="%1"/>
      <w:numFmt w:val="decimal"/>
      <w:start w:val="21"/>
    </w:lvl>
  </w:abstractNum>
  <w:abstractNum w:abstractNumId="14">
    <w:nsid w:val="2443A858"/>
    <w:multiLevelType w:val="hybridMultilevel"/>
    <w:lvl w:ilvl="0">
      <w:lvlJc w:val="left"/>
      <w:lvlText w:val="%1"/>
      <w:numFmt w:val="decimal"/>
      <w:start w:val="23"/>
    </w:lvl>
  </w:abstractNum>
  <w:abstractNum w:abstractNumId="15">
    <w:nsid w:val="2D1D5AE9"/>
    <w:multiLevelType w:val="hybridMultilevel"/>
    <w:lvl w:ilvl="0">
      <w:lvlJc w:val="left"/>
      <w:lvlText w:val="%1"/>
      <w:numFmt w:val="decimal"/>
      <w:start w:val="101"/>
    </w:lvl>
  </w:abstractNum>
  <w:abstractNum w:abstractNumId="16">
    <w:nsid w:val="6763845E"/>
    <w:multiLevelType w:val="hybridMultilevel"/>
    <w:lvl w:ilvl="0">
      <w:lvlJc w:val="left"/>
      <w:lvlText w:val="*"/>
      <w:numFmt w:val="bullet"/>
      <w:start w:val="1"/>
    </w:lvl>
    <w:lvl w:ilvl="1">
      <w:lvlJc w:val="left"/>
      <w:lvlText w:val="%2"/>
      <w:numFmt w:val="decimal"/>
      <w:start w:val="104"/>
    </w:lvl>
  </w:abstractNum>
  <w:abstractNum w:abstractNumId="17">
    <w:nsid w:val="75A2A8D4"/>
    <w:multiLevelType w:val="hybridMultilevel"/>
    <w:lvl w:ilvl="0">
      <w:lvlJc w:val="left"/>
      <w:lvlText w:val="**"/>
      <w:numFmt w:val="bullet"/>
      <w:start w:val="1"/>
    </w:lvl>
    <w:lvl w:ilvl="1">
      <w:lvlJc w:val="left"/>
      <w:lvlText w:val="%2"/>
      <w:numFmt w:val="decimal"/>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bullet"/>
      <w:start w:val="1"/>
    </w:lvl>
  </w:abstractNum>
  <w:abstractNum w:abstractNumId="27">
    <w:nsid w:val="2901D82"/>
    <w:multiLevelType w:val="hybridMultilevel"/>
    <w:lvl w:ilvl="0">
      <w:lvlJc w:val="left"/>
      <w:lvlText w:val="2"/>
      <w:numFmt w:val="bullet"/>
      <w:start w:val="1"/>
    </w:lvl>
  </w:abstractNum>
  <w:abstractNum w:abstractNumId="28">
    <w:nsid w:val="3A95F874"/>
    <w:multiLevelType w:val="hybridMultilevel"/>
    <w:lvl w:ilvl="0">
      <w:lvlJc w:val="left"/>
      <w:lvlText w:val="1"/>
      <w:numFmt w:val="bullet"/>
      <w:start w:val="1"/>
    </w:lvl>
  </w:abstractNum>
  <w:abstractNum w:abstractNumId="29">
    <w:nsid w:val="813864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82" Type="http://schemas.openxmlformats.org/officeDocument/2006/relationships/image" Target="media/image45.png"/><Relationship Id="rId109" Type="http://schemas.openxmlformats.org/officeDocument/2006/relationships/image" Target="media/image46.png"/><Relationship Id="rId113" Type="http://schemas.openxmlformats.org/officeDocument/2006/relationships/image" Target="media/image47.png"/><Relationship Id="rId114" Type="http://schemas.openxmlformats.org/officeDocument/2006/relationships/image" Target="media/image48.png"/><Relationship Id="rId115" Type="http://schemas.openxmlformats.org/officeDocument/2006/relationships/image" Target="media/image49.png"/><Relationship Id="rId117" Type="http://schemas.openxmlformats.org/officeDocument/2006/relationships/image" Target="media/image50.png"/><Relationship Id="rId118" Type="http://schemas.openxmlformats.org/officeDocument/2006/relationships/image" Target="media/image51.png"/><Relationship Id="rId119" Type="http://schemas.openxmlformats.org/officeDocument/2006/relationships/image" Target="media/image52.png"/><Relationship Id="rId120" Type="http://schemas.openxmlformats.org/officeDocument/2006/relationships/image" Target="media/image53.png"/><Relationship Id="rId121" Type="http://schemas.openxmlformats.org/officeDocument/2006/relationships/image" Target="media/image54.png"/><Relationship Id="rId122" Type="http://schemas.openxmlformats.org/officeDocument/2006/relationships/image" Target="media/image55.png"/><Relationship Id="rId123" Type="http://schemas.openxmlformats.org/officeDocument/2006/relationships/image" Target="media/image56.png"/><Relationship Id="rId124" Type="http://schemas.openxmlformats.org/officeDocument/2006/relationships/image" Target="media/image57.png"/><Relationship Id="rId125" Type="http://schemas.openxmlformats.org/officeDocument/2006/relationships/image" Target="media/image58.png"/><Relationship Id="rId126" Type="http://schemas.openxmlformats.org/officeDocument/2006/relationships/image" Target="media/image59.png"/><Relationship Id="rId127" Type="http://schemas.openxmlformats.org/officeDocument/2006/relationships/image" Target="media/image60.png"/><Relationship Id="rId128" Type="http://schemas.openxmlformats.org/officeDocument/2006/relationships/image" Target="media/image61.png"/><Relationship Id="rId129" Type="http://schemas.openxmlformats.org/officeDocument/2006/relationships/image" Target="media/image62.png"/><Relationship Id="rId130" Type="http://schemas.openxmlformats.org/officeDocument/2006/relationships/image" Target="media/image63.png"/><Relationship Id="rId131"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52" Type="http://schemas.openxmlformats.org/officeDocument/2006/relationships/hyperlink" Target="https://www.sec.gov/Archives/edgar/data/109198/000162828019003834/tjx-20190202exhibit3i1.htm" TargetMode="External"/><Relationship Id="rId53" Type="http://schemas.openxmlformats.org/officeDocument/2006/relationships/hyperlink" Target="https://www.sec.gov/Archives/edgar/data/109198/000010919824000052/exhibit31by-lawsasamendeda.htm" TargetMode="External"/><Relationship Id="rId54" Type="http://schemas.openxmlformats.org/officeDocument/2006/relationships/hyperlink" Target="https://www.sec.gov/Archives/edgar/data/109198/000119312516707413/d252599dex41.htm" TargetMode="External"/><Relationship Id="rId55" Type="http://schemas.openxmlformats.org/officeDocument/2006/relationships/hyperlink" Target="https://www.sec.gov/Archives/edgar/data/109198/000119312516707413/d252599dex42.htm" TargetMode="External"/><Relationship Id="rId56" Type="http://schemas.openxmlformats.org/officeDocument/2006/relationships/hyperlink" Target="https://www.sec.gov/Archives/edgar/data/109198/000119312520094680/d911649dex41.htm" TargetMode="External"/><Relationship Id="rId57" Type="http://schemas.openxmlformats.org/officeDocument/2006/relationships/hyperlink" Target="https://www.sec.gov/Archives/edgar/data/109198/000119312520094680/d911649dex44.htm" TargetMode="External"/><Relationship Id="rId58" Type="http://schemas.openxmlformats.org/officeDocument/2006/relationships/hyperlink" Target="https://www.sec.gov/Archives/edgar/data/109198/000119312520094680/d911649dex45.htm" TargetMode="External"/><Relationship Id="rId59" Type="http://schemas.openxmlformats.org/officeDocument/2006/relationships/hyperlink" Target="https://www.sec.gov/Archives/edgar/data/109198/000119312520309635/d83075dex41.htm" TargetMode="External"/><Relationship Id="rId60" Type="http://schemas.openxmlformats.org/officeDocument/2006/relationships/hyperlink" Target="https://www.sec.gov/Archives/edgar/data/109198/000119312520309635/d83075dex42.htm" TargetMode="External"/><Relationship Id="rId61" Type="http://schemas.openxmlformats.org/officeDocument/2006/relationships/hyperlink" Target="https://www.sec.gov/Archives/edgar/data/109198/000010919820000004/tjx-20200201exhibit406.htm" TargetMode="External"/><Relationship Id="rId62" Type="http://schemas.openxmlformats.org/officeDocument/2006/relationships/hyperlink" Target="https://www.sec.gov/Archives/edgar/data/109198/000162828018014818/tjx-20181103xex102.htm" TargetMode="External"/><Relationship Id="rId63" Type="http://schemas.openxmlformats.org/officeDocument/2006/relationships/hyperlink" Target="https://www.sec.gov/Archives/edgar/data/109198/000162828018014818/tjx-20181103xex103.htm" TargetMode="External"/><Relationship Id="rId64" Type="http://schemas.openxmlformats.org/officeDocument/2006/relationships/hyperlink" Target="https://www.sec.gov/Archives/edgar/data/109198/000162828019003834/tjx-10kx20190202exhibit1003.htm" TargetMode="External"/><Relationship Id="rId65" Type="http://schemas.openxmlformats.org/officeDocument/2006/relationships/hyperlink" Target="https://www.sec.gov/Archives/edgar/data/109198/000010919822000008/tjx-20220129exhibit1004.htm" TargetMode="External"/><Relationship Id="rId66" Type="http://schemas.openxmlformats.org/officeDocument/2006/relationships/hyperlink" Target="https://www.sec.gov/Archives/edgar/data/109198/000010919825000010/tjx-20250201xexhibit1005.htm" TargetMode="External"/><Relationship Id="rId67" Type="http://schemas.openxmlformats.org/officeDocument/2006/relationships/hyperlink" Target="https://www.sec.gov/Archives/edgar/data/109198/000162828018014818/tjx-20181103xex104.htm" TargetMode="External"/><Relationship Id="rId68" Type="http://schemas.openxmlformats.org/officeDocument/2006/relationships/hyperlink" Target="https://www.sec.gov/Archives/edgar/data/109198/000162828019003834/tjx-10kx20190202exhibit1005.htm" TargetMode="External"/><Relationship Id="rId69" Type="http://schemas.openxmlformats.org/officeDocument/2006/relationships/hyperlink" Target="https://www.sec.gov/Archives/edgar/data/109198/000010919822000008/tjx-20220129exhibit1007.htm" TargetMode="External"/><Relationship Id="rId70" Type="http://schemas.openxmlformats.org/officeDocument/2006/relationships/hyperlink" Target="https://www.sec.gov/Archives/edgar/data/109198/000010919825000010/tjx-20250201xexhibit1009.htm" TargetMode="External"/><Relationship Id="rId71" Type="http://schemas.openxmlformats.org/officeDocument/2006/relationships/hyperlink" Target="https://www.sec.gov/Archives/edgar/data/109198/000119312518107423/d518812dex106.htm" TargetMode="External"/><Relationship Id="rId72" Type="http://schemas.openxmlformats.org/officeDocument/2006/relationships/hyperlink" Target="https://www.sec.gov/Archives/edgar/data/109198/000162828018014818/tjx-20181103xex107.htm" TargetMode="External"/><Relationship Id="rId73" Type="http://schemas.openxmlformats.org/officeDocument/2006/relationships/hyperlink" Target="https://www.sec.gov/Archives/edgar/data/109198/000162828019003834/tjx-10kx20190202exhibit1016.htm" TargetMode="External"/><Relationship Id="rId74" Type="http://schemas.openxmlformats.org/officeDocument/2006/relationships/hyperlink" Target="https://www.sec.gov/Archives/edgar/data/0000109198/000010919821000006/tjx-20210130exhibit1017.htm" TargetMode="External"/><Relationship Id="rId75" Type="http://schemas.openxmlformats.org/officeDocument/2006/relationships/hyperlink" Target="https://www.sec.gov/Archives/edgar/data/109198/000010919824000014/tjx-20240203xexhibit1017.htm" TargetMode="External"/><Relationship Id="rId76" Type="http://schemas.openxmlformats.org/officeDocument/2006/relationships/hyperlink" Target="https://www.sec.gov/Archives/edgar/data/109198/000010919824000014/tjx-20240203xexhibit1018.htm" TargetMode="External"/><Relationship Id="rId77" Type="http://schemas.openxmlformats.org/officeDocument/2006/relationships/hyperlink" Target="https://www.sec.gov/Archives/edgar/data/109198/000010919824000014/tjx-20240203xexhibit1019.htm" TargetMode="External"/><Relationship Id="rId78" Type="http://schemas.openxmlformats.org/officeDocument/2006/relationships/hyperlink" Target="https://www.sec.gov/Archives/edgar/data/109198/000010919822000044/tjx-20221029xex106.htm" TargetMode="External"/><Relationship Id="rId79" Type="http://schemas.openxmlformats.org/officeDocument/2006/relationships/hyperlink" Target="https://www.sec.gov/Archives/edgar/data/109198/000119312518107423/d518812dex107.htm" TargetMode="External"/><Relationship Id="rId80" Type="http://schemas.openxmlformats.org/officeDocument/2006/relationships/hyperlink" Target="https://www.sec.gov/Archives/edgar/data/109198/000162828018014818/tjx-20181103xex108.htm" TargetMode="External"/><Relationship Id="rId81" Type="http://schemas.openxmlformats.org/officeDocument/2006/relationships/hyperlink" Target="https://www.sec.gov/Archives/edgar/data/109198/000162828019003834/tjx-10kx20190202exhibit1019.htm" TargetMode="External"/><Relationship Id="rId83" Type="http://schemas.openxmlformats.org/officeDocument/2006/relationships/hyperlink" Target="https://www.sec.gov/Archives/edgar/data/109198/000010919821000006/tjx-20210130exhibit1021.htm" TargetMode="External"/><Relationship Id="rId84" Type="http://schemas.openxmlformats.org/officeDocument/2006/relationships/hyperlink" Target="https://www.sec.gov/Archives/edgar/data/109198/000010919824000014/tjx-20240203xexhibit1025.htm" TargetMode="External"/><Relationship Id="rId85" Type="http://schemas.openxmlformats.org/officeDocument/2006/relationships/hyperlink" Target="https://www.sec.gov/Archives/edgar/data/109198/000010919822000041/tjx-20220730xex101.htm" TargetMode="External"/><Relationship Id="rId86" Type="http://schemas.openxmlformats.org/officeDocument/2006/relationships/hyperlink" Target="https://www.sec.gov/Archives/edgar/data/109198/000010919822000044/tjx-20221029xex103.htm" TargetMode="External"/><Relationship Id="rId87" Type="http://schemas.openxmlformats.org/officeDocument/2006/relationships/hyperlink" Target="https://www.sec.gov/Archives/edgar/data/109198/000119312515391899/d60764dex102.htm" TargetMode="External"/><Relationship Id="rId88" Type="http://schemas.openxmlformats.org/officeDocument/2006/relationships/hyperlink" Target="https://www.sec.gov/Archives/edgar/data/109198/000010919822000044/tjx-20221029xex102.htm" TargetMode="External"/><Relationship Id="rId89" Type="http://schemas.openxmlformats.org/officeDocument/2006/relationships/hyperlink" Target="https://www.sec.gov/Archives/edgar/data/109198/000119312516521424/d110852dex1019.htm" TargetMode="External"/><Relationship Id="rId90" Type="http://schemas.openxmlformats.org/officeDocument/2006/relationships/hyperlink" Target="https://www.sec.gov/Archives/edgar/data/109198/000010919822000029/tjx-20220430xex102.htm" TargetMode="External"/><Relationship Id="rId91" Type="http://schemas.openxmlformats.org/officeDocument/2006/relationships/hyperlink" Target="https://www.sec.gov/Archives/edgar/data/109198/000010919822000029/tjx-20220430xex103.htm" TargetMode="External"/><Relationship Id="rId92" Type="http://schemas.openxmlformats.org/officeDocument/2006/relationships/hyperlink" Target="https://www.sec.gov/Archives/edgar/data/109198/000119312515114276/d855793dex1020.htm" TargetMode="External"/><Relationship Id="rId93" Type="http://schemas.openxmlformats.org/officeDocument/2006/relationships/hyperlink" Target="https://www.sec.gov/Archives/edgar/data/109198/000119312516693604/d67632dex102.htm" TargetMode="External"/><Relationship Id="rId94" Type="http://schemas.openxmlformats.org/officeDocument/2006/relationships/hyperlink" Target="https://www.sec.gov/Archives/edgar/data/109198/000010919823000060/tjx-20231028xex101.htm" TargetMode="External"/><Relationship Id="rId95" Type="http://schemas.openxmlformats.org/officeDocument/2006/relationships/hyperlink" Target="https://www.sec.gov/Archives/edgar/data/109198/000119312513138497/d472940dex1022.htm" TargetMode="External"/><Relationship Id="rId96" Type="http://schemas.openxmlformats.org/officeDocument/2006/relationships/hyperlink" Target="https://www.sec.gov/Archives/edgar/data/109198/0000950135-99-002215.txt" TargetMode="External"/><Relationship Id="rId97" Type="http://schemas.openxmlformats.org/officeDocument/2006/relationships/hyperlink" Target="https://www.sec.gov/Archives/edgar/data/109198/000095013500002394/0000950135-00-002394.txt" TargetMode="External"/><Relationship Id="rId98" Type="http://schemas.openxmlformats.org/officeDocument/2006/relationships/hyperlink" Target="https://www.sec.gov/Archives/edgar/data/109198/000095013506001903/b58738tjexv10w17.txt" TargetMode="External"/><Relationship Id="rId99" Type="http://schemas.openxmlformats.org/officeDocument/2006/relationships/hyperlink" Target="https://www.sec.gov/Archives/edgar/data/109198/000095013509002399/b73492tjexv10w17.htm" TargetMode="External"/><Relationship Id="rId100" Type="http://schemas.openxmlformats.org/officeDocument/2006/relationships/hyperlink" Target="https://www.sec.gov/Archives/edgar/data/109198/000119312515206466/d928268dex103.htm" TargetMode="External"/><Relationship Id="rId101" Type="http://schemas.openxmlformats.org/officeDocument/2006/relationships/hyperlink" Target="https://www.sec.gov/Archives/edgar/data/109198/000010919822000008/tjx-20220129exhibit1046.htm" TargetMode="External"/><Relationship Id="rId102" Type="http://schemas.openxmlformats.org/officeDocument/2006/relationships/hyperlink" Target="https://www.sec.gov/Archives/edgar/data/109198/000010919823000031/tjx-2023429xex101.htm" TargetMode="External"/><Relationship Id="rId103" Type="http://schemas.openxmlformats.org/officeDocument/2006/relationships/hyperlink" Target="https://www.sec.gov/Archives/edgar/data/109198/000010919824000014/tjx-20240203xexhibit1049.htm" TargetMode="External"/><Relationship Id="rId104" Type="http://schemas.openxmlformats.org/officeDocument/2006/relationships/hyperlink" Target="https://www.sec.gov/Archives/edgar/data/109198/000010919823000004/tjx-20230128exhibit1055.htm" TargetMode="External"/><Relationship Id="rId105" Type="http://schemas.openxmlformats.org/officeDocument/2006/relationships/hyperlink" Target="https://www.sec.gov/Archives/edgar/data/0000109198/000119312521202939/d169110dex101.htm" TargetMode="External"/><Relationship Id="rId106" Type="http://schemas.openxmlformats.org/officeDocument/2006/relationships/hyperlink" Target="https://www.sec.gov/Archives/edgar/data/109198/000010919823000031/tjx-2023429xex103.htm" TargetMode="External"/><Relationship Id="rId107" Type="http://schemas.openxmlformats.org/officeDocument/2006/relationships/hyperlink" Target="https://www.sec.gov/Archives/edgar/data/109198/000010919823000031/tjx-2023429xex102.htm" TargetMode="External"/><Relationship Id="rId108" Type="http://schemas.openxmlformats.org/officeDocument/2006/relationships/hyperlink" Target="https://www.sec.gov/Archives/edgar/data/109198/000010919825000033/exhibit101-firstamendmentt.htm" TargetMode="External"/><Relationship Id="rId110" Type="http://schemas.openxmlformats.org/officeDocument/2006/relationships/hyperlink" Target="https://www.sec.gov/Archives/edgar/data/109198/000010919825000033/exhibit102-secondamendment.htm" TargetMode="External"/><Relationship Id="rId111" Type="http://schemas.openxmlformats.org/officeDocument/2006/relationships/hyperlink" Target="https://www.sec.gov/Archives/edgar/data/109198/000010919825000010/tjx-20250201xexhibit191.htm" TargetMode="External"/><Relationship Id="rId112" Type="http://schemas.openxmlformats.org/officeDocument/2006/relationships/hyperlink" Target="https://www.sec.gov/Archives/edgar/data/109198/000010919825000010/tjx-20250201xexhibit192.htm" TargetMode="External"/><Relationship Id="rId116" Type="http://schemas.openxmlformats.org/officeDocument/2006/relationships/hyperlink" Target="https://www.sec.gov/Archives/edgar/data/109198/000010919824000014/tjx-20240203x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2026-03-31T10:38:23Z</dcterms:created>
  <dcterms:modified xsi:type="dcterms:W3CDTF">2026-03-31T10:38:23Z</dcterms:modified>
</cp:coreProperties>
</file>