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November 19, 2025</w:t>
      </w:r>
    </w:p>
    <w:p>
      <w:pPr>
        <w:spacing w:after="0" w:line="3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THE TJX COMPANIES, INC.</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9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1-4908</w:t>
            </w:r>
          </w:p>
        </w:tc>
        <w:tc>
          <w:tcPr>
            <w:tcW w:w="520" w:type="dxa"/>
            <w:vAlign w:val="bottom"/>
          </w:tcPr>
          <w:p>
            <w:pPr>
              <w:spacing w:after="0"/>
              <w:rPr>
                <w:sz w:val="20"/>
                <w:szCs w:val="20"/>
                <w:color w:val="auto"/>
              </w:rPr>
            </w:pPr>
          </w:p>
        </w:tc>
        <w:tc>
          <w:tcPr>
            <w:tcW w:w="3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04-2207613</w:t>
            </w:r>
          </w:p>
        </w:tc>
      </w:tr>
      <w:tr>
        <w:trPr>
          <w:trHeight w:val="27"/>
        </w:trPr>
        <w:tc>
          <w:tcPr>
            <w:tcW w:w="3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520" w:type="dxa"/>
            <w:vAlign w:val="bottom"/>
          </w:tcPr>
          <w:p>
            <w:pPr>
              <w:spacing w:after="0"/>
              <w:rPr>
                <w:sz w:val="20"/>
                <w:szCs w:val="20"/>
                <w:color w:val="auto"/>
              </w:rPr>
            </w:pPr>
          </w:p>
        </w:tc>
        <w:tc>
          <w:tcPr>
            <w:tcW w:w="3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(Commission File Number)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73"/>
        </w:trPr>
        <w:tc>
          <w:tcPr>
            <w:tcW w:w="3380" w:type="dxa"/>
            <w:vAlign w:val="bottom"/>
          </w:tcPr>
          <w:p>
            <w:pPr>
              <w:spacing w:after="0"/>
              <w:rPr>
                <w:sz w:val="24"/>
                <w:szCs w:val="24"/>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770 Cochituate Road, Framingham, MA 01701</w:t>
            </w:r>
          </w:p>
        </w:tc>
        <w:tc>
          <w:tcPr>
            <w:tcW w:w="338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380" w:type="dxa"/>
            <w:vAlign w:val="bottom"/>
          </w:tcPr>
          <w:p>
            <w:pPr>
              <w:spacing w:after="0"/>
              <w:rPr>
                <w:sz w:val="20"/>
                <w:szCs w:val="20"/>
                <w:color w:val="auto"/>
              </w:rPr>
            </w:pPr>
          </w:p>
        </w:tc>
      </w:tr>
      <w:tr>
        <w:trPr>
          <w:trHeight w:val="441"/>
        </w:trPr>
        <w:tc>
          <w:tcPr>
            <w:tcW w:w="3380" w:type="dxa"/>
            <w:vAlign w:val="bottom"/>
          </w:tcPr>
          <w:p>
            <w:pPr>
              <w:spacing w:after="0"/>
              <w:rPr>
                <w:sz w:val="24"/>
                <w:szCs w:val="24"/>
                <w:color w:val="auto"/>
              </w:rPr>
            </w:pPr>
          </w:p>
        </w:tc>
        <w:tc>
          <w:tcPr>
            <w:tcW w:w="39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(508) 390-1000</w:t>
            </w: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380" w:type="dxa"/>
            <w:vAlign w:val="bottom"/>
          </w:tcPr>
          <w:p>
            <w:pPr>
              <w:spacing w:after="0"/>
              <w:rPr>
                <w:sz w:val="20"/>
                <w:szCs w:val="20"/>
                <w:color w:val="auto"/>
              </w:rPr>
            </w:pPr>
          </w:p>
        </w:tc>
      </w:tr>
    </w:tbl>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2760" w:firstLine="26"/>
        <w:spacing w:after="0" w:line="378"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TJX</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54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86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188"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23" w:right="31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2.02.</w:t>
      </w:r>
      <w:r>
        <w:rPr>
          <w:sz w:val="20"/>
          <w:szCs w:val="20"/>
          <w:color w:val="auto"/>
        </w:rPr>
        <w:tab/>
      </w:r>
      <w:r>
        <w:rPr>
          <w:rFonts w:ascii="Times New Roman" w:cs="Times New Roman" w:eastAsia="Times New Roman" w:hAnsi="Times New Roman"/>
          <w:sz w:val="17"/>
          <w:szCs w:val="17"/>
          <w:color w:val="auto"/>
        </w:rPr>
        <w:t>Results of Operations and Financial Condition</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November 19, 2025, The TJX Companies, Inc. issued a press release that included financial results for the fiscal quarter ended November 1, 2025. A copy of the press release is furnished as Exhibit 99.1 hereto.</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information contained in this report, and the exhibits attached hereto, is being furnished and shall not be deemed to be “filed” for purposes of Section 18 of, or otherwise regarded as filed under, the Securities Exchange Act of 1934, as amended (the “Exchange Act”), nor shall it be deemed incorporated by reference into any filing under the Securities Act of 1933, as amended, or the Exchange Act, except as shall be expressly set forth by specific reference in such filing.</w:t>
      </w:r>
    </w:p>
    <w:p>
      <w:pPr>
        <w:spacing w:after="0" w:line="20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9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Exhibit 99.1</w:t>
            </w:r>
          </w:p>
        </w:tc>
        <w:tc>
          <w:tcPr>
            <w:tcW w:w="660" w:type="dxa"/>
            <w:vAlign w:val="bottom"/>
          </w:tcPr>
          <w:p>
            <w:pPr>
              <w:spacing w:after="0"/>
              <w:rPr>
                <w:sz w:val="24"/>
                <w:szCs w:val="24"/>
                <w:color w:val="auto"/>
              </w:rPr>
            </w:pPr>
          </w:p>
        </w:tc>
        <w:tc>
          <w:tcPr>
            <w:tcW w:w="66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0000FF"/>
              </w:rPr>
              <w:t>Press Release of The TJX Companies, Inc. dated November 19, 2025.</w:t>
            </w:r>
          </w:p>
        </w:tc>
      </w:tr>
      <w:tr>
        <w:trPr>
          <w:trHeight w:val="20"/>
        </w:trPr>
        <w:tc>
          <w:tcPr>
            <w:tcW w:w="9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660" w:type="dxa"/>
            <w:vAlign w:val="bottom"/>
          </w:tcPr>
          <w:p>
            <w:pPr>
              <w:spacing w:after="0"/>
              <w:rPr>
                <w:sz w:val="24"/>
                <w:szCs w:val="24"/>
                <w:color w:val="auto"/>
              </w:rPr>
            </w:pPr>
          </w:p>
        </w:tc>
        <w:tc>
          <w:tcPr>
            <w:tcW w:w="66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w w:val="99"/>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12"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19, 2025</w:t>
      </w:r>
    </w:p>
    <w:p>
      <w:pPr>
        <w:spacing w:after="0" w:line="6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John Klinger</w:t>
      </w:r>
    </w:p>
    <w:p>
      <w:pPr>
        <w:spacing w:after="0" w:line="6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224" w:right="379" w:bottom="1440" w:gutter="0" w:footer="0" w:header="0"/>
        </w:sectPr>
      </w:pPr>
    </w:p>
    <w:bookmarkStart w:id="3" w:name="page4"/>
    <w:bookmarkEnd w:id="3"/>
    <w:p>
      <w:pPr>
        <w:ind w:left="982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3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CONTACT:</w:t>
            </w:r>
          </w:p>
        </w:tc>
        <w:tc>
          <w:tcPr>
            <w:tcW w:w="4580" w:type="dxa"/>
            <w:vAlign w:val="bottom"/>
            <w:vMerge w:val="restart"/>
          </w:tcPr>
          <w:p>
            <w:pPr>
              <w:ind w:left="1940"/>
              <w:spacing w:after="0"/>
              <w:rPr>
                <w:sz w:val="20"/>
                <w:szCs w:val="20"/>
                <w:color w:val="auto"/>
              </w:rPr>
            </w:pPr>
            <w:r>
              <w:rPr>
                <w:rFonts w:ascii="Times New Roman" w:cs="Times New Roman" w:eastAsia="Times New Roman" w:hAnsi="Times New Roman"/>
                <w:sz w:val="20"/>
                <w:szCs w:val="20"/>
                <w:b w:val="1"/>
                <w:bCs w:val="1"/>
                <w:color w:val="auto"/>
                <w:w w:val="97"/>
              </w:rPr>
              <w:t>FOR IMMEDIATE RELEASE</w:t>
            </w:r>
          </w:p>
        </w:tc>
        <w:tc>
          <w:tcPr>
            <w:tcW w:w="0" w:type="dxa"/>
            <w:vAlign w:val="bottom"/>
          </w:tcPr>
          <w:p>
            <w:pPr>
              <w:spacing w:after="0"/>
              <w:rPr>
                <w:sz w:val="1"/>
                <w:szCs w:val="1"/>
                <w:color w:val="auto"/>
              </w:rPr>
            </w:pPr>
          </w:p>
        </w:tc>
      </w:tr>
      <w:tr>
        <w:trPr>
          <w:trHeight w:val="256"/>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Debra McConnell</w:t>
            </w:r>
          </w:p>
        </w:tc>
        <w:tc>
          <w:tcPr>
            <w:tcW w:w="4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Global Communications</w:t>
            </w:r>
          </w:p>
        </w:tc>
        <w:tc>
          <w:tcPr>
            <w:tcW w:w="4580" w:type="dxa"/>
            <w:vAlign w:val="bottom"/>
          </w:tcPr>
          <w:p>
            <w:pPr>
              <w:ind w:left="1940"/>
              <w:spacing w:after="0"/>
              <w:rPr>
                <w:sz w:val="20"/>
                <w:szCs w:val="20"/>
                <w:color w:val="auto"/>
              </w:rPr>
            </w:pPr>
            <w:r>
              <w:rPr>
                <w:rFonts w:ascii="Times New Roman" w:cs="Times New Roman" w:eastAsia="Times New Roman" w:hAnsi="Times New Roman"/>
                <w:sz w:val="20"/>
                <w:szCs w:val="20"/>
                <w:color w:val="auto"/>
                <w:w w:val="99"/>
              </w:rPr>
              <w:t>Wednesday, November 19, 2025</w:t>
            </w:r>
          </w:p>
        </w:tc>
        <w:tc>
          <w:tcPr>
            <w:tcW w:w="0" w:type="dxa"/>
            <w:vAlign w:val="bottom"/>
          </w:tcPr>
          <w:p>
            <w:pPr>
              <w:spacing w:after="0"/>
              <w:rPr>
                <w:sz w:val="1"/>
                <w:szCs w:val="1"/>
                <w:color w:val="auto"/>
              </w:rPr>
            </w:pPr>
          </w:p>
        </w:tc>
      </w:tr>
      <w:tr>
        <w:trPr>
          <w:trHeight w:val="258"/>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(508) 390-2323</w:t>
            </w:r>
          </w:p>
        </w:tc>
        <w:tc>
          <w:tcPr>
            <w:tcW w:w="4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THE TJX COMPANIES, INC. REPORTS Q3 FY26 RESULTS; COMP SALES GROWTH OF 5%, PRETAX PROFIT MARGIN OF 12.7%, AND DILUTED EPS OF $1.28 ALL WELL ABOVE PLAN; INCREASES FY26 COMP SALES GROWTH, PRETAX PROFIT MARGIN, AND EPS GUIDANCE</w:t>
      </w:r>
    </w:p>
    <w:p>
      <w:pPr>
        <w:spacing w:after="0" w:line="189"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Q3 consolidated comparable sales increased 5%, well above the Company’s plan</w:t>
      </w:r>
    </w:p>
    <w:p>
      <w:pPr>
        <w:spacing w:after="0" w:line="32"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Q3 pretax profit margin of 12.7%, well above the Company’s plan</w:t>
      </w:r>
    </w:p>
    <w:p>
      <w:pPr>
        <w:spacing w:after="0" w:line="13" w:lineRule="exact"/>
        <w:rPr>
          <w:rFonts w:ascii="Times New Roman" w:cs="Times New Roman" w:eastAsia="Times New Roman" w:hAnsi="Times New Roman"/>
          <w:sz w:val="20"/>
          <w:szCs w:val="20"/>
          <w:b w:val="1"/>
          <w:bCs w:val="1"/>
          <w:i w:val="1"/>
          <w:i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Q3 diluted earnings per share of $1.28, up 12% and well above the Company’s plan</w:t>
      </w:r>
    </w:p>
    <w:p>
      <w:pPr>
        <w:spacing w:after="0" w:line="6" w:lineRule="exact"/>
        <w:rPr>
          <w:rFonts w:ascii="Times New Roman" w:cs="Times New Roman" w:eastAsia="Times New Roman" w:hAnsi="Times New Roman"/>
          <w:sz w:val="20"/>
          <w:szCs w:val="20"/>
          <w:b w:val="1"/>
          <w:bCs w:val="1"/>
          <w:i w:val="1"/>
          <w:i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Returned $1.1 billion to shareholders in Q3 through share repurchases and dividends</w:t>
      </w:r>
    </w:p>
    <w:p>
      <w:pPr>
        <w:spacing w:after="0" w:line="6" w:lineRule="exact"/>
        <w:rPr>
          <w:rFonts w:ascii="Times New Roman" w:cs="Times New Roman" w:eastAsia="Times New Roman" w:hAnsi="Times New Roman"/>
          <w:sz w:val="20"/>
          <w:szCs w:val="20"/>
          <w:b w:val="1"/>
          <w:bCs w:val="1"/>
          <w:i w:val="1"/>
          <w:i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Increases full year FY26 comp sales growth, pretax profit margin, and diluted earnings per share guidance</w:t>
      </w:r>
    </w:p>
    <w:p>
      <w:pPr>
        <w:spacing w:after="0" w:line="22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20"/>
          <w:szCs w:val="20"/>
          <w:color w:val="auto"/>
        </w:rPr>
        <w:t>Framingham, MA – The TJX Companies, Inc. (NYSE: TJX), the leading off-price apparel and home fashions retailer in the U.S. and worldwide, today announced sales and operating results for the third quarter ended November 1, 2025. Net sales for the third quarter of Fiscal 2026 were $15.1 billion, an increase of 7% versus the third quarter of Fiscal 2025. Third quarter Fiscal 2026 consolidated comparable sales increased 5%. Net income for the third quarter of Fiscal 2026 was $1.4 billion and diluted earnings per share were $1.28, up 12% versus $1.14 in the third quarter of Fiscal 2025.</w:t>
      </w:r>
    </w:p>
    <w:p>
      <w:pPr>
        <w:spacing w:after="0" w:line="20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20"/>
          <w:szCs w:val="20"/>
          <w:color w:val="auto"/>
        </w:rPr>
        <w:t>For the first nine months of Fiscal 2026, net sales were $42.6 billion, an increase of 7% versus the first nine months of Fiscal 2025. Consolidated comparable sales for the first nine months of Fiscal 2026 increased 4%. Net income for the first nine months of Fiscal 2026 was $3.7 billion. For the first nine months of Fiscal 2026, diluted earnings per share were $3.30, up 9% versus $3.03 in the first nine months of Fiscal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CEO and President Comments</w:t>
      </w:r>
    </w:p>
    <w:p>
      <w:pPr>
        <w:spacing w:after="0" w:line="24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9"/>
          <w:szCs w:val="19"/>
          <w:color w:val="auto"/>
        </w:rPr>
        <w:t>Ernie Herrman, Chief Executive Officer and President of The TJX Companies, Inc., stated, “I am extremely pleased with our third quarter performance and the excellent execution of our off-price business model by our teams across the Company. Sales, pretax profit margin, and earnings per share all exceeded our expectations. Overall comp sales grew 5%, with strength at every division. We believe this is a testament to our value proposition and treasure-hunt shopping experience, which continue to draw consumers to our retail banners worldwide. With our outperformance in the third quarter, we are raising our sales, pretax profit margin, and earnings per share guidance for the full year. The fourth quarter is off to a strong start, the availability of merchandise continues to be outstanding, and we are excited about the deals we are seeing in the marketplace. With our compelling values and ever-changing, fresh assortments of good, better, and best brands, we are convinced that our stores and e-commerce sites are strongly positioned as gifting destinations for value-conscious shoppers this holiday season. Going forward, we see great potential to continue capturing market share and successfully growing TJX around the globe.”</w:t>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Comparable Sales by Division</w:t>
      </w: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Company’s comparable sales by division for the third quarter of Fiscal 2026 and Fiscal 2025 were as follows:</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4380" w:type="dxa"/>
            <w:vAlign w:val="bottom"/>
            <w:tcBorders>
              <w:right w:val="single" w:sz="8" w:color="auto"/>
            </w:tcBorders>
          </w:tcPr>
          <w:p>
            <w:pPr>
              <w:spacing w:after="0"/>
              <w:rPr>
                <w:sz w:val="17"/>
                <w:szCs w:val="17"/>
                <w:color w:val="auto"/>
              </w:rPr>
            </w:pPr>
          </w:p>
        </w:tc>
        <w:tc>
          <w:tcPr>
            <w:tcW w:w="3420" w:type="dxa"/>
            <w:vAlign w:val="bottom"/>
            <w:tcBorders>
              <w:top w:val="single" w:sz="8" w:color="auto"/>
              <w:right w:val="single" w:sz="8" w:color="auto"/>
            </w:tcBorders>
            <w:gridSpan w:val="2"/>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9"/>
              </w:rPr>
              <w:t>Third Quarter</w:t>
            </w:r>
          </w:p>
        </w:tc>
      </w:tr>
      <w:tr>
        <w:trPr>
          <w:trHeight w:val="267"/>
        </w:trPr>
        <w:tc>
          <w:tcPr>
            <w:tcW w:w="4380" w:type="dxa"/>
            <w:vAlign w:val="bottom"/>
            <w:tcBorders>
              <w:right w:val="single" w:sz="8" w:color="auto"/>
            </w:tcBorders>
          </w:tcPr>
          <w:p>
            <w:pPr>
              <w:spacing w:after="0"/>
              <w:rPr>
                <w:sz w:val="23"/>
                <w:szCs w:val="23"/>
                <w:color w:val="auto"/>
              </w:rPr>
            </w:pPr>
          </w:p>
        </w:tc>
        <w:tc>
          <w:tcPr>
            <w:tcW w:w="34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Comparable Sales</w:t>
            </w:r>
            <w:r>
              <w:rPr>
                <w:rFonts w:ascii="Times New Roman" w:cs="Times New Roman" w:eastAsia="Times New Roman" w:hAnsi="Times New Roman"/>
                <w:sz w:val="23"/>
                <w:szCs w:val="23"/>
                <w:b w:val="1"/>
                <w:bCs w:val="1"/>
                <w:color w:val="auto"/>
                <w:w w:val="99"/>
                <w:vertAlign w:val="superscript"/>
              </w:rPr>
              <w:t>1</w:t>
            </w:r>
          </w:p>
        </w:tc>
      </w:tr>
      <w:tr>
        <w:trPr>
          <w:trHeight w:val="223"/>
        </w:trPr>
        <w:tc>
          <w:tcPr>
            <w:tcW w:w="4380" w:type="dxa"/>
            <w:vAlign w:val="bottom"/>
            <w:tcBorders>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FY2026</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FY2025</w:t>
            </w:r>
          </w:p>
        </w:tc>
      </w:tr>
      <w:tr>
        <w:trPr>
          <w:trHeight w:val="142"/>
        </w:trPr>
        <w:tc>
          <w:tcPr>
            <w:tcW w:w="43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r>
      <w:tr>
        <w:trPr>
          <w:trHeight w:val="250"/>
        </w:trPr>
        <w:tc>
          <w:tcPr>
            <w:tcW w:w="4380" w:type="dxa"/>
            <w:vAlign w:val="bottom"/>
            <w:tcBorders>
              <w:left w:val="single" w:sz="8" w:color="auto"/>
              <w:bottom w:val="single" w:sz="8" w:color="auto"/>
              <w:right w:val="single" w:sz="8" w:color="auto"/>
            </w:tcBorders>
          </w:tcPr>
          <w:p>
            <w:pPr>
              <w:ind w:left="220"/>
              <w:spacing w:after="0" w:line="250" w:lineRule="exact"/>
              <w:rPr>
                <w:sz w:val="20"/>
                <w:szCs w:val="20"/>
                <w:color w:val="auto"/>
              </w:rPr>
            </w:pPr>
            <w:r>
              <w:rPr>
                <w:rFonts w:ascii="Times New Roman" w:cs="Times New Roman" w:eastAsia="Times New Roman" w:hAnsi="Times New Roman"/>
                <w:sz w:val="18"/>
                <w:szCs w:val="18"/>
                <w:color w:val="auto"/>
              </w:rPr>
              <w:t>Marmaxx (U.S.)</w:t>
            </w:r>
            <w:r>
              <w:rPr>
                <w:rFonts w:ascii="Times New Roman" w:cs="Times New Roman" w:eastAsia="Times New Roman" w:hAnsi="Times New Roman"/>
                <w:sz w:val="23"/>
                <w:szCs w:val="23"/>
                <w:color w:val="auto"/>
                <w:vertAlign w:val="superscript"/>
              </w:rPr>
              <w:t>2</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50"/>
        </w:trPr>
        <w:tc>
          <w:tcPr>
            <w:tcW w:w="4380" w:type="dxa"/>
            <w:vAlign w:val="bottom"/>
            <w:tcBorders>
              <w:left w:val="single" w:sz="8" w:color="auto"/>
              <w:bottom w:val="single" w:sz="8" w:color="auto"/>
              <w:right w:val="single" w:sz="8" w:color="auto"/>
            </w:tcBorders>
          </w:tcPr>
          <w:p>
            <w:pPr>
              <w:ind w:left="220"/>
              <w:spacing w:after="0" w:line="250" w:lineRule="exact"/>
              <w:rPr>
                <w:sz w:val="20"/>
                <w:szCs w:val="20"/>
                <w:color w:val="auto"/>
              </w:rPr>
            </w:pPr>
            <w:r>
              <w:rPr>
                <w:rFonts w:ascii="Times New Roman" w:cs="Times New Roman" w:eastAsia="Times New Roman" w:hAnsi="Times New Roman"/>
                <w:sz w:val="18"/>
                <w:szCs w:val="18"/>
                <w:color w:val="auto"/>
              </w:rPr>
              <w:t>HomeGoods (U.S.)</w:t>
            </w:r>
            <w:r>
              <w:rPr>
                <w:rFonts w:ascii="Times New Roman" w:cs="Times New Roman" w:eastAsia="Times New Roman" w:hAnsi="Times New Roman"/>
                <w:sz w:val="23"/>
                <w:szCs w:val="23"/>
                <w:color w:val="auto"/>
                <w:vertAlign w:val="superscript"/>
              </w:rPr>
              <w:t>3</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28"/>
        </w:trPr>
        <w:tc>
          <w:tcPr>
            <w:tcW w:w="43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TJX Canada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4380" w:type="dxa"/>
            <w:vAlign w:val="bottom"/>
            <w:tcBorders>
              <w:left w:val="single" w:sz="8" w:color="auto"/>
              <w:bottom w:val="single" w:sz="8" w:color="auto"/>
              <w:right w:val="single" w:sz="8" w:color="auto"/>
            </w:tcBorders>
          </w:tcPr>
          <w:p>
            <w:pPr>
              <w:ind w:left="220"/>
              <w:spacing w:after="0" w:line="250" w:lineRule="exact"/>
              <w:rPr>
                <w:sz w:val="20"/>
                <w:szCs w:val="20"/>
                <w:color w:val="auto"/>
              </w:rPr>
            </w:pPr>
            <w:r>
              <w:rPr>
                <w:rFonts w:ascii="Times New Roman" w:cs="Times New Roman" w:eastAsia="Times New Roman" w:hAnsi="Times New Roman"/>
                <w:sz w:val="18"/>
                <w:szCs w:val="18"/>
                <w:color w:val="auto"/>
              </w:rPr>
              <w:t>TJX International (Europe &amp; Australia)</w:t>
            </w:r>
            <w:r>
              <w:rPr>
                <w:rFonts w:ascii="Times New Roman" w:cs="Times New Roman" w:eastAsia="Times New Roman" w:hAnsi="Times New Roman"/>
                <w:sz w:val="23"/>
                <w:szCs w:val="23"/>
                <w:color w:val="auto"/>
                <w:vertAlign w:val="superscript"/>
              </w:rPr>
              <w:t>4</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142"/>
        </w:trPr>
        <w:tc>
          <w:tcPr>
            <w:tcW w:w="43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r>
      <w:tr>
        <w:trPr>
          <w:trHeight w:val="243"/>
        </w:trPr>
        <w:tc>
          <w:tcPr>
            <w:tcW w:w="4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TJX</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r>
    </w:tbl>
    <w:p>
      <w:pPr>
        <w:spacing w:after="0" w:line="81" w:lineRule="exact"/>
        <w:rPr>
          <w:sz w:val="20"/>
          <w:szCs w:val="20"/>
          <w:color w:val="auto"/>
        </w:rPr>
      </w:pPr>
    </w:p>
    <w:p>
      <w:pPr>
        <w:ind w:right="720"/>
        <w:spacing w:after="0" w:line="233"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Comparable sales for FY2026 include e-commerce.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Includes TJ Maxx, Marshalls, and Sierra stores as well as their e-commerce sites.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Includes HomeGoods and Homesense stores. </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Includes TK Maxx and Homesense stores, as well as TK Maxx e-commerce sites in Europe.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 Sales by Division</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Company’s net sales by division for the third quarter of Fiscal 2026 and Fiscal 2025 were as follows:</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4400" w:type="dxa"/>
            <w:vAlign w:val="bottom"/>
            <w:tcBorders>
              <w:right w:val="single" w:sz="8" w:color="auto"/>
            </w:tcBorders>
          </w:tcPr>
          <w:p>
            <w:pPr>
              <w:spacing w:after="0"/>
              <w:rPr>
                <w:sz w:val="18"/>
                <w:szCs w:val="18"/>
                <w:color w:val="auto"/>
              </w:rPr>
            </w:pPr>
          </w:p>
        </w:tc>
        <w:tc>
          <w:tcPr>
            <w:tcW w:w="338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Net Sales</w:t>
            </w:r>
          </w:p>
        </w:tc>
        <w:tc>
          <w:tcPr>
            <w:tcW w:w="17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Third Quarter</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Third Quarter</w:t>
            </w:r>
          </w:p>
        </w:tc>
        <w:tc>
          <w:tcPr>
            <w:tcW w:w="0" w:type="dxa"/>
            <w:vAlign w:val="bottom"/>
          </w:tcPr>
          <w:p>
            <w:pPr>
              <w:spacing w:after="0"/>
              <w:rPr>
                <w:sz w:val="1"/>
                <w:szCs w:val="1"/>
                <w:color w:val="auto"/>
              </w:rPr>
            </w:pPr>
          </w:p>
        </w:tc>
      </w:tr>
      <w:tr>
        <w:trPr>
          <w:trHeight w:val="197"/>
        </w:trPr>
        <w:tc>
          <w:tcPr>
            <w:tcW w:w="4400" w:type="dxa"/>
            <w:vAlign w:val="bottom"/>
            <w:tcBorders>
              <w:right w:val="single" w:sz="8" w:color="auto"/>
            </w:tcBorders>
          </w:tcPr>
          <w:p>
            <w:pPr>
              <w:spacing w:after="0"/>
              <w:rPr>
                <w:sz w:val="17"/>
                <w:szCs w:val="17"/>
                <w:color w:val="auto"/>
              </w:rPr>
            </w:pPr>
          </w:p>
        </w:tc>
        <w:tc>
          <w:tcPr>
            <w:tcW w:w="2220" w:type="dxa"/>
            <w:vAlign w:val="bottom"/>
            <w:gridSpan w:val="2"/>
          </w:tcPr>
          <w:p>
            <w:pPr>
              <w:jc w:val="center"/>
              <w:ind w:left="1010"/>
              <w:spacing w:after="0" w:line="198" w:lineRule="exact"/>
              <w:rPr>
                <w:sz w:val="20"/>
                <w:szCs w:val="20"/>
                <w:color w:val="auto"/>
              </w:rPr>
            </w:pPr>
            <w:r>
              <w:rPr>
                <w:rFonts w:ascii="Times New Roman" w:cs="Times New Roman" w:eastAsia="Times New Roman" w:hAnsi="Times New Roman"/>
                <w:sz w:val="17"/>
                <w:szCs w:val="17"/>
                <w:color w:val="auto"/>
              </w:rPr>
              <w:t>($ in millions)</w:t>
            </w:r>
            <w:r>
              <w:rPr>
                <w:rFonts w:ascii="Times New Roman" w:cs="Times New Roman" w:eastAsia="Times New Roman" w:hAnsi="Times New Roman"/>
                <w:sz w:val="22"/>
                <w:szCs w:val="22"/>
                <w:color w:val="auto"/>
                <w:vertAlign w:val="superscript"/>
              </w:rPr>
              <w:t>1</w:t>
            </w:r>
          </w:p>
        </w:tc>
        <w:tc>
          <w:tcPr>
            <w:tcW w:w="11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vMerge w:val="continue"/>
          </w:tcPr>
          <w:p>
            <w:pPr>
              <w:spacing w:after="0"/>
              <w:rPr>
                <w:sz w:val="17"/>
                <w:szCs w:val="17"/>
                <w:color w:val="auto"/>
              </w:rPr>
            </w:pPr>
          </w:p>
        </w:tc>
        <w:tc>
          <w:tcPr>
            <w:tcW w:w="17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9"/>
              </w:rPr>
              <w:t>FY2026</w:t>
            </w:r>
          </w:p>
        </w:tc>
        <w:tc>
          <w:tcPr>
            <w:tcW w:w="0" w:type="dxa"/>
            <w:vAlign w:val="bottom"/>
          </w:tcPr>
          <w:p>
            <w:pPr>
              <w:spacing w:after="0"/>
              <w:rPr>
                <w:sz w:val="1"/>
                <w:szCs w:val="1"/>
                <w:color w:val="auto"/>
              </w:rPr>
            </w:pPr>
          </w:p>
        </w:tc>
      </w:tr>
      <w:tr>
        <w:trPr>
          <w:trHeight w:val="106"/>
        </w:trPr>
        <w:tc>
          <w:tcPr>
            <w:tcW w:w="4400" w:type="dxa"/>
            <w:vAlign w:val="bottom"/>
            <w:tcBorders>
              <w:right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174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FY2026</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Sales Growth on a</w:t>
            </w:r>
          </w:p>
        </w:tc>
        <w:tc>
          <w:tcPr>
            <w:tcW w:w="0" w:type="dxa"/>
            <w:vAlign w:val="bottom"/>
          </w:tcPr>
          <w:p>
            <w:pPr>
              <w:spacing w:after="0"/>
              <w:rPr>
                <w:sz w:val="1"/>
                <w:szCs w:val="1"/>
                <w:color w:val="auto"/>
              </w:rPr>
            </w:pPr>
          </w:p>
        </w:tc>
      </w:tr>
      <w:tr>
        <w:trPr>
          <w:trHeight w:val="95"/>
        </w:trPr>
        <w:tc>
          <w:tcPr>
            <w:tcW w:w="44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Reported Sales</w:t>
            </w:r>
          </w:p>
        </w:tc>
        <w:tc>
          <w:tcPr>
            <w:tcW w:w="1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FY2026</w:t>
            </w:r>
          </w:p>
        </w:tc>
        <w:tc>
          <w:tcPr>
            <w:tcW w:w="520" w:type="dxa"/>
            <w:vAlign w:val="bottom"/>
          </w:tcPr>
          <w:p>
            <w:pPr>
              <w:spacing w:after="0"/>
              <w:rPr>
                <w:sz w:val="9"/>
                <w:szCs w:val="9"/>
                <w:color w:val="auto"/>
              </w:rPr>
            </w:pPr>
          </w:p>
        </w:tc>
        <w:tc>
          <w:tcPr>
            <w:tcW w:w="1160" w:type="dxa"/>
            <w:vAlign w:val="bottom"/>
            <w:tcBorders>
              <w:right w:val="single" w:sz="8" w:color="auto"/>
            </w:tcBorders>
            <w:vMerge w:val="restart"/>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FY2025</w:t>
            </w:r>
          </w:p>
        </w:tc>
        <w:tc>
          <w:tcPr>
            <w:tcW w:w="174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Constant Currency</w:t>
            </w:r>
          </w:p>
        </w:tc>
        <w:tc>
          <w:tcPr>
            <w:tcW w:w="0" w:type="dxa"/>
            <w:vAlign w:val="bottom"/>
          </w:tcPr>
          <w:p>
            <w:pPr>
              <w:spacing w:after="0"/>
              <w:rPr>
                <w:sz w:val="1"/>
                <w:szCs w:val="1"/>
                <w:color w:val="auto"/>
              </w:rPr>
            </w:pPr>
          </w:p>
        </w:tc>
      </w:tr>
      <w:tr>
        <w:trPr>
          <w:trHeight w:val="117"/>
        </w:trPr>
        <w:tc>
          <w:tcPr>
            <w:tcW w:w="44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Growth</w:t>
            </w:r>
          </w:p>
        </w:tc>
        <w:tc>
          <w:tcPr>
            <w:tcW w:w="1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400" w:type="dxa"/>
            <w:vAlign w:val="bottom"/>
            <w:tcBorders>
              <w:right w:val="single" w:sz="8" w:color="auto"/>
            </w:tcBorders>
          </w:tcPr>
          <w:p>
            <w:pPr>
              <w:spacing w:after="0"/>
              <w:rPr>
                <w:sz w:val="23"/>
                <w:szCs w:val="23"/>
                <w:color w:val="auto"/>
              </w:rPr>
            </w:pPr>
          </w:p>
        </w:tc>
        <w:tc>
          <w:tcPr>
            <w:tcW w:w="1700" w:type="dxa"/>
            <w:vAlign w:val="bottom"/>
            <w:tcBorders>
              <w:bottom w:val="single" w:sz="8" w:color="auto"/>
              <w:right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spacing w:after="0"/>
              <w:rPr>
                <w:sz w:val="23"/>
                <w:szCs w:val="23"/>
                <w:color w:val="auto"/>
              </w:rPr>
            </w:pPr>
          </w:p>
        </w:tc>
        <w:tc>
          <w:tcPr>
            <w:tcW w:w="1740" w:type="dxa"/>
            <w:vAlign w:val="bottom"/>
            <w:tcBorders>
              <w:bottom w:val="single" w:sz="8" w:color="auto"/>
              <w:right w:val="single" w:sz="8" w:color="auto"/>
            </w:tcBorders>
            <w:vMerge w:val="continue"/>
          </w:tcPr>
          <w:p>
            <w:pPr>
              <w:spacing w:after="0"/>
              <w:rPr>
                <w:sz w:val="23"/>
                <w:szCs w:val="23"/>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Basis</w:t>
            </w:r>
            <w:r>
              <w:rPr>
                <w:rFonts w:ascii="Times New Roman" w:cs="Times New Roman" w:eastAsia="Times New Roman" w:hAnsi="Times New Roman"/>
                <w:sz w:val="23"/>
                <w:szCs w:val="23"/>
                <w:color w:val="auto"/>
                <w:w w:val="96"/>
                <w:vertAlign w:val="superscript"/>
              </w:rPr>
              <w:t>2</w:t>
            </w:r>
          </w:p>
        </w:tc>
        <w:tc>
          <w:tcPr>
            <w:tcW w:w="0" w:type="dxa"/>
            <w:vAlign w:val="bottom"/>
          </w:tcPr>
          <w:p>
            <w:pPr>
              <w:spacing w:after="0"/>
              <w:rPr>
                <w:sz w:val="1"/>
                <w:szCs w:val="1"/>
                <w:color w:val="auto"/>
              </w:rPr>
            </w:pPr>
          </w:p>
        </w:tc>
      </w:tr>
      <w:tr>
        <w:trPr>
          <w:trHeight w:val="129"/>
        </w:trPr>
        <w:tc>
          <w:tcPr>
            <w:tcW w:w="44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400" w:type="dxa"/>
            <w:vAlign w:val="bottom"/>
            <w:tcBorders>
              <w:left w:val="single" w:sz="8" w:color="auto"/>
              <w:bottom w:val="single" w:sz="8" w:color="auto"/>
              <w:right w:val="single" w:sz="8" w:color="auto"/>
            </w:tcBorders>
          </w:tcPr>
          <w:p>
            <w:pPr>
              <w:ind w:left="220"/>
              <w:spacing w:after="0" w:line="250" w:lineRule="exact"/>
              <w:rPr>
                <w:sz w:val="20"/>
                <w:szCs w:val="20"/>
                <w:color w:val="auto"/>
              </w:rPr>
            </w:pPr>
            <w:r>
              <w:rPr>
                <w:rFonts w:ascii="Times New Roman" w:cs="Times New Roman" w:eastAsia="Times New Roman" w:hAnsi="Times New Roman"/>
                <w:sz w:val="18"/>
                <w:szCs w:val="18"/>
                <w:color w:val="auto"/>
              </w:rPr>
              <w:t>Marmaxx (U.S.)</w:t>
            </w:r>
            <w:r>
              <w:rPr>
                <w:rFonts w:ascii="Times New Roman" w:cs="Times New Roman" w:eastAsia="Times New Roman" w:hAnsi="Times New Roman"/>
                <w:sz w:val="23"/>
                <w:szCs w:val="23"/>
                <w:color w:val="auto"/>
                <w:vertAlign w:val="superscript"/>
              </w:rPr>
              <w:t>3</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$9,037</w:t>
            </w: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$8,438</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0"/>
        </w:trPr>
        <w:tc>
          <w:tcPr>
            <w:tcW w:w="4400" w:type="dxa"/>
            <w:vAlign w:val="bottom"/>
            <w:tcBorders>
              <w:left w:val="single" w:sz="8" w:color="auto"/>
              <w:bottom w:val="single" w:sz="8" w:color="auto"/>
              <w:right w:val="single" w:sz="8" w:color="auto"/>
            </w:tcBorders>
          </w:tcPr>
          <w:p>
            <w:pPr>
              <w:ind w:left="220"/>
              <w:spacing w:after="0" w:line="250" w:lineRule="exact"/>
              <w:rPr>
                <w:sz w:val="20"/>
                <w:szCs w:val="20"/>
                <w:color w:val="auto"/>
              </w:rPr>
            </w:pPr>
            <w:r>
              <w:rPr>
                <w:rFonts w:ascii="Times New Roman" w:cs="Times New Roman" w:eastAsia="Times New Roman" w:hAnsi="Times New Roman"/>
                <w:sz w:val="18"/>
                <w:szCs w:val="18"/>
                <w:color w:val="auto"/>
              </w:rPr>
              <w:t>HomeGoods (U.S.)</w:t>
            </w:r>
            <w:r>
              <w:rPr>
                <w:rFonts w:ascii="Times New Roman" w:cs="Times New Roman" w:eastAsia="Times New Roman" w:hAnsi="Times New Roman"/>
                <w:sz w:val="23"/>
                <w:szCs w:val="23"/>
                <w:color w:val="auto"/>
                <w:vertAlign w:val="superscript"/>
              </w:rPr>
              <w:t>4</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$2,539</w:t>
            </w: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$2,355</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8"/>
        </w:trPr>
        <w:tc>
          <w:tcPr>
            <w:tcW w:w="44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TJX Canada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$1,492</w:t>
            </w:r>
          </w:p>
        </w:tc>
        <w:tc>
          <w:tcPr>
            <w:tcW w:w="520" w:type="dxa"/>
            <w:vAlign w:val="bottom"/>
          </w:tcPr>
          <w:p>
            <w:pPr>
              <w:spacing w:after="0"/>
              <w:rPr>
                <w:sz w:val="19"/>
                <w:szCs w:val="19"/>
                <w:color w:val="auto"/>
              </w:rPr>
            </w:pPr>
          </w:p>
        </w:tc>
        <w:tc>
          <w:tcPr>
            <w:tcW w:w="1160" w:type="dxa"/>
            <w:vAlign w:val="bottom"/>
            <w:tcBorders>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$1,382</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00" w:type="dxa"/>
            <w:vAlign w:val="bottom"/>
            <w:tcBorders>
              <w:left w:val="single" w:sz="8" w:color="auto"/>
              <w:bottom w:val="single" w:sz="8" w:color="auto"/>
              <w:right w:val="single" w:sz="8" w:color="auto"/>
            </w:tcBorders>
          </w:tcPr>
          <w:p>
            <w:pPr>
              <w:ind w:left="220"/>
              <w:spacing w:after="0" w:line="250" w:lineRule="exact"/>
              <w:rPr>
                <w:sz w:val="20"/>
                <w:szCs w:val="20"/>
                <w:color w:val="auto"/>
              </w:rPr>
            </w:pPr>
            <w:r>
              <w:rPr>
                <w:rFonts w:ascii="Times New Roman" w:cs="Times New Roman" w:eastAsia="Times New Roman" w:hAnsi="Times New Roman"/>
                <w:sz w:val="18"/>
                <w:szCs w:val="18"/>
                <w:color w:val="auto"/>
              </w:rPr>
              <w:t>TJX International (Europe &amp; Australia)</w:t>
            </w:r>
            <w:r>
              <w:rPr>
                <w:rFonts w:ascii="Times New Roman" w:cs="Times New Roman" w:eastAsia="Times New Roman" w:hAnsi="Times New Roman"/>
                <w:sz w:val="23"/>
                <w:szCs w:val="23"/>
                <w:color w:val="auto"/>
                <w:vertAlign w:val="superscript"/>
              </w:rPr>
              <w:t>5</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$2,049</w:t>
            </w: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$1,888</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129"/>
        </w:trPr>
        <w:tc>
          <w:tcPr>
            <w:tcW w:w="44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4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TJX</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$15,117</w:t>
            </w: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$14,063</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Net sales in TJX Canada and TJX International include the impact of foreign currency.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Reflects net sales adjusted for the impact of foreign currency; see Impact of Foreign Currency, below.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Includes TJ Maxx, Marshalls, and Sierra stores as well as their e-commerce sites. </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Includes HomeGoods and Homesense stores. </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Includes TK Maxx and Homesense stores, as well as TK Maxx e-commerce sites in Europe.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Margins</w:t>
      </w:r>
    </w:p>
    <w:p>
      <w:pPr>
        <w:spacing w:after="0" w:line="247" w:lineRule="exact"/>
        <w:rPr>
          <w:sz w:val="20"/>
          <w:szCs w:val="20"/>
          <w:color w:val="auto"/>
        </w:rPr>
      </w:pPr>
    </w:p>
    <w:p>
      <w:pPr>
        <w:ind w:right="160" w:firstLine="324"/>
        <w:spacing w:after="0" w:line="283" w:lineRule="auto"/>
        <w:rPr>
          <w:sz w:val="20"/>
          <w:szCs w:val="20"/>
          <w:color w:val="auto"/>
        </w:rPr>
      </w:pPr>
      <w:r>
        <w:rPr>
          <w:rFonts w:ascii="Times New Roman" w:cs="Times New Roman" w:eastAsia="Times New Roman" w:hAnsi="Times New Roman"/>
          <w:sz w:val="20"/>
          <w:szCs w:val="20"/>
          <w:color w:val="auto"/>
        </w:rPr>
        <w:t>For the third quarter of Fiscal 2026, the Company’s pretax profit margin was 12.7%, well above the Company’s plan and 0.4 percentage points above last year’s third quarter pretax profit margin of 12.3%.</w:t>
      </w:r>
    </w:p>
    <w:p>
      <w:pPr>
        <w:spacing w:after="0" w:line="173" w:lineRule="exact"/>
        <w:rPr>
          <w:sz w:val="20"/>
          <w:szCs w:val="20"/>
          <w:color w:val="auto"/>
        </w:rPr>
      </w:pPr>
    </w:p>
    <w:p>
      <w:pPr>
        <w:ind w:right="200" w:firstLine="324"/>
        <w:spacing w:after="0" w:line="283" w:lineRule="auto"/>
        <w:rPr>
          <w:sz w:val="20"/>
          <w:szCs w:val="20"/>
          <w:color w:val="auto"/>
        </w:rPr>
      </w:pPr>
      <w:r>
        <w:rPr>
          <w:rFonts w:ascii="Times New Roman" w:cs="Times New Roman" w:eastAsia="Times New Roman" w:hAnsi="Times New Roman"/>
          <w:sz w:val="20"/>
          <w:szCs w:val="20"/>
          <w:color w:val="auto"/>
        </w:rPr>
        <w:t>Gross profit margin for the third quarter of Fiscal 2026 was 32.6%, up 1.0 percentage point versus last year’s 31.6%, driven by a higher merchandise margin and expense leverage on sales.</w:t>
      </w:r>
    </w:p>
    <w:p>
      <w:pPr>
        <w:spacing w:after="0" w:line="187"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20"/>
          <w:szCs w:val="20"/>
          <w:color w:val="auto"/>
        </w:rPr>
        <w:t>Selling, general, and administrative (SG&amp;A) costs as a percent of sales for the third quarter of Fiscal 2026 were 20.1%, a 0.6 percentage point increase versus last year’s 19.5%. This was driven by incremental store wage and payroll costs, a contribution to the TJX Foundation, and higher incentive compensation accruals.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Net interest income negatively impacted third quarter Fiscal 2026 pretax profit margin by 0.1 percentage point versus the prior year.</w:t>
      </w:r>
    </w:p>
    <w:p>
      <w:pPr>
        <w:sectPr>
          <w:pgSz w:w="11900" w:h="16838" w:orient="portrait"/>
          <w:cols w:equalWidth="0" w:num="1">
            <w:col w:w="11260"/>
          </w:cols>
          <w:pgMar w:left="320" w:top="76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60"/>
          </w:cols>
          <w:pgMar w:left="320" w:top="761" w:right="319" w:bottom="1440" w:gutter="0" w:footer="0" w:header="0"/>
          <w:type w:val="continuous"/>
        </w:sectPr>
      </w:pPr>
    </w:p>
    <w:bookmarkStart w:id="5" w:name="page6"/>
    <w:bookmarkEnd w:id="5"/>
    <w:p>
      <w:pPr>
        <w:ind w:right="40" w:firstLine="324"/>
        <w:spacing w:after="0" w:line="266" w:lineRule="auto"/>
        <w:rPr>
          <w:sz w:val="20"/>
          <w:szCs w:val="20"/>
          <w:color w:val="auto"/>
        </w:rPr>
      </w:pPr>
      <w:r>
        <w:rPr>
          <w:rFonts w:ascii="Times New Roman" w:cs="Times New Roman" w:eastAsia="Times New Roman" w:hAnsi="Times New Roman"/>
          <w:sz w:val="19"/>
          <w:szCs w:val="19"/>
          <w:color w:val="auto"/>
        </w:rPr>
        <w:t>The Company’s third quarter Fiscal 2026 pretax profit margin was above the high end of its plan by 0.6 percentage points. The Company had a stronger than expected merchandise margin driven by lower freight costs and a benefit from expense leverage on its above-plan sales. With its above-plan performance, the Company had higher incentive compensation accruals and made a contribution to the TJX Foundation.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Inventory</w:t>
      </w:r>
    </w:p>
    <w:p>
      <w:pPr>
        <w:spacing w:after="0" w:line="260" w:lineRule="exact"/>
        <w:rPr>
          <w:sz w:val="20"/>
          <w:szCs w:val="20"/>
          <w:color w:val="auto"/>
        </w:rPr>
      </w:pPr>
    </w:p>
    <w:p>
      <w:pPr>
        <w:ind w:right="220" w:firstLine="324"/>
        <w:spacing w:after="0" w:line="253" w:lineRule="auto"/>
        <w:rPr>
          <w:sz w:val="20"/>
          <w:szCs w:val="20"/>
          <w:color w:val="auto"/>
        </w:rPr>
      </w:pPr>
      <w:r>
        <w:rPr>
          <w:rFonts w:ascii="Times New Roman" w:cs="Times New Roman" w:eastAsia="Times New Roman" w:hAnsi="Times New Roman"/>
          <w:sz w:val="20"/>
          <w:szCs w:val="20"/>
          <w:color w:val="auto"/>
        </w:rPr>
        <w:t>Total inventories as of November 1, 2025 were $9.4 billion, compared to $8.4 billion at the end of the third quarter of Fiscal 2025. Consolidated inventories on a per-store basis as of November 1, 2025, including distribution centers, but excluding inventory in transit and the Company’s e-commerce sites, were up 8% on both a reported and constant currency basis versus last year. The Company’s inventory position reflects the terrific buying opportunities it saw in the third quarter. The Company has seen outstanding availability in the marketplace and is very well-positioned to deliver an eclectic mix of assortments and gifts to its stores and online this holiday season. Inventory on a constant currency basis reflects inventory adjusted for the impact of foreign currency, if any, as described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Cash and Shareholder Distributions</w:t>
      </w:r>
    </w:p>
    <w:p>
      <w:pPr>
        <w:spacing w:after="0" w:line="260"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For the third quarter of Fiscal 2026, the Company generated $1.5 billion of operating cash flow and ended the quarter with $4.6 billion of cash.</w:t>
      </w:r>
    </w:p>
    <w:p>
      <w:pPr>
        <w:spacing w:after="0" w:line="173" w:lineRule="exact"/>
        <w:rPr>
          <w:sz w:val="20"/>
          <w:szCs w:val="20"/>
          <w:color w:val="auto"/>
        </w:rPr>
      </w:pPr>
    </w:p>
    <w:p>
      <w:pPr>
        <w:ind w:right="460" w:firstLine="324"/>
        <w:spacing w:after="0" w:line="283" w:lineRule="auto"/>
        <w:rPr>
          <w:sz w:val="20"/>
          <w:szCs w:val="20"/>
          <w:color w:val="auto"/>
        </w:rPr>
      </w:pPr>
      <w:r>
        <w:rPr>
          <w:rFonts w:ascii="Times New Roman" w:cs="Times New Roman" w:eastAsia="Times New Roman" w:hAnsi="Times New Roman"/>
          <w:sz w:val="20"/>
          <w:szCs w:val="20"/>
          <w:color w:val="auto"/>
        </w:rPr>
        <w:t>During the third quarter of Fiscal 2026, the Company returned a total of $1.1 billion to shareholders. The Company repurchased 4.2 million shares of TJX stock for a total of $594 million and paid $472 million in shareholder dividends.</w:t>
      </w:r>
    </w:p>
    <w:p>
      <w:pPr>
        <w:spacing w:after="0" w:line="173"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During the first nine months of Fiscal 2026, the Company returned a total of $3.1 billion to shareholders. The Company repurchased 13.4 million shares of TJX stock for a total of $1.7 billion and paid $1.4 billion in shareholder dividends.</w:t>
      </w:r>
    </w:p>
    <w:p>
      <w:pPr>
        <w:spacing w:after="0" w:line="187" w:lineRule="exact"/>
        <w:rPr>
          <w:sz w:val="20"/>
          <w:szCs w:val="20"/>
          <w:color w:val="auto"/>
        </w:rPr>
      </w:pPr>
    </w:p>
    <w:p>
      <w:pPr>
        <w:jc w:val="both"/>
        <w:ind w:right="220" w:firstLine="324"/>
        <w:spacing w:after="0" w:line="281" w:lineRule="auto"/>
        <w:rPr>
          <w:sz w:val="20"/>
          <w:szCs w:val="20"/>
          <w:color w:val="auto"/>
        </w:rPr>
      </w:pPr>
      <w:r>
        <w:rPr>
          <w:rFonts w:ascii="Times New Roman" w:cs="Times New Roman" w:eastAsia="Times New Roman" w:hAnsi="Times New Roman"/>
          <w:sz w:val="19"/>
          <w:szCs w:val="19"/>
          <w:color w:val="auto"/>
        </w:rPr>
        <w:t>The Company now expects to repurchase approximately $2.5 billion of TJX stock during the fiscal year ending January 31, 2026. The Company may adjust the amount purchased under this plan up or down depending on various factors. The Company remains committed to returning cash to its shareholders while continuing to invest in the business to support the near- and long-term growth of TJX.</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Fourth Quarter and Full Year Fiscal 2026 Outlook</w:t>
      </w:r>
    </w:p>
    <w:p>
      <w:pPr>
        <w:spacing w:after="0" w:line="260" w:lineRule="exact"/>
        <w:rPr>
          <w:sz w:val="20"/>
          <w:szCs w:val="20"/>
          <w:color w:val="auto"/>
        </w:rPr>
      </w:pPr>
    </w:p>
    <w:p>
      <w:pPr>
        <w:jc w:val="both"/>
        <w:ind w:right="100" w:firstLine="324"/>
        <w:spacing w:after="0" w:line="247" w:lineRule="auto"/>
        <w:rPr>
          <w:sz w:val="20"/>
          <w:szCs w:val="20"/>
          <w:color w:val="auto"/>
        </w:rPr>
      </w:pPr>
      <w:r>
        <w:rPr>
          <w:rFonts w:ascii="Times New Roman" w:cs="Times New Roman" w:eastAsia="Times New Roman" w:hAnsi="Times New Roman"/>
          <w:sz w:val="20"/>
          <w:szCs w:val="20"/>
          <w:color w:val="auto"/>
        </w:rPr>
        <w:t>The Company’s fourth quarter and full year Fiscal 2026 guidance below assumes that the current level of tariffs on imports into the U.S. as of November 19, 2025 will stay in place for the remainder of the year. The Company’s guidance assumes that it can continue to offset the pressure it expects from tariffs in the fourth quarter of Fiscal 2026.</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For the fourth quarter of Fiscal 2026, the Company continues to plan consolidated comparable sales to be up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to 3%, pretax profit margin to be in the range of 11.7% to 11.8%, and diluted earnings per share to be in the range of $1.33 to $1.36.</w:t>
      </w:r>
    </w:p>
    <w:p>
      <w:pPr>
        <w:spacing w:after="0" w:line="20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9"/>
          <w:szCs w:val="19"/>
          <w:color w:val="auto"/>
        </w:rPr>
        <w:t>For the full year Fiscal 2026, the Company is now expecting its consolidated comparable sales to be up 4%. The Company is increasing its pretax profit margin outlook to 11.6%, up 0.1 percentage point versus the prior year’s 11.5%. The Company is also raising its diluted earnings per share outlook to be in the range of $4.63 to $4.66, which would represent a 9% increase over the prior year’s $4.26.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20" w:top="76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Stores by Concept</w:t>
      </w:r>
    </w:p>
    <w:p>
      <w:pPr>
        <w:spacing w:after="0" w:line="260" w:lineRule="exact"/>
        <w:rPr>
          <w:sz w:val="20"/>
          <w:szCs w:val="20"/>
          <w:color w:val="auto"/>
        </w:rPr>
      </w:pPr>
    </w:p>
    <w:p>
      <w:pPr>
        <w:ind w:right="220" w:firstLine="324"/>
        <w:spacing w:after="0" w:line="269" w:lineRule="auto"/>
        <w:rPr>
          <w:sz w:val="20"/>
          <w:szCs w:val="20"/>
          <w:color w:val="auto"/>
        </w:rPr>
      </w:pPr>
      <w:r>
        <w:rPr>
          <w:rFonts w:ascii="Times New Roman" w:cs="Times New Roman" w:eastAsia="Times New Roman" w:hAnsi="Times New Roman"/>
          <w:sz w:val="20"/>
          <w:szCs w:val="20"/>
          <w:color w:val="auto"/>
        </w:rPr>
        <w:t>During the fiscal quarter ended November 1, 2025, the Company increased its store count by 57 stores overall to a total of 5,191 stores and increased total square footage by 1.0% versus the prior quarter.</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380" w:type="dxa"/>
            <w:vAlign w:val="bottom"/>
            <w:tcBorders>
              <w:right w:val="single" w:sz="8" w:color="auto"/>
            </w:tcBorders>
          </w:tcPr>
          <w:p>
            <w:pPr>
              <w:spacing w:after="0"/>
              <w:rPr>
                <w:sz w:val="24"/>
                <w:szCs w:val="24"/>
                <w:color w:val="auto"/>
              </w:rPr>
            </w:pPr>
          </w:p>
        </w:tc>
        <w:tc>
          <w:tcPr>
            <w:tcW w:w="2340" w:type="dxa"/>
            <w:vAlign w:val="bottom"/>
            <w:tcBorders>
              <w:top w:val="single" w:sz="8" w:color="auto"/>
            </w:tcBorders>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Store Locations</w:t>
            </w:r>
            <w:r>
              <w:rPr>
                <w:rFonts w:ascii="Times New Roman" w:cs="Times New Roman" w:eastAsia="Times New Roman" w:hAnsi="Times New Roman"/>
                <w:sz w:val="23"/>
                <w:szCs w:val="23"/>
                <w:b w:val="1"/>
                <w:bCs w:val="1"/>
                <w:color w:val="auto"/>
                <w:w w:val="98"/>
                <w:vertAlign w:val="superscript"/>
              </w:rPr>
              <w:t>1</w:t>
            </w:r>
          </w:p>
        </w:tc>
        <w:tc>
          <w:tcPr>
            <w:tcW w:w="1080" w:type="dxa"/>
            <w:vAlign w:val="bottom"/>
            <w:tcBorders>
              <w:top w:val="single" w:sz="8" w:color="auto"/>
              <w:right w:val="single" w:sz="8" w:color="auto"/>
            </w:tcBorders>
          </w:tcPr>
          <w:p>
            <w:pPr>
              <w:spacing w:after="0"/>
              <w:rPr>
                <w:sz w:val="24"/>
                <w:szCs w:val="24"/>
                <w:color w:val="auto"/>
              </w:rPr>
            </w:pPr>
          </w:p>
        </w:tc>
        <w:tc>
          <w:tcPr>
            <w:tcW w:w="340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Gross Square Feet</w:t>
            </w:r>
          </w:p>
        </w:tc>
        <w:tc>
          <w:tcPr>
            <w:tcW w:w="0" w:type="dxa"/>
            <w:vAlign w:val="bottom"/>
          </w:tcPr>
          <w:p>
            <w:pPr>
              <w:spacing w:after="0"/>
              <w:rPr>
                <w:sz w:val="1"/>
                <w:szCs w:val="1"/>
                <w:color w:val="auto"/>
              </w:rPr>
            </w:pPr>
          </w:p>
        </w:tc>
      </w:tr>
      <w:tr>
        <w:trPr>
          <w:trHeight w:val="130"/>
        </w:trPr>
        <w:tc>
          <w:tcPr>
            <w:tcW w:w="4380" w:type="dxa"/>
            <w:vAlign w:val="bottom"/>
            <w:tcBorders>
              <w:right w:val="single" w:sz="8" w:color="auto"/>
            </w:tcBorders>
          </w:tcPr>
          <w:p>
            <w:pPr>
              <w:spacing w:after="0"/>
              <w:rPr>
                <w:sz w:val="11"/>
                <w:szCs w:val="11"/>
                <w:color w:val="auto"/>
              </w:rPr>
            </w:pPr>
          </w:p>
        </w:tc>
        <w:tc>
          <w:tcPr>
            <w:tcW w:w="34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Third Quarter FY2026</w:t>
            </w:r>
          </w:p>
        </w:tc>
        <w:tc>
          <w:tcPr>
            <w:tcW w:w="3400" w:type="dxa"/>
            <w:vAlign w:val="bottom"/>
            <w:tcBorders>
              <w:right w:val="single" w:sz="8" w:color="auto"/>
            </w:tcBorders>
            <w:gridSpan w:val="3"/>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rPr>
              <w:t>Third Quarter FY2026</w:t>
            </w:r>
          </w:p>
        </w:tc>
        <w:tc>
          <w:tcPr>
            <w:tcW w:w="0" w:type="dxa"/>
            <w:vAlign w:val="bottom"/>
          </w:tcPr>
          <w:p>
            <w:pPr>
              <w:spacing w:after="0"/>
              <w:rPr>
                <w:sz w:val="1"/>
                <w:szCs w:val="1"/>
                <w:color w:val="auto"/>
              </w:rPr>
            </w:pPr>
          </w:p>
        </w:tc>
      </w:tr>
      <w:tr>
        <w:trPr>
          <w:trHeight w:val="126"/>
        </w:trPr>
        <w:tc>
          <w:tcPr>
            <w:tcW w:w="4380" w:type="dxa"/>
            <w:vAlign w:val="bottom"/>
            <w:tcBorders>
              <w:right w:val="single" w:sz="8" w:color="auto"/>
            </w:tcBorders>
          </w:tcPr>
          <w:p>
            <w:pPr>
              <w:spacing w:after="0"/>
              <w:rPr>
                <w:sz w:val="10"/>
                <w:szCs w:val="10"/>
                <w:color w:val="auto"/>
              </w:rPr>
            </w:pPr>
          </w:p>
        </w:tc>
        <w:tc>
          <w:tcPr>
            <w:tcW w:w="3420" w:type="dxa"/>
            <w:vAlign w:val="bottom"/>
            <w:tcBorders>
              <w:right w:val="single" w:sz="8" w:color="auto"/>
            </w:tcBorders>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180" w:type="dxa"/>
            <w:vAlign w:val="bottom"/>
            <w:tcBorders>
              <w:right w:val="single" w:sz="8" w:color="auto"/>
            </w:tcBorders>
            <w:gridSpan w:val="2"/>
            <w:vMerge w:val="restart"/>
          </w:tcPr>
          <w:p>
            <w:pPr>
              <w:jc w:val="center"/>
              <w:ind w:right="1170"/>
              <w:spacing w:after="0"/>
              <w:rPr>
                <w:sz w:val="20"/>
                <w:szCs w:val="20"/>
                <w:color w:val="auto"/>
              </w:rPr>
            </w:pPr>
            <w:r>
              <w:rPr>
                <w:rFonts w:ascii="Times New Roman" w:cs="Times New Roman" w:eastAsia="Times New Roman" w:hAnsi="Times New Roman"/>
                <w:sz w:val="18"/>
                <w:szCs w:val="18"/>
                <w:color w:val="auto"/>
                <w:w w:val="98"/>
              </w:rPr>
              <w:t>(in millions)</w:t>
            </w:r>
          </w:p>
        </w:tc>
        <w:tc>
          <w:tcPr>
            <w:tcW w:w="0" w:type="dxa"/>
            <w:vAlign w:val="bottom"/>
          </w:tcPr>
          <w:p>
            <w:pPr>
              <w:spacing w:after="0"/>
              <w:rPr>
                <w:sz w:val="1"/>
                <w:szCs w:val="1"/>
                <w:color w:val="auto"/>
              </w:rPr>
            </w:pPr>
          </w:p>
        </w:tc>
      </w:tr>
      <w:tr>
        <w:trPr>
          <w:trHeight w:val="108"/>
        </w:trPr>
        <w:tc>
          <w:tcPr>
            <w:tcW w:w="4380" w:type="dxa"/>
            <w:vAlign w:val="bottom"/>
            <w:tcBorders>
              <w:right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21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380" w:type="dxa"/>
            <w:vAlign w:val="bottom"/>
            <w:tcBorders>
              <w:right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End</w:t>
            </w:r>
          </w:p>
        </w:tc>
        <w:tc>
          <w:tcPr>
            <w:tcW w:w="1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7"/>
              </w:rPr>
              <w:t>Beginning</w:t>
            </w:r>
          </w:p>
        </w:tc>
        <w:tc>
          <w:tcPr>
            <w:tcW w:w="4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End</w:t>
            </w:r>
          </w:p>
        </w:tc>
        <w:tc>
          <w:tcPr>
            <w:tcW w:w="0" w:type="dxa"/>
            <w:vAlign w:val="bottom"/>
          </w:tcPr>
          <w:p>
            <w:pPr>
              <w:spacing w:after="0"/>
              <w:rPr>
                <w:sz w:val="1"/>
                <w:szCs w:val="1"/>
                <w:color w:val="auto"/>
              </w:rPr>
            </w:pPr>
          </w:p>
        </w:tc>
      </w:tr>
      <w:tr>
        <w:trPr>
          <w:trHeight w:val="148"/>
        </w:trPr>
        <w:tc>
          <w:tcPr>
            <w:tcW w:w="43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4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 the U.S.:</w:t>
            </w:r>
          </w:p>
        </w:tc>
        <w:tc>
          <w:tcPr>
            <w:tcW w:w="17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TJ Maxx</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1,340</w:t>
            </w:r>
          </w:p>
        </w:tc>
        <w:tc>
          <w:tcPr>
            <w:tcW w:w="640" w:type="dxa"/>
            <w:vAlign w:val="bottom"/>
          </w:tcPr>
          <w:p>
            <w:pPr>
              <w:spacing w:after="0"/>
              <w:rPr>
                <w:sz w:val="20"/>
                <w:szCs w:val="20"/>
                <w:color w:val="auto"/>
              </w:rPr>
            </w:pPr>
          </w:p>
        </w:tc>
        <w:tc>
          <w:tcPr>
            <w:tcW w:w="10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8"/>
              </w:rPr>
              <w:t>1,346</w:t>
            </w:r>
          </w:p>
        </w:tc>
        <w:tc>
          <w:tcPr>
            <w:tcW w:w="12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5"/>
              </w:rPr>
              <w:t>36.2</w:t>
            </w:r>
          </w:p>
        </w:tc>
        <w:tc>
          <w:tcPr>
            <w:tcW w:w="4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36.3</w:t>
            </w:r>
          </w:p>
        </w:tc>
        <w:tc>
          <w:tcPr>
            <w:tcW w:w="0" w:type="dxa"/>
            <w:vAlign w:val="bottom"/>
          </w:tcPr>
          <w:p>
            <w:pPr>
              <w:spacing w:after="0"/>
              <w:rPr>
                <w:sz w:val="1"/>
                <w:szCs w:val="1"/>
                <w:color w:val="auto"/>
              </w:rPr>
            </w:pP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8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Marshalls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1,234</w:t>
            </w:r>
          </w:p>
        </w:tc>
        <w:tc>
          <w:tcPr>
            <w:tcW w:w="640" w:type="dxa"/>
            <w:vAlign w:val="bottom"/>
          </w:tcPr>
          <w:p>
            <w:pPr>
              <w:spacing w:after="0"/>
              <w:rPr>
                <w:sz w:val="19"/>
                <w:szCs w:val="19"/>
                <w:color w:val="auto"/>
              </w:rPr>
            </w:pPr>
          </w:p>
        </w:tc>
        <w:tc>
          <w:tcPr>
            <w:tcW w:w="1080" w:type="dxa"/>
            <w:vAlign w:val="bottom"/>
            <w:tcBorders>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8"/>
              </w:rPr>
              <w:t>1,248</w:t>
            </w:r>
          </w:p>
        </w:tc>
        <w:tc>
          <w:tcPr>
            <w:tcW w:w="12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5"/>
              </w:rPr>
              <w:t>34.5</w:t>
            </w:r>
          </w:p>
        </w:tc>
        <w:tc>
          <w:tcPr>
            <w:tcW w:w="4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34.7</w:t>
            </w:r>
          </w:p>
        </w:tc>
        <w:tc>
          <w:tcPr>
            <w:tcW w:w="0" w:type="dxa"/>
            <w:vAlign w:val="bottom"/>
          </w:tcPr>
          <w:p>
            <w:pPr>
              <w:spacing w:after="0"/>
              <w:rPr>
                <w:sz w:val="1"/>
                <w:szCs w:val="1"/>
                <w:color w:val="auto"/>
              </w:rPr>
            </w:pP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8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HomeGoods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952</w:t>
            </w:r>
          </w:p>
        </w:tc>
        <w:tc>
          <w:tcPr>
            <w:tcW w:w="640" w:type="dxa"/>
            <w:vAlign w:val="bottom"/>
          </w:tcPr>
          <w:p>
            <w:pPr>
              <w:spacing w:after="0"/>
              <w:rPr>
                <w:sz w:val="19"/>
                <w:szCs w:val="19"/>
                <w:color w:val="auto"/>
              </w:rPr>
            </w:pPr>
          </w:p>
        </w:tc>
        <w:tc>
          <w:tcPr>
            <w:tcW w:w="10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6"/>
              </w:rPr>
              <w:t>958</w:t>
            </w:r>
          </w:p>
        </w:tc>
        <w:tc>
          <w:tcPr>
            <w:tcW w:w="12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5"/>
              </w:rPr>
              <w:t>22.3</w:t>
            </w:r>
          </w:p>
        </w:tc>
        <w:tc>
          <w:tcPr>
            <w:tcW w:w="4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22.5</w:t>
            </w:r>
          </w:p>
        </w:tc>
        <w:tc>
          <w:tcPr>
            <w:tcW w:w="0" w:type="dxa"/>
            <w:vAlign w:val="bottom"/>
          </w:tcPr>
          <w:p>
            <w:pPr>
              <w:spacing w:after="0"/>
              <w:rPr>
                <w:sz w:val="1"/>
                <w:szCs w:val="1"/>
                <w:color w:val="auto"/>
              </w:rPr>
            </w:pP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8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Sierra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127</w:t>
            </w:r>
          </w:p>
        </w:tc>
        <w:tc>
          <w:tcPr>
            <w:tcW w:w="640" w:type="dxa"/>
            <w:vAlign w:val="bottom"/>
          </w:tcPr>
          <w:p>
            <w:pPr>
              <w:spacing w:after="0"/>
              <w:rPr>
                <w:sz w:val="19"/>
                <w:szCs w:val="19"/>
                <w:color w:val="auto"/>
              </w:rPr>
            </w:pPr>
          </w:p>
        </w:tc>
        <w:tc>
          <w:tcPr>
            <w:tcW w:w="10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6"/>
              </w:rPr>
              <w:t>141</w:t>
            </w:r>
          </w:p>
        </w:tc>
        <w:tc>
          <w:tcPr>
            <w:tcW w:w="12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2.6</w:t>
            </w:r>
          </w:p>
        </w:tc>
        <w:tc>
          <w:tcPr>
            <w:tcW w:w="4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c>
          <w:tcPr>
            <w:tcW w:w="0" w:type="dxa"/>
            <w:vAlign w:val="bottom"/>
          </w:tcPr>
          <w:p>
            <w:pPr>
              <w:spacing w:after="0"/>
              <w:rPr>
                <w:sz w:val="1"/>
                <w:szCs w:val="1"/>
                <w:color w:val="auto"/>
              </w:rPr>
            </w:pP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8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Homesense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640" w:type="dxa"/>
            <w:vAlign w:val="bottom"/>
          </w:tcPr>
          <w:p>
            <w:pPr>
              <w:spacing w:after="0"/>
              <w:rPr>
                <w:sz w:val="19"/>
                <w:szCs w:val="19"/>
                <w:color w:val="auto"/>
              </w:rPr>
            </w:pPr>
          </w:p>
        </w:tc>
        <w:tc>
          <w:tcPr>
            <w:tcW w:w="10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77</w:t>
            </w:r>
          </w:p>
        </w:tc>
        <w:tc>
          <w:tcPr>
            <w:tcW w:w="12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2.1</w:t>
            </w:r>
          </w:p>
        </w:tc>
        <w:tc>
          <w:tcPr>
            <w:tcW w:w="4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 Canada:</w:t>
            </w:r>
          </w:p>
        </w:tc>
        <w:tc>
          <w:tcPr>
            <w:tcW w:w="17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Winners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311</w:t>
            </w:r>
          </w:p>
        </w:tc>
        <w:tc>
          <w:tcPr>
            <w:tcW w:w="640" w:type="dxa"/>
            <w:vAlign w:val="bottom"/>
          </w:tcPr>
          <w:p>
            <w:pPr>
              <w:spacing w:after="0"/>
              <w:rPr>
                <w:sz w:val="20"/>
                <w:szCs w:val="20"/>
                <w:color w:val="auto"/>
              </w:rPr>
            </w:pPr>
          </w:p>
        </w:tc>
        <w:tc>
          <w:tcPr>
            <w:tcW w:w="10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6"/>
              </w:rPr>
              <w:t>315</w:t>
            </w:r>
          </w:p>
        </w:tc>
        <w:tc>
          <w:tcPr>
            <w:tcW w:w="12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8.5</w:t>
            </w:r>
          </w:p>
        </w:tc>
        <w:tc>
          <w:tcPr>
            <w:tcW w:w="4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8.7</w:t>
            </w:r>
          </w:p>
        </w:tc>
        <w:tc>
          <w:tcPr>
            <w:tcW w:w="0" w:type="dxa"/>
            <w:vAlign w:val="bottom"/>
          </w:tcPr>
          <w:p>
            <w:pPr>
              <w:spacing w:after="0"/>
              <w:rPr>
                <w:sz w:val="1"/>
                <w:szCs w:val="1"/>
                <w:color w:val="auto"/>
              </w:rPr>
            </w:pP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8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HomeSense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161</w:t>
            </w:r>
          </w:p>
        </w:tc>
        <w:tc>
          <w:tcPr>
            <w:tcW w:w="640" w:type="dxa"/>
            <w:vAlign w:val="bottom"/>
          </w:tcPr>
          <w:p>
            <w:pPr>
              <w:spacing w:after="0"/>
              <w:rPr>
                <w:sz w:val="19"/>
                <w:szCs w:val="19"/>
                <w:color w:val="auto"/>
              </w:rPr>
            </w:pPr>
          </w:p>
        </w:tc>
        <w:tc>
          <w:tcPr>
            <w:tcW w:w="10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6"/>
              </w:rPr>
              <w:t>162</w:t>
            </w:r>
          </w:p>
        </w:tc>
        <w:tc>
          <w:tcPr>
            <w:tcW w:w="12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3.8</w:t>
            </w:r>
          </w:p>
        </w:tc>
        <w:tc>
          <w:tcPr>
            <w:tcW w:w="4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0" w:type="dxa"/>
            <w:vAlign w:val="bottom"/>
          </w:tcPr>
          <w:p>
            <w:pPr>
              <w:spacing w:after="0"/>
              <w:rPr>
                <w:sz w:val="1"/>
                <w:szCs w:val="1"/>
                <w:color w:val="auto"/>
              </w:rPr>
            </w:pP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8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Marshalls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640" w:type="dxa"/>
            <w:vAlign w:val="bottom"/>
          </w:tcPr>
          <w:p>
            <w:pPr>
              <w:spacing w:after="0"/>
              <w:rPr>
                <w:sz w:val="19"/>
                <w:szCs w:val="19"/>
                <w:color w:val="auto"/>
              </w:rPr>
            </w:pPr>
          </w:p>
        </w:tc>
        <w:tc>
          <w:tcPr>
            <w:tcW w:w="10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6"/>
              </w:rPr>
              <w:t>111</w:t>
            </w:r>
          </w:p>
        </w:tc>
        <w:tc>
          <w:tcPr>
            <w:tcW w:w="12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2.9</w:t>
            </w:r>
          </w:p>
        </w:tc>
        <w:tc>
          <w:tcPr>
            <w:tcW w:w="4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 Europe:</w:t>
            </w:r>
          </w:p>
        </w:tc>
        <w:tc>
          <w:tcPr>
            <w:tcW w:w="17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TK Maxx</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664</w:t>
            </w:r>
          </w:p>
        </w:tc>
        <w:tc>
          <w:tcPr>
            <w:tcW w:w="640" w:type="dxa"/>
            <w:vAlign w:val="bottom"/>
          </w:tcPr>
          <w:p>
            <w:pPr>
              <w:spacing w:after="0"/>
              <w:rPr>
                <w:sz w:val="20"/>
                <w:szCs w:val="20"/>
                <w:color w:val="auto"/>
              </w:rPr>
            </w:pPr>
          </w:p>
        </w:tc>
        <w:tc>
          <w:tcPr>
            <w:tcW w:w="10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6"/>
              </w:rPr>
              <w:t>672</w:t>
            </w:r>
          </w:p>
        </w:tc>
        <w:tc>
          <w:tcPr>
            <w:tcW w:w="12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5"/>
              </w:rPr>
              <w:t>18.3</w:t>
            </w:r>
          </w:p>
        </w:tc>
        <w:tc>
          <w:tcPr>
            <w:tcW w:w="4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18.5</w:t>
            </w:r>
          </w:p>
        </w:tc>
        <w:tc>
          <w:tcPr>
            <w:tcW w:w="0" w:type="dxa"/>
            <w:vAlign w:val="bottom"/>
          </w:tcPr>
          <w:p>
            <w:pPr>
              <w:spacing w:after="0"/>
              <w:rPr>
                <w:sz w:val="1"/>
                <w:szCs w:val="1"/>
                <w:color w:val="auto"/>
              </w:rPr>
            </w:pP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8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Homesense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640" w:type="dxa"/>
            <w:vAlign w:val="bottom"/>
          </w:tcPr>
          <w:p>
            <w:pPr>
              <w:spacing w:after="0"/>
              <w:rPr>
                <w:sz w:val="19"/>
                <w:szCs w:val="19"/>
                <w:color w:val="auto"/>
              </w:rPr>
            </w:pPr>
          </w:p>
        </w:tc>
        <w:tc>
          <w:tcPr>
            <w:tcW w:w="10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74</w:t>
            </w:r>
          </w:p>
        </w:tc>
        <w:tc>
          <w:tcPr>
            <w:tcW w:w="12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1.4</w:t>
            </w:r>
          </w:p>
        </w:tc>
        <w:tc>
          <w:tcPr>
            <w:tcW w:w="4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 Australia:</w:t>
            </w:r>
          </w:p>
        </w:tc>
        <w:tc>
          <w:tcPr>
            <w:tcW w:w="17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TK Maxx</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640" w:type="dxa"/>
            <w:vAlign w:val="bottom"/>
          </w:tcPr>
          <w:p>
            <w:pPr>
              <w:spacing w:after="0"/>
              <w:rPr>
                <w:sz w:val="20"/>
                <w:szCs w:val="20"/>
                <w:color w:val="auto"/>
              </w:rPr>
            </w:pPr>
          </w:p>
        </w:tc>
        <w:tc>
          <w:tcPr>
            <w:tcW w:w="1080" w:type="dxa"/>
            <w:vAlign w:val="bottom"/>
            <w:tcBorders>
              <w:right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87</w:t>
            </w:r>
          </w:p>
        </w:tc>
        <w:tc>
          <w:tcPr>
            <w:tcW w:w="12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1.8</w:t>
            </w:r>
          </w:p>
        </w:tc>
        <w:tc>
          <w:tcPr>
            <w:tcW w:w="4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w:t>
            </w:r>
          </w:p>
        </w:tc>
        <w:tc>
          <w:tcPr>
            <w:tcW w:w="0" w:type="dxa"/>
            <w:vAlign w:val="bottom"/>
          </w:tcPr>
          <w:p>
            <w:pPr>
              <w:spacing w:after="0"/>
              <w:rPr>
                <w:sz w:val="1"/>
                <w:szCs w:val="1"/>
                <w:color w:val="auto"/>
              </w:rPr>
            </w:pPr>
          </w:p>
        </w:tc>
      </w:tr>
      <w:tr>
        <w:trPr>
          <w:trHeight w:val="22"/>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TJX</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5,134</w:t>
            </w: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5,191</w:t>
            </w:r>
          </w:p>
        </w:tc>
        <w:tc>
          <w:tcPr>
            <w:tcW w:w="122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rPr>
              <w:t>134.4</w:t>
            </w:r>
          </w:p>
        </w:tc>
        <w:tc>
          <w:tcPr>
            <w:tcW w:w="4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135.7</w:t>
            </w: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Store counts above include both banners within a combo or a superstore.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Impact of Foreign Currency</w:t>
      </w:r>
    </w:p>
    <w:p>
      <w:pPr>
        <w:spacing w:after="0" w:line="247"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20"/>
          <w:szCs w:val="20"/>
          <w:color w:val="auto"/>
        </w:rPr>
        <w:t>Changes in foreign currency exchange rates affect the translation of sales and earnings of the Company’s international businesses into U.S. dollars for financial reporting purposes. In addition, ordinary course, inventory-related hedging instruments are marked to market at the end of each quarter. Changes in currency exchange rates can have a material effect on the magnitude of these translations and adjustments when there is significant volatility in currency exchange rates. Given the global operations of the Company, to facilitate comparability, the Company has provided sales growth and inventory on a constant currency basis, which assumes a constant exchange rate between periods for translation based on the rate in effect for the prior period.</w:t>
      </w:r>
    </w:p>
    <w:p>
      <w:pPr>
        <w:spacing w:after="0" w:line="205" w:lineRule="exact"/>
        <w:rPr>
          <w:sz w:val="20"/>
          <w:szCs w:val="20"/>
          <w:color w:val="auto"/>
        </w:rPr>
      </w:pPr>
    </w:p>
    <w:p>
      <w:pPr>
        <w:jc w:val="both"/>
        <w:ind w:right="100" w:firstLine="324"/>
        <w:spacing w:after="0" w:line="247" w:lineRule="auto"/>
        <w:rPr>
          <w:sz w:val="20"/>
          <w:szCs w:val="20"/>
          <w:color w:val="auto"/>
        </w:rPr>
      </w:pPr>
      <w:r>
        <w:rPr>
          <w:rFonts w:ascii="Times New Roman" w:cs="Times New Roman" w:eastAsia="Times New Roman" w:hAnsi="Times New Roman"/>
          <w:sz w:val="20"/>
          <w:szCs w:val="20"/>
          <w:color w:val="auto"/>
        </w:rPr>
        <w:t>The movement in foreign currency exchange rates had a neutral impact on the Company’s net sales growth in the third quarter of Fiscal 2026 versus the prior year. The overall net impact of foreign currency exchange rates had a $.01 positive impact on third quarter Fiscal 2026 diluted earnings per share.</w:t>
      </w:r>
    </w:p>
    <w:p>
      <w:pPr>
        <w:spacing w:after="0" w:line="194" w:lineRule="exact"/>
        <w:rPr>
          <w:sz w:val="20"/>
          <w:szCs w:val="20"/>
          <w:color w:val="auto"/>
        </w:rPr>
      </w:pPr>
    </w:p>
    <w:p>
      <w:pPr>
        <w:jc w:val="both"/>
        <w:ind w:right="160" w:firstLine="324"/>
        <w:spacing w:after="0" w:line="247" w:lineRule="auto"/>
        <w:rPr>
          <w:sz w:val="20"/>
          <w:szCs w:val="20"/>
          <w:color w:val="auto"/>
        </w:rPr>
      </w:pPr>
      <w:r>
        <w:rPr>
          <w:rFonts w:ascii="Times New Roman" w:cs="Times New Roman" w:eastAsia="Times New Roman" w:hAnsi="Times New Roman"/>
          <w:sz w:val="20"/>
          <w:szCs w:val="20"/>
          <w:color w:val="auto"/>
        </w:rPr>
        <w:t>The movement in foreign currency exchange rates had a one percentage point positive impact on the Company’s net sales growth in the first nine months of Fiscal 2026 versus the prior year. The overall net impact of foreign currency exchange rates had a $.01 positive impact on the first nine months of Fiscal 2026 diluted earnings per share.</w:t>
      </w:r>
    </w:p>
    <w:p>
      <w:pPr>
        <w:spacing w:after="0" w:line="194" w:lineRule="exact"/>
        <w:rPr>
          <w:sz w:val="20"/>
          <w:szCs w:val="20"/>
          <w:color w:val="auto"/>
        </w:rPr>
      </w:pPr>
    </w:p>
    <w:p>
      <w:pPr>
        <w:ind w:right="800" w:firstLine="324"/>
        <w:spacing w:after="0" w:line="283" w:lineRule="auto"/>
        <w:rPr>
          <w:sz w:val="20"/>
          <w:szCs w:val="20"/>
          <w:color w:val="auto"/>
        </w:rPr>
      </w:pPr>
      <w:r>
        <w:rPr>
          <w:rFonts w:ascii="Times New Roman" w:cs="Times New Roman" w:eastAsia="Times New Roman" w:hAnsi="Times New Roman"/>
          <w:sz w:val="20"/>
          <w:szCs w:val="20"/>
          <w:color w:val="auto"/>
        </w:rPr>
        <w:t>A table detailing the impact of foreign currency on TJX’s net sales and pretax profit margin, as well as those of its international businesses, can be found in the Investors section of TJX.com.</w:t>
      </w:r>
    </w:p>
    <w:p>
      <w:pPr>
        <w:spacing w:after="0" w:line="187" w:lineRule="exact"/>
        <w:rPr>
          <w:sz w:val="20"/>
          <w:szCs w:val="20"/>
          <w:color w:val="auto"/>
        </w:rPr>
      </w:pPr>
    </w:p>
    <w:p>
      <w:pPr>
        <w:ind w:right="340" w:firstLine="324"/>
        <w:spacing w:after="0" w:line="269" w:lineRule="auto"/>
        <w:rPr>
          <w:sz w:val="20"/>
          <w:szCs w:val="20"/>
          <w:color w:val="auto"/>
        </w:rPr>
      </w:pPr>
      <w:r>
        <w:rPr>
          <w:rFonts w:ascii="Times New Roman" w:cs="Times New Roman" w:eastAsia="Times New Roman" w:hAnsi="Times New Roman"/>
          <w:sz w:val="20"/>
          <w:szCs w:val="20"/>
          <w:color w:val="auto"/>
        </w:rPr>
        <w:t>The foreign currency exchange rate impact to diluted earnings per share does not include the impact currency exchange rates have on various transactions, which the Company refers to as “transactional foreign exchange.”</w:t>
      </w:r>
    </w:p>
    <w:p>
      <w:pPr>
        <w:sectPr>
          <w:pgSz w:w="11900" w:h="16838" w:orient="portrait"/>
          <w:cols w:equalWidth="0" w:num="1">
            <w:col w:w="11220"/>
          </w:cols>
          <w:pgMar w:left="320" w:top="761" w:right="35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20" w:top="76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u w:val="single" w:color="auto"/>
          <w:color w:val="auto"/>
        </w:rPr>
        <w:t>Global Corporate Responsibility Report</w:t>
      </w:r>
    </w:p>
    <w:p>
      <w:pPr>
        <w:spacing w:after="0" w:line="260"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20"/>
          <w:szCs w:val="20"/>
          <w:color w:val="auto"/>
        </w:rPr>
        <w:t>During the third quarter of Fiscal 2026, the Company published its 2025 Global Corporate Responsibility Report. The report shares details on the Company’s initiatives related to its reporting areas of workplace, communities, environmental sustainability, and responsible sourcing, in addition to details on governance. TJX has reported on its corporate responsibility efforts since 2011. More information can be found at TJX.com/responsibility.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The TJX Companies, Inc.</w:t>
      </w:r>
    </w:p>
    <w:p>
      <w:pPr>
        <w:spacing w:after="0" w:line="260"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20"/>
          <w:szCs w:val="20"/>
          <w:color w:val="auto"/>
        </w:rPr>
        <w:t>The TJX Companies, Inc., a Fortune 100 company, is the leading off-price retailer of apparel and home fashions in the U.S. and worldwide. Our mission is to deliver great value to customers every day. We do this by offering a rapidly changing assortment of quality, fashionable, brand name, and designer merchandise at prices generally 20% to 60% below full-price retailers’ regular prices on comparable merchandise. We operate over 5,100 stores across nine countries, including TJ Maxx, Marshalls, HomeGoods, Homesense, and Sierra in the U.S.; Winners, HomeSense, and Marshalls in Canada; TK Maxx and Homesense in Europe; and TK Maxx in Australia. We also operate e-commerce sites for TJ Maxx, Marshalls, and Sierra in the U.S. and three sites for TK Maxx in Europe. Our value mission extends to our corporate responsibility efforts, which are focused on supporting our Associates, giving back in the communities we serve, the environment, and operating responsibly. Additional information about TJX’s press releases, financial information, and corporate responsibility are available at TJX.com.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Fiscal 2026 Earnings Conference Call</w:t>
      </w:r>
    </w:p>
    <w:p>
      <w:pPr>
        <w:spacing w:after="0" w:line="26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20"/>
          <w:szCs w:val="20"/>
          <w:color w:val="auto"/>
        </w:rPr>
        <w:t>At 11:00 a.m. ET today, Ernie Herrman, Chief Executive Officer and President of TJX, will hold a conference call to discuss the Company’s third quarter Fiscal 2026 results, operations, and business trends. A real-time webcast of the call will be available to the public at TJX.com. A replay of the call will also be available by dialing (866) 367-5577 (toll free) or (203) 369-0233 through Tuesday, November 25, 2025, or at TJX.com.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Financial Information</w:t>
      </w:r>
    </w:p>
    <w:p>
      <w:pPr>
        <w:spacing w:after="0" w:line="24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20"/>
          <w:szCs w:val="20"/>
          <w:color w:val="auto"/>
        </w:rPr>
        <w:t>The Company reports its financial results in accordance with generally accepted accounting principles in the U.S. (GAAP). However, management believes that certain non-GAAP financial measures may provide users of this financial information additional meaningful comparisons between current results and results in prior operating periods and between results in prior periods and expectations for future periods. Management believes that these non-GAAP financial measures can provide additional meaningful reflection of underlying trends of the business because they provide a comparison of historical information that excludes certain items that affect overall comparability. Non-GAAP financial measures used in this press release include sales growth on a constant currency basis and inventory on a constant currency basis. The Company uses these non-GAAP financial measures in making financial, operating, and planning decisions and in evaluating the Company’s performance, including relative to others in the market. Management also uses these non-GAAP measures to consider underlying trends of the Company’s business and believes presenting these measures also provides information to investors and others to assist them in understanding and evaluating trends in the Company’s operating results or measure performance in the same manner as the Company’s management. Non-GAAP financial measures should be considered in addition to, and not as an alternative to, the Company’s reported results prepared in accordance with GAAP. The use of these non-GAAP financial measures may differ from similar measures reported by other companies and may not be comparable to other similarly titled measures.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Important Information at Website</w:t>
      </w:r>
    </w:p>
    <w:p>
      <w:pPr>
        <w:spacing w:after="0" w:line="26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20"/>
          <w:szCs w:val="20"/>
          <w:color w:val="auto"/>
        </w:rPr>
        <w:t>Archived versions of the Company’s conference calls are available in the Investors section of TJX.com after they are no longer available by telephone, as are reconciliations of non-GAAP financial measures to GAAP financial measures and other financial information. The Company routinely posts information that may be important to investors in the Investors section at TJX.com. The Company encourages investors to consult that section of its website regularly.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00"/>
          </w:cols>
          <w:pgMar w:left="320" w:top="76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w:t>
      </w:r>
    </w:p>
    <w:p>
      <w:pPr>
        <w:spacing w:after="0" w:line="25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Various statements made in this release are forward-looking, and are inherently subject to a number of risks and uncertainties. All statements that address activities, events or developments that we intend, expect or believe may occur in the future are forward-looking statements, including, among others, statements regarding the Company’s anticipated operating and financial performance, the impact of tariffs on its business, business plans and prospects, dividends and share repurchases, and fourth quarter and full year Fiscal 2026 outlook. These statements are typically accompanied by the words “aim,” “anticipate,” “aspire,” “believe,” “continue,” “could,” “should,” “estimate,” “expect,” “forecast,” “goal,” “hope,” “intend,” “may,” “plan,” “project,” “potential,” “seek,” “strive,” “target,” “will,” “would,” or similar words, although not all forward-looking statements contain these identifying words. Each forward-looking statement contained in this press release is inherently subject to risks, uncertainties and potentially inaccurate assumptions that could cause actual results to differ materially from those expressed or implied by such statement. We cannot guarantee that the results and other expectations expressed, anticipated or implied in any forward-looking statement will be realized. Applicable risks and uncertainties include, among others, execution of buying strategy and inventory management; customer trends and preferences; competition; various marketing efforts; operational and business expansion; management of large size and scale; merchandise sourcing and transport; international trade and tariff policies; data security and maintenance and development of information technology systems; labor costs and workforce challenges; personnel recruitment, training and retention; corporate and retail banner reputation; evolving corporate governance and public disclosure regulations and expectations with respect to environmental, social and governance matters; expanding international operations; fluctuations in quarterly operating results and market expectations; inventory or asset loss; cash flow; mergers, acquisitions, or business investments and divestitures, closings or business consolidations; real estate activities; economic conditions and consumer spending; market instability; severe weather, serious disruptions or catastrophic events; disproportionate impact of disruptions during the fiscal year; commodity availability and pricing; fluctuations in currency exchange rates; compliance with laws, regulations and orders and changes in laws, regulations and applicable accounting standards; outcomes of litigation, legal proceedings and other legal or regulatory matters; quality, safety and other issues with our merchandise; tax matters; and other factors set forth under Item 1A of our most recent Annual Report on Form 10-K, as well as other information we file with the Securities and Exchange Commission ( “SEC”).</w:t>
      </w:r>
    </w:p>
    <w:p>
      <w:pPr>
        <w:spacing w:after="0" w:line="21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6"/>
          <w:szCs w:val="16"/>
          <w:color w:val="auto"/>
        </w:rPr>
        <w:t>We caution investors, potential investors and others not to place considerable reliance on the forward-looking statements contained in this release. You are encouraged to read any further disclosures we may make in our future reports to the SEC, available at www.sec.gov, on our website, or otherwise. Our forward-looking statements in this release speak only as of the date of this release, and we undertake no obligation to update or revise any of these statements, unless required by law, even if experience or future changes make it clear that any projected results expressed or implied in such statements will not be realized. Our business is subject to substantial risks and uncertainties, including those referenced above. Investors, potential investors, and others should give careful consideration to these risks and uncertainties.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761" w:right="339" w:bottom="1440" w:gutter="0" w:footer="0" w:header="0"/>
        </w:sectPr>
      </w:pPr>
    </w:p>
    <w:bookmarkStart w:id="9" w:name="page10"/>
    <w:bookmarkEnd w:id="9"/>
    <w:p>
      <w:pPr>
        <w:ind w:left="3340"/>
        <w:spacing w:after="0"/>
        <w:rPr>
          <w:sz w:val="20"/>
          <w:szCs w:val="20"/>
          <w:color w:val="auto"/>
        </w:rPr>
      </w:pPr>
      <w:r>
        <w:rPr>
          <w:rFonts w:ascii="Times New Roman" w:cs="Times New Roman" w:eastAsia="Times New Roman" w:hAnsi="Times New Roman"/>
          <w:sz w:val="20"/>
          <w:szCs w:val="20"/>
          <w:color w:val="auto"/>
        </w:rPr>
        <w:t>The TJX Companies, Inc. and Consolidated Subsidiaries</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Financial Summary</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Millions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3"/>
          </w:tcPr>
          <w:p>
            <w:pPr>
              <w:jc w:val="right"/>
              <w:ind w:right="561"/>
              <w:spacing w:after="0"/>
              <w:rPr>
                <w:sz w:val="20"/>
                <w:szCs w:val="20"/>
                <w:color w:val="auto"/>
              </w:rPr>
            </w:pPr>
            <w:r>
              <w:rPr>
                <w:rFonts w:ascii="Times New Roman" w:cs="Times New Roman" w:eastAsia="Times New Roman" w:hAnsi="Times New Roman"/>
                <w:sz w:val="20"/>
                <w:szCs w:val="20"/>
                <w:color w:val="auto"/>
              </w:rPr>
              <w:t>Thirteen Weeks Ended</w:t>
            </w:r>
          </w:p>
        </w:tc>
        <w:tc>
          <w:tcPr>
            <w:tcW w:w="1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20"/>
                <w:szCs w:val="20"/>
                <w:color w:val="auto"/>
              </w:rPr>
              <w:t>Thirty-Nine Weeks Ended</w:t>
            </w:r>
          </w:p>
        </w:tc>
      </w:tr>
      <w:tr>
        <w:trPr>
          <w:trHeight w:val="190"/>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61"/>
              <w:spacing w:after="0" w:line="190" w:lineRule="exact"/>
              <w:rPr>
                <w:sz w:val="20"/>
                <w:szCs w:val="20"/>
                <w:color w:val="auto"/>
              </w:rPr>
            </w:pPr>
            <w:r>
              <w:rPr>
                <w:rFonts w:ascii="Times New Roman" w:cs="Times New Roman" w:eastAsia="Times New Roman" w:hAnsi="Times New Roman"/>
                <w:sz w:val="20"/>
                <w:szCs w:val="20"/>
                <w:color w:val="auto"/>
              </w:rPr>
              <w:t>November 1,</w:t>
            </w:r>
          </w:p>
        </w:tc>
        <w:tc>
          <w:tcPr>
            <w:tcW w:w="180" w:type="dxa"/>
            <w:vAlign w:val="bottom"/>
          </w:tcPr>
          <w:p>
            <w:pPr>
              <w:spacing w:after="0"/>
              <w:rPr>
                <w:sz w:val="16"/>
                <w:szCs w:val="16"/>
                <w:color w:val="auto"/>
              </w:rPr>
            </w:pPr>
          </w:p>
        </w:tc>
        <w:tc>
          <w:tcPr>
            <w:tcW w:w="1360" w:type="dxa"/>
            <w:vAlign w:val="bottom"/>
          </w:tcPr>
          <w:p>
            <w:pPr>
              <w:jc w:val="right"/>
              <w:ind w:right="141"/>
              <w:spacing w:after="0" w:line="190" w:lineRule="exact"/>
              <w:rPr>
                <w:sz w:val="20"/>
                <w:szCs w:val="20"/>
                <w:color w:val="auto"/>
              </w:rPr>
            </w:pPr>
            <w:r>
              <w:rPr>
                <w:rFonts w:ascii="Times New Roman" w:cs="Times New Roman" w:eastAsia="Times New Roman" w:hAnsi="Times New Roman"/>
                <w:sz w:val="20"/>
                <w:szCs w:val="20"/>
                <w:color w:val="auto"/>
              </w:rPr>
              <w:t>November 2,</w:t>
            </w:r>
          </w:p>
        </w:tc>
        <w:tc>
          <w:tcPr>
            <w:tcW w:w="180" w:type="dxa"/>
            <w:vAlign w:val="bottom"/>
          </w:tcPr>
          <w:p>
            <w:pPr>
              <w:spacing w:after="0"/>
              <w:rPr>
                <w:sz w:val="16"/>
                <w:szCs w:val="16"/>
                <w:color w:val="auto"/>
              </w:rPr>
            </w:pPr>
          </w:p>
        </w:tc>
        <w:tc>
          <w:tcPr>
            <w:tcW w:w="1300" w:type="dxa"/>
            <w:vAlign w:val="bottom"/>
          </w:tcPr>
          <w:p>
            <w:pPr>
              <w:jc w:val="right"/>
              <w:ind w:right="121"/>
              <w:spacing w:after="0" w:line="190" w:lineRule="exact"/>
              <w:rPr>
                <w:sz w:val="20"/>
                <w:szCs w:val="20"/>
                <w:color w:val="auto"/>
              </w:rPr>
            </w:pPr>
            <w:r>
              <w:rPr>
                <w:rFonts w:ascii="Times New Roman" w:cs="Times New Roman" w:eastAsia="Times New Roman" w:hAnsi="Times New Roman"/>
                <w:sz w:val="20"/>
                <w:szCs w:val="20"/>
                <w:color w:val="auto"/>
              </w:rPr>
              <w:t>November 1,</w:t>
            </w:r>
          </w:p>
        </w:tc>
        <w:tc>
          <w:tcPr>
            <w:tcW w:w="160" w:type="dxa"/>
            <w:vAlign w:val="bottom"/>
          </w:tcPr>
          <w:p>
            <w:pPr>
              <w:spacing w:after="0"/>
              <w:rPr>
                <w:sz w:val="16"/>
                <w:szCs w:val="16"/>
                <w:color w:val="auto"/>
              </w:rPr>
            </w:pPr>
          </w:p>
        </w:tc>
        <w:tc>
          <w:tcPr>
            <w:tcW w:w="1280" w:type="dxa"/>
            <w:vAlign w:val="bottom"/>
          </w:tcPr>
          <w:p>
            <w:pPr>
              <w:jc w:val="right"/>
              <w:ind w:right="101"/>
              <w:spacing w:after="0" w:line="190" w:lineRule="exact"/>
              <w:rPr>
                <w:sz w:val="20"/>
                <w:szCs w:val="20"/>
                <w:color w:val="auto"/>
              </w:rPr>
            </w:pPr>
            <w:r>
              <w:rPr>
                <w:rFonts w:ascii="Times New Roman" w:cs="Times New Roman" w:eastAsia="Times New Roman" w:hAnsi="Times New Roman"/>
                <w:sz w:val="20"/>
                <w:szCs w:val="20"/>
                <w:color w:val="auto"/>
              </w:rPr>
              <w:t>November 2,</w:t>
            </w:r>
          </w:p>
        </w:tc>
      </w:tr>
      <w:tr>
        <w:trPr>
          <w:trHeight w:val="252"/>
        </w:trPr>
        <w:tc>
          <w:tcPr>
            <w:tcW w:w="5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2024</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2024</w:t>
            </w:r>
          </w:p>
        </w:tc>
      </w:tr>
      <w:tr>
        <w:trPr>
          <w:trHeight w:val="250"/>
        </w:trPr>
        <w:tc>
          <w:tcPr>
            <w:tcW w:w="5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15,117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14,063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42,629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40,010</w:t>
            </w:r>
          </w:p>
        </w:tc>
      </w:tr>
      <w:tr>
        <w:trPr>
          <w:trHeight w:val="25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 including buying and occupancy costs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10,190</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9,622</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29,412</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27,741</w:t>
            </w:r>
          </w:p>
        </w:tc>
      </w:tr>
      <w:tr>
        <w:trPr>
          <w:trHeight w:val="25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3,039</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2,748</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8,393</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7,814</w:t>
            </w:r>
          </w:p>
        </w:tc>
      </w:tr>
      <w:tr>
        <w:trPr>
          <w:trHeight w:val="25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Interest (income) expense, net</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1,916</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1,736</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4,909</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4,594</w:t>
            </w:r>
          </w:p>
        </w:tc>
      </w:tr>
      <w:tr>
        <w:trPr>
          <w:trHeight w:val="25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1,188</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1,128</w:t>
            </w:r>
          </w:p>
        </w:tc>
      </w:tr>
      <w:tr>
        <w:trPr>
          <w:trHeight w:val="250"/>
        </w:trPr>
        <w:tc>
          <w:tcPr>
            <w:tcW w:w="5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1,442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1,297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3,721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3,466</w:t>
            </w:r>
          </w:p>
        </w:tc>
      </w:tr>
      <w:tr>
        <w:trPr>
          <w:trHeight w:val="250"/>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Diluted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w:t>
            </w:r>
          </w:p>
        </w:tc>
      </w:tr>
      <w:tr>
        <w:trPr>
          <w:trHeight w:val="257"/>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Cash dividends declared per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0.425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1.125</w:t>
            </w:r>
          </w:p>
        </w:tc>
      </w:tr>
      <w:tr>
        <w:trPr>
          <w:trHeight w:val="257"/>
        </w:trPr>
        <w:tc>
          <w:tcPr>
            <w:tcW w:w="5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Weighted average common shares – diluted</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1,126</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1,141</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80"/>
          </w:cols>
          <w:pgMar w:left="360" w:top="927"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3"/>
        </w:trPr>
        <w:tc>
          <w:tcPr>
            <w:tcW w:w="8100" w:type="dxa"/>
            <w:vAlign w:val="bottom"/>
          </w:tcPr>
          <w:p>
            <w:pPr>
              <w:jc w:val="center"/>
              <w:ind w:left="3041"/>
              <w:spacing w:after="0"/>
              <w:rPr>
                <w:sz w:val="20"/>
                <w:szCs w:val="20"/>
                <w:color w:val="auto"/>
              </w:rPr>
            </w:pPr>
            <w:r>
              <w:rPr>
                <w:rFonts w:ascii="Times New Roman" w:cs="Times New Roman" w:eastAsia="Times New Roman" w:hAnsi="Times New Roman"/>
                <w:sz w:val="20"/>
                <w:szCs w:val="20"/>
                <w:color w:val="auto"/>
                <w:w w:val="98"/>
              </w:rPr>
              <w:t>The TJX Companies, Inc. and Consolidated Subsidiaries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9"/>
        </w:trPr>
        <w:tc>
          <w:tcPr>
            <w:tcW w:w="8100" w:type="dxa"/>
            <w:vAlign w:val="bottom"/>
          </w:tcPr>
          <w:p>
            <w:pPr>
              <w:jc w:val="center"/>
              <w:ind w:left="3061"/>
              <w:spacing w:after="0"/>
              <w:rPr>
                <w:sz w:val="20"/>
                <w:szCs w:val="20"/>
                <w:color w:val="auto"/>
              </w:rPr>
            </w:pPr>
            <w:r>
              <w:rPr>
                <w:rFonts w:ascii="Times New Roman" w:cs="Times New Roman" w:eastAsia="Times New Roman" w:hAnsi="Times New Roman"/>
                <w:sz w:val="20"/>
                <w:szCs w:val="20"/>
                <w:color w:val="auto"/>
                <w:w w:val="99"/>
              </w:rPr>
              <w:t>Condensed Balance Sheets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3"/>
        </w:trPr>
        <w:tc>
          <w:tcPr>
            <w:tcW w:w="8100" w:type="dxa"/>
            <w:vAlign w:val="bottom"/>
          </w:tcPr>
          <w:p>
            <w:pPr>
              <w:jc w:val="center"/>
              <w:ind w:left="3041"/>
              <w:spacing w:after="0"/>
              <w:rPr>
                <w:sz w:val="20"/>
                <w:szCs w:val="20"/>
                <w:color w:val="auto"/>
              </w:rPr>
            </w:pPr>
            <w:r>
              <w:rPr>
                <w:rFonts w:ascii="Times New Roman" w:cs="Times New Roman" w:eastAsia="Times New Roman" w:hAnsi="Times New Roman"/>
                <w:sz w:val="20"/>
                <w:szCs w:val="20"/>
                <w:color w:val="auto"/>
                <w:w w:val="99"/>
              </w:rPr>
              <w:t>(Unaudited)</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8"/>
        </w:trPr>
        <w:tc>
          <w:tcPr>
            <w:tcW w:w="8100" w:type="dxa"/>
            <w:vAlign w:val="bottom"/>
          </w:tcPr>
          <w:p>
            <w:pPr>
              <w:jc w:val="center"/>
              <w:ind w:left="3061"/>
              <w:spacing w:after="0"/>
              <w:rPr>
                <w:sz w:val="20"/>
                <w:szCs w:val="20"/>
                <w:color w:val="auto"/>
              </w:rPr>
            </w:pPr>
            <w:r>
              <w:rPr>
                <w:rFonts w:ascii="Times New Roman" w:cs="Times New Roman" w:eastAsia="Times New Roman" w:hAnsi="Times New Roman"/>
                <w:sz w:val="20"/>
                <w:szCs w:val="20"/>
                <w:color w:val="auto"/>
                <w:w w:val="99"/>
              </w:rPr>
              <w:t>(In Millions)</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4"/>
        </w:trPr>
        <w:tc>
          <w:tcPr>
            <w:tcW w:w="8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01"/>
              <w:spacing w:after="0" w:line="214" w:lineRule="exact"/>
              <w:rPr>
                <w:sz w:val="20"/>
                <w:szCs w:val="20"/>
                <w:color w:val="auto"/>
              </w:rPr>
            </w:pPr>
            <w:r>
              <w:rPr>
                <w:rFonts w:ascii="Times New Roman" w:cs="Times New Roman" w:eastAsia="Times New Roman" w:hAnsi="Times New Roman"/>
                <w:sz w:val="20"/>
                <w:szCs w:val="20"/>
                <w:color w:val="auto"/>
              </w:rPr>
              <w:t>November 1,</w:t>
            </w:r>
          </w:p>
        </w:tc>
        <w:tc>
          <w:tcPr>
            <w:tcW w:w="180" w:type="dxa"/>
            <w:vAlign w:val="bottom"/>
          </w:tcPr>
          <w:p>
            <w:pPr>
              <w:spacing w:after="0"/>
              <w:rPr>
                <w:sz w:val="18"/>
                <w:szCs w:val="18"/>
                <w:color w:val="auto"/>
              </w:rPr>
            </w:pPr>
          </w:p>
        </w:tc>
        <w:tc>
          <w:tcPr>
            <w:tcW w:w="1300" w:type="dxa"/>
            <w:vAlign w:val="bottom"/>
          </w:tcPr>
          <w:p>
            <w:pPr>
              <w:jc w:val="right"/>
              <w:ind w:right="121"/>
              <w:spacing w:after="0" w:line="214" w:lineRule="exact"/>
              <w:rPr>
                <w:sz w:val="20"/>
                <w:szCs w:val="20"/>
                <w:color w:val="auto"/>
              </w:rPr>
            </w:pPr>
            <w:r>
              <w:rPr>
                <w:rFonts w:ascii="Times New Roman" w:cs="Times New Roman" w:eastAsia="Times New Roman" w:hAnsi="Times New Roman"/>
                <w:sz w:val="20"/>
                <w:szCs w:val="20"/>
                <w:color w:val="auto"/>
              </w:rPr>
              <w:t>November 2,</w:t>
            </w:r>
          </w:p>
        </w:tc>
      </w:tr>
      <w:tr>
        <w:trPr>
          <w:trHeight w:val="252"/>
        </w:trPr>
        <w:tc>
          <w:tcPr>
            <w:tcW w:w="8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2024</w:t>
            </w:r>
          </w:p>
        </w:tc>
      </w:tr>
      <w:tr>
        <w:trPr>
          <w:trHeight w:val="25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7"/>
        </w:trPr>
        <w:tc>
          <w:tcPr>
            <w:tcW w:w="8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Current assets:</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4,718</w:t>
            </w:r>
          </w:p>
        </w:tc>
      </w:tr>
      <w:tr>
        <w:trPr>
          <w:trHeight w:val="256"/>
        </w:trPr>
        <w:tc>
          <w:tcPr>
            <w:tcW w:w="8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Accounts receivable and other current assets</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1,321</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1,263</w:t>
            </w:r>
          </w:p>
        </w:tc>
      </w:tr>
      <w:tr>
        <w:trPr>
          <w:trHeight w:val="257"/>
        </w:trPr>
        <w:tc>
          <w:tcPr>
            <w:tcW w:w="81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Merchandise inventories</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9,353</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8,371</w:t>
            </w:r>
          </w:p>
        </w:tc>
      </w:tr>
      <w:tr>
        <w:trPr>
          <w:trHeight w:val="250"/>
        </w:trPr>
        <w:tc>
          <w:tcPr>
            <w:tcW w:w="8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current assets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15,314</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14,352</w:t>
            </w:r>
          </w:p>
        </w:tc>
      </w:tr>
      <w:tr>
        <w:trPr>
          <w:trHeight w:val="25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property at cost</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7,926</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7,136</w:t>
            </w:r>
          </w:p>
        </w:tc>
      </w:tr>
      <w:tr>
        <w:trPr>
          <w:trHeight w:val="257"/>
        </w:trPr>
        <w:tc>
          <w:tcPr>
            <w:tcW w:w="8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Operating lease right of use assets</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10,039</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9,570</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Goodwill</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7"/>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Other assets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1,814</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1,283</w:t>
            </w:r>
          </w:p>
        </w:tc>
      </w:tr>
      <w:tr>
        <w:trPr>
          <w:trHeight w:val="250"/>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35,188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32,436</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 and shareholders' equity</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Current liabilities: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7"/>
        </w:trPr>
        <w:tc>
          <w:tcPr>
            <w:tcW w:w="8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Accounts payable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5,937</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5,617</w:t>
            </w:r>
          </w:p>
        </w:tc>
      </w:tr>
      <w:tr>
        <w:trPr>
          <w:trHeight w:val="257"/>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5,356</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4,758</w:t>
            </w:r>
          </w:p>
        </w:tc>
      </w:tr>
      <w:tr>
        <w:trPr>
          <w:trHeight w:val="257"/>
        </w:trPr>
        <w:tc>
          <w:tcPr>
            <w:tcW w:w="8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1,709</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w:t>
            </w:r>
          </w:p>
        </w:tc>
      </w:tr>
      <w:tr>
        <w:trPr>
          <w:trHeight w:val="256"/>
        </w:trPr>
        <w:tc>
          <w:tcPr>
            <w:tcW w:w="81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999</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8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14,001</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12,017</w:t>
            </w:r>
          </w:p>
        </w:tc>
      </w:tr>
      <w:tr>
        <w:trPr>
          <w:trHeight w:val="25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1,103</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1,002</w:t>
            </w:r>
          </w:p>
        </w:tc>
      </w:tr>
      <w:tr>
        <w:trPr>
          <w:trHeight w:val="256"/>
        </w:trPr>
        <w:tc>
          <w:tcPr>
            <w:tcW w:w="8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Non-current deferred income taxes, net</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Long-term operating lease liabilities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8,616</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8,207</w:t>
            </w:r>
          </w:p>
        </w:tc>
      </w:tr>
      <w:tr>
        <w:trPr>
          <w:trHeight w:val="256"/>
        </w:trPr>
        <w:tc>
          <w:tcPr>
            <w:tcW w:w="8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Long-term debt</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w:t>
            </w:r>
          </w:p>
        </w:tc>
      </w:tr>
      <w:tr>
        <w:trPr>
          <w:trHeight w:val="257"/>
        </w:trPr>
        <w:tc>
          <w:tcPr>
            <w:tcW w:w="8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6"/>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Shareholders’ equity</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9,359</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8,173</w:t>
            </w:r>
          </w:p>
        </w:tc>
      </w:tr>
      <w:tr>
        <w:trPr>
          <w:trHeight w:val="250"/>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 liabilities and shareholders' equity</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35,188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32,436</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92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3"/>
        </w:trPr>
        <w:tc>
          <w:tcPr>
            <w:tcW w:w="8300" w:type="dxa"/>
            <w:vAlign w:val="bottom"/>
          </w:tcPr>
          <w:p>
            <w:pPr>
              <w:jc w:val="center"/>
              <w:ind w:left="2802"/>
              <w:spacing w:after="0"/>
              <w:rPr>
                <w:sz w:val="20"/>
                <w:szCs w:val="20"/>
                <w:color w:val="auto"/>
              </w:rPr>
            </w:pPr>
            <w:r>
              <w:rPr>
                <w:rFonts w:ascii="Times New Roman" w:cs="Times New Roman" w:eastAsia="Times New Roman" w:hAnsi="Times New Roman"/>
                <w:sz w:val="20"/>
                <w:szCs w:val="20"/>
                <w:color w:val="auto"/>
                <w:w w:val="98"/>
              </w:rPr>
              <w:t>The TJX Companies, Inc. and Consolidated Subsidiaries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8300" w:type="dxa"/>
            <w:vAlign w:val="bottom"/>
          </w:tcPr>
          <w:p>
            <w:pPr>
              <w:jc w:val="center"/>
              <w:ind w:left="2802"/>
              <w:spacing w:after="0"/>
              <w:rPr>
                <w:sz w:val="20"/>
                <w:szCs w:val="20"/>
                <w:color w:val="auto"/>
              </w:rPr>
            </w:pPr>
            <w:r>
              <w:rPr>
                <w:rFonts w:ascii="Times New Roman" w:cs="Times New Roman" w:eastAsia="Times New Roman" w:hAnsi="Times New Roman"/>
                <w:sz w:val="20"/>
                <w:szCs w:val="20"/>
                <w:color w:val="auto"/>
                <w:w w:val="99"/>
              </w:rPr>
              <w:t>Condensed Statements of Cash Flows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8300" w:type="dxa"/>
            <w:vAlign w:val="bottom"/>
          </w:tcPr>
          <w:p>
            <w:pPr>
              <w:jc w:val="center"/>
              <w:ind w:left="2802"/>
              <w:spacing w:after="0"/>
              <w:rPr>
                <w:sz w:val="20"/>
                <w:szCs w:val="20"/>
                <w:color w:val="auto"/>
              </w:rPr>
            </w:pPr>
            <w:r>
              <w:rPr>
                <w:rFonts w:ascii="Times New Roman" w:cs="Times New Roman" w:eastAsia="Times New Roman" w:hAnsi="Times New Roman"/>
                <w:sz w:val="20"/>
                <w:szCs w:val="20"/>
                <w:color w:val="auto"/>
                <w:w w:val="99"/>
              </w:rPr>
              <w:t>(Unaudited)</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8"/>
        </w:trPr>
        <w:tc>
          <w:tcPr>
            <w:tcW w:w="8300" w:type="dxa"/>
            <w:vAlign w:val="bottom"/>
          </w:tcPr>
          <w:p>
            <w:pPr>
              <w:jc w:val="center"/>
              <w:ind w:left="2822"/>
              <w:spacing w:after="0"/>
              <w:rPr>
                <w:sz w:val="20"/>
                <w:szCs w:val="20"/>
                <w:color w:val="auto"/>
              </w:rPr>
            </w:pPr>
            <w:r>
              <w:rPr>
                <w:rFonts w:ascii="Times New Roman" w:cs="Times New Roman" w:eastAsia="Times New Roman" w:hAnsi="Times New Roman"/>
                <w:sz w:val="20"/>
                <w:szCs w:val="20"/>
                <w:color w:val="auto"/>
                <w:w w:val="99"/>
              </w:rPr>
              <w:t>(In Millions)</w:t>
            </w: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4"/>
        </w:trPr>
        <w:tc>
          <w:tcPr>
            <w:tcW w:w="8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20"/>
                <w:szCs w:val="20"/>
                <w:color w:val="auto"/>
              </w:rPr>
              <w:t>Thirty-Nine Weeks Ended</w:t>
            </w:r>
          </w:p>
        </w:tc>
      </w:tr>
      <w:tr>
        <w:trPr>
          <w:trHeight w:val="190"/>
        </w:trPr>
        <w:tc>
          <w:tcPr>
            <w:tcW w:w="8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01"/>
              <w:spacing w:after="0" w:line="190" w:lineRule="exact"/>
              <w:rPr>
                <w:sz w:val="20"/>
                <w:szCs w:val="20"/>
                <w:color w:val="auto"/>
              </w:rPr>
            </w:pPr>
            <w:r>
              <w:rPr>
                <w:rFonts w:ascii="Times New Roman" w:cs="Times New Roman" w:eastAsia="Times New Roman" w:hAnsi="Times New Roman"/>
                <w:sz w:val="20"/>
                <w:szCs w:val="20"/>
                <w:color w:val="auto"/>
              </w:rPr>
              <w:t>November 1,</w:t>
            </w:r>
          </w:p>
        </w:tc>
        <w:tc>
          <w:tcPr>
            <w:tcW w:w="180" w:type="dxa"/>
            <w:vAlign w:val="bottom"/>
          </w:tcPr>
          <w:p>
            <w:pPr>
              <w:spacing w:after="0"/>
              <w:rPr>
                <w:sz w:val="16"/>
                <w:szCs w:val="16"/>
                <w:color w:val="auto"/>
              </w:rPr>
            </w:pPr>
          </w:p>
        </w:tc>
        <w:tc>
          <w:tcPr>
            <w:tcW w:w="1280" w:type="dxa"/>
            <w:vAlign w:val="bottom"/>
          </w:tcPr>
          <w:p>
            <w:pPr>
              <w:jc w:val="right"/>
              <w:ind w:right="101"/>
              <w:spacing w:after="0" w:line="190" w:lineRule="exact"/>
              <w:rPr>
                <w:sz w:val="20"/>
                <w:szCs w:val="20"/>
                <w:color w:val="auto"/>
              </w:rPr>
            </w:pPr>
            <w:r>
              <w:rPr>
                <w:rFonts w:ascii="Times New Roman" w:cs="Times New Roman" w:eastAsia="Times New Roman" w:hAnsi="Times New Roman"/>
                <w:sz w:val="20"/>
                <w:szCs w:val="20"/>
                <w:color w:val="auto"/>
              </w:rPr>
              <w:t>November 2,</w:t>
            </w:r>
          </w:p>
        </w:tc>
      </w:tr>
      <w:tr>
        <w:trPr>
          <w:trHeight w:val="252"/>
        </w:trPr>
        <w:tc>
          <w:tcPr>
            <w:tcW w:w="8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2024</w:t>
            </w:r>
          </w:p>
        </w:tc>
      </w:tr>
      <w:tr>
        <w:trPr>
          <w:trHeight w:val="25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7"/>
        </w:trPr>
        <w:tc>
          <w:tcPr>
            <w:tcW w:w="8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3,466</w:t>
            </w:r>
          </w:p>
        </w:tc>
      </w:tr>
      <w:tr>
        <w:trPr>
          <w:trHeight w:val="257"/>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operating activities:</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6"/>
        </w:trPr>
        <w:tc>
          <w:tcPr>
            <w:tcW w:w="8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w:t>
            </w:r>
          </w:p>
        </w:tc>
      </w:tr>
      <w:tr>
        <w:trPr>
          <w:trHeight w:val="257"/>
        </w:trPr>
        <w:tc>
          <w:tcPr>
            <w:tcW w:w="8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Deferred income tax provision</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8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Share-based compensation</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57"/>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Changes in assets and liabilities:</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7"/>
        </w:trPr>
        <w:tc>
          <w:tcPr>
            <w:tcW w:w="8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(Increase) in accounts receivable and other assets</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8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(Increase) in merchandise inventories</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(2,851)</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(2,415)</w:t>
            </w:r>
          </w:p>
        </w:tc>
      </w:tr>
      <w:tr>
        <w:trPr>
          <w:trHeight w:val="257"/>
        </w:trPr>
        <w:tc>
          <w:tcPr>
            <w:tcW w:w="8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(Increase) in income taxes recoverable</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8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Increase in accounts payable</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1,760</w:t>
            </w:r>
          </w:p>
        </w:tc>
      </w:tr>
      <w:tr>
        <w:trPr>
          <w:trHeight w:val="257"/>
        </w:trPr>
        <w:tc>
          <w:tcPr>
            <w:tcW w:w="8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Increase (decrease) in accrued expenses and other liabilities</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56"/>
        </w:trPr>
        <w:tc>
          <w:tcPr>
            <w:tcW w:w="8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Increase (decrease) in net operating lease liabilities</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57"/>
        </w:trPr>
        <w:tc>
          <w:tcPr>
            <w:tcW w:w="8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Other, net</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0"/>
        </w:trPr>
        <w:tc>
          <w:tcPr>
            <w:tcW w:w="83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3,717</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3,412</w:t>
            </w:r>
          </w:p>
        </w:tc>
      </w:tr>
      <w:tr>
        <w:trPr>
          <w:trHeight w:val="250"/>
        </w:trPr>
        <w:tc>
          <w:tcPr>
            <w:tcW w:w="83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7"/>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Property additions</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(1,489)</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(1,404)</w:t>
            </w:r>
          </w:p>
        </w:tc>
      </w:tr>
      <w:tr>
        <w:trPr>
          <w:trHeight w:val="256"/>
        </w:trPr>
        <w:tc>
          <w:tcPr>
            <w:tcW w:w="8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Purchase of equity investments</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r>
      <w:tr>
        <w:trPr>
          <w:trHeight w:val="257"/>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Purchases of investments</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7"/>
        </w:trPr>
        <w:tc>
          <w:tcPr>
            <w:tcW w:w="8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Sales and maturities of investments</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0"/>
        </w:trPr>
        <w:tc>
          <w:tcPr>
            <w:tcW w:w="83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(1,510)</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(1,607)</w:t>
            </w:r>
          </w:p>
        </w:tc>
      </w:tr>
      <w:tr>
        <w:trPr>
          <w:trHeight w:val="250"/>
        </w:trPr>
        <w:tc>
          <w:tcPr>
            <w:tcW w:w="83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7"/>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Payments for repurchase of common stock</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(1,738)</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(1,661)</w:t>
            </w:r>
          </w:p>
        </w:tc>
      </w:tr>
      <w:tr>
        <w:trPr>
          <w:trHeight w:val="257"/>
        </w:trPr>
        <w:tc>
          <w:tcPr>
            <w:tcW w:w="8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dividends paid</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w:t>
            </w:r>
          </w:p>
        </w:tc>
      </w:tr>
      <w:tr>
        <w:trPr>
          <w:trHeight w:val="25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Proceeds from issuance of common stock</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254</w:t>
            </w:r>
          </w:p>
        </w:tc>
      </w:tr>
      <w:tr>
        <w:trPr>
          <w:trHeight w:val="257"/>
        </w:trPr>
        <w:tc>
          <w:tcPr>
            <w:tcW w:w="8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50"/>
        </w:trPr>
        <w:tc>
          <w:tcPr>
            <w:tcW w:w="83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20"/>
                <w:szCs w:val="20"/>
                <w:b w:val="1"/>
                <w:bCs w:val="1"/>
                <w:color w:val="auto"/>
              </w:rPr>
              <w:t>Net cash (used in) financing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(2,977)</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(2,675)</w:t>
            </w:r>
          </w:p>
        </w:tc>
      </w:tr>
      <w:tr>
        <w:trPr>
          <w:trHeight w:val="250"/>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Effect of exchange rate changes on cash</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5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(decrease) in cash and cash equivalents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(695)</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(882)</w:t>
            </w:r>
          </w:p>
        </w:tc>
      </w:tr>
      <w:tr>
        <w:trPr>
          <w:trHeight w:val="256"/>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Cash and cash equivalents at beginning of year</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5,335</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5,600</w:t>
            </w:r>
          </w:p>
        </w:tc>
      </w:tr>
      <w:tr>
        <w:trPr>
          <w:trHeight w:val="25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4,640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4,718</w:t>
            </w:r>
          </w:p>
        </w:tc>
      </w:tr>
      <w:tr>
        <w:trPr>
          <w:trHeight w:val="905"/>
        </w:trPr>
        <w:tc>
          <w:tcPr>
            <w:tcW w:w="8300" w:type="dxa"/>
            <w:vAlign w:val="bottom"/>
          </w:tcPr>
          <w:p>
            <w:pPr>
              <w:jc w:val="center"/>
              <w:ind w:left="2802"/>
              <w:spacing w:after="0"/>
              <w:rPr>
                <w:sz w:val="20"/>
                <w:szCs w:val="20"/>
                <w:color w:val="auto"/>
              </w:rPr>
            </w:pPr>
            <w:r>
              <w:rPr>
                <w:rFonts w:ascii="Times New Roman" w:cs="Times New Roman" w:eastAsia="Times New Roman" w:hAnsi="Times New Roman"/>
                <w:sz w:val="16"/>
                <w:szCs w:val="16"/>
                <w:color w:val="auto"/>
                <w:w w:val="99"/>
              </w:rPr>
              <w:t>9</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00"/>
          </w:cols>
          <w:pgMar w:left="340" w:top="927" w:right="359" w:bottom="1440" w:gutter="0" w:footer="0" w:header="0"/>
        </w:sectPr>
      </w:pPr>
    </w:p>
    <w:bookmarkStart w:id="12" w:name="page13"/>
    <w:bookmarkEnd w:id="12"/>
    <w:p>
      <w:pPr>
        <w:ind w:left="3380"/>
        <w:spacing w:after="0"/>
        <w:rPr>
          <w:sz w:val="20"/>
          <w:szCs w:val="20"/>
          <w:color w:val="auto"/>
        </w:rPr>
      </w:pPr>
      <w:r>
        <w:rPr>
          <w:rFonts w:ascii="Times New Roman" w:cs="Times New Roman" w:eastAsia="Times New Roman" w:hAnsi="Times New Roman"/>
          <w:sz w:val="20"/>
          <w:szCs w:val="20"/>
          <w:color w:val="auto"/>
        </w:rPr>
        <w:t>The TJX Companies, Inc. and Consolidated Subsidiaries</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Selected Information by Major Business Segment</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(Unaudited)</w:t>
      </w:r>
    </w:p>
    <w:p>
      <w:pPr>
        <w:spacing w:after="0" w:line="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3"/>
          </w:tcPr>
          <w:p>
            <w:pPr>
              <w:jc w:val="right"/>
              <w:ind w:right="641"/>
              <w:spacing w:after="0"/>
              <w:rPr>
                <w:sz w:val="20"/>
                <w:szCs w:val="20"/>
                <w:color w:val="auto"/>
              </w:rPr>
            </w:pPr>
            <w:r>
              <w:rPr>
                <w:rFonts w:ascii="Times New Roman" w:cs="Times New Roman" w:eastAsia="Times New Roman" w:hAnsi="Times New Roman"/>
                <w:sz w:val="20"/>
                <w:szCs w:val="20"/>
                <w:color w:val="auto"/>
              </w:rPr>
              <w:t>Thirteen Weeks Ended</w:t>
            </w:r>
          </w:p>
        </w:tc>
        <w:tc>
          <w:tcPr>
            <w:tcW w:w="2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3"/>
          </w:tcPr>
          <w:p>
            <w:pPr>
              <w:jc w:val="right"/>
              <w:ind w:right="521"/>
              <w:spacing w:after="0"/>
              <w:rPr>
                <w:sz w:val="20"/>
                <w:szCs w:val="20"/>
                <w:color w:val="auto"/>
              </w:rPr>
            </w:pPr>
            <w:r>
              <w:rPr>
                <w:rFonts w:ascii="Times New Roman" w:cs="Times New Roman" w:eastAsia="Times New Roman" w:hAnsi="Times New Roman"/>
                <w:sz w:val="20"/>
                <w:szCs w:val="20"/>
                <w:color w:val="auto"/>
              </w:rPr>
              <w:t>Thirty-Nine Weeks Ended</w:t>
            </w:r>
          </w:p>
        </w:tc>
      </w:tr>
      <w:tr>
        <w:trPr>
          <w:trHeight w:val="190"/>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201"/>
              <w:spacing w:after="0" w:line="190" w:lineRule="exact"/>
              <w:rPr>
                <w:sz w:val="20"/>
                <w:szCs w:val="20"/>
                <w:color w:val="auto"/>
              </w:rPr>
            </w:pPr>
            <w:r>
              <w:rPr>
                <w:rFonts w:ascii="Times New Roman" w:cs="Times New Roman" w:eastAsia="Times New Roman" w:hAnsi="Times New Roman"/>
                <w:sz w:val="20"/>
                <w:szCs w:val="20"/>
                <w:color w:val="auto"/>
              </w:rPr>
              <w:t>November 1,</w:t>
            </w:r>
          </w:p>
        </w:tc>
        <w:tc>
          <w:tcPr>
            <w:tcW w:w="220" w:type="dxa"/>
            <w:vAlign w:val="bottom"/>
          </w:tcPr>
          <w:p>
            <w:pPr>
              <w:spacing w:after="0"/>
              <w:rPr>
                <w:sz w:val="16"/>
                <w:szCs w:val="16"/>
                <w:color w:val="auto"/>
              </w:rPr>
            </w:pPr>
          </w:p>
        </w:tc>
        <w:tc>
          <w:tcPr>
            <w:tcW w:w="1420" w:type="dxa"/>
            <w:vAlign w:val="bottom"/>
          </w:tcPr>
          <w:p>
            <w:pPr>
              <w:jc w:val="right"/>
              <w:ind w:right="201"/>
              <w:spacing w:after="0" w:line="190" w:lineRule="exact"/>
              <w:rPr>
                <w:sz w:val="20"/>
                <w:szCs w:val="20"/>
                <w:color w:val="auto"/>
              </w:rPr>
            </w:pPr>
            <w:r>
              <w:rPr>
                <w:rFonts w:ascii="Times New Roman" w:cs="Times New Roman" w:eastAsia="Times New Roman" w:hAnsi="Times New Roman"/>
                <w:sz w:val="20"/>
                <w:szCs w:val="20"/>
                <w:color w:val="auto"/>
              </w:rPr>
              <w:t>November 2,</w:t>
            </w:r>
          </w:p>
        </w:tc>
        <w:tc>
          <w:tcPr>
            <w:tcW w:w="220" w:type="dxa"/>
            <w:vAlign w:val="bottom"/>
          </w:tcPr>
          <w:p>
            <w:pPr>
              <w:spacing w:after="0"/>
              <w:rPr>
                <w:sz w:val="16"/>
                <w:szCs w:val="16"/>
                <w:color w:val="auto"/>
              </w:rPr>
            </w:pPr>
          </w:p>
        </w:tc>
        <w:tc>
          <w:tcPr>
            <w:tcW w:w="1420" w:type="dxa"/>
            <w:vAlign w:val="bottom"/>
          </w:tcPr>
          <w:p>
            <w:pPr>
              <w:jc w:val="right"/>
              <w:ind w:right="201"/>
              <w:spacing w:after="0" w:line="190" w:lineRule="exact"/>
              <w:rPr>
                <w:sz w:val="20"/>
                <w:szCs w:val="20"/>
                <w:color w:val="auto"/>
              </w:rPr>
            </w:pPr>
            <w:r>
              <w:rPr>
                <w:rFonts w:ascii="Times New Roman" w:cs="Times New Roman" w:eastAsia="Times New Roman" w:hAnsi="Times New Roman"/>
                <w:sz w:val="20"/>
                <w:szCs w:val="20"/>
                <w:color w:val="auto"/>
              </w:rPr>
              <w:t>November 1,</w:t>
            </w:r>
          </w:p>
        </w:tc>
        <w:tc>
          <w:tcPr>
            <w:tcW w:w="220" w:type="dxa"/>
            <w:vAlign w:val="bottom"/>
          </w:tcPr>
          <w:p>
            <w:pPr>
              <w:spacing w:after="0"/>
              <w:rPr>
                <w:sz w:val="16"/>
                <w:szCs w:val="16"/>
                <w:color w:val="auto"/>
              </w:rPr>
            </w:pPr>
          </w:p>
        </w:tc>
        <w:tc>
          <w:tcPr>
            <w:tcW w:w="1440" w:type="dxa"/>
            <w:vAlign w:val="bottom"/>
          </w:tcPr>
          <w:p>
            <w:pPr>
              <w:jc w:val="right"/>
              <w:ind w:right="201"/>
              <w:spacing w:after="0" w:line="190" w:lineRule="exact"/>
              <w:rPr>
                <w:sz w:val="20"/>
                <w:szCs w:val="20"/>
                <w:color w:val="auto"/>
              </w:rPr>
            </w:pPr>
            <w:r>
              <w:rPr>
                <w:rFonts w:ascii="Times New Roman" w:cs="Times New Roman" w:eastAsia="Times New Roman" w:hAnsi="Times New Roman"/>
                <w:sz w:val="20"/>
                <w:szCs w:val="20"/>
                <w:color w:val="auto"/>
              </w:rPr>
              <w:t>November 2,</w:t>
            </w:r>
          </w:p>
        </w:tc>
      </w:tr>
      <w:tr>
        <w:trPr>
          <w:trHeight w:val="252"/>
        </w:trPr>
        <w:tc>
          <w:tcPr>
            <w:tcW w:w="4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2024</w:t>
            </w:r>
          </w:p>
        </w:tc>
      </w:tr>
      <w:tr>
        <w:trPr>
          <w:trHeight w:val="25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57"/>
        </w:trPr>
        <w:tc>
          <w:tcPr>
            <w:tcW w:w="4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 the United States:</w:t>
            </w: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Marmaxx</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9,037</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8,438</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25,930</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24,633</w:t>
            </w:r>
          </w:p>
        </w:tc>
      </w:tr>
      <w:tr>
        <w:trPr>
          <w:trHeight w:val="257"/>
        </w:trPr>
        <w:tc>
          <w:tcPr>
            <w:tcW w:w="4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HomeGoods</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2,539</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2,355</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7,079</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6,535</w:t>
            </w:r>
          </w:p>
        </w:tc>
      </w:tr>
      <w:tr>
        <w:trPr>
          <w:trHeight w:val="25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TJX Canada</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1,492</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1,382</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4,017</w:t>
            </w: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3,739</w:t>
            </w:r>
          </w:p>
        </w:tc>
      </w:tr>
      <w:tr>
        <w:trPr>
          <w:trHeight w:val="257"/>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TJX International</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2,049</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1,888</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5,603</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5,103</w:t>
            </w:r>
          </w:p>
        </w:tc>
      </w:tr>
      <w:tr>
        <w:trPr>
          <w:trHeight w:val="250"/>
        </w:trPr>
        <w:tc>
          <w:tcPr>
            <w:tcW w:w="46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20"/>
                <w:szCs w:val="20"/>
                <w:b w:val="1"/>
                <w:bCs w:val="1"/>
                <w:color w:val="auto"/>
              </w:rPr>
              <w:t>Total net sales</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15,117</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14,063</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42,629</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40,010</w:t>
            </w:r>
          </w:p>
        </w:tc>
      </w:tr>
      <w:tr>
        <w:trPr>
          <w:trHeight w:val="250"/>
        </w:trPr>
        <w:tc>
          <w:tcPr>
            <w:tcW w:w="46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Segment profit:</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 the United States:</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7"/>
        </w:trPr>
        <w:tc>
          <w:tcPr>
            <w:tcW w:w="4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Marmaxx</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3,711</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3,495</w:t>
            </w:r>
          </w:p>
        </w:tc>
      </w:tr>
      <w:tr>
        <w:trPr>
          <w:trHeight w:val="257"/>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HomeGoods</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802</w:t>
            </w: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679</w:t>
            </w:r>
          </w:p>
        </w:tc>
      </w:tr>
      <w:tr>
        <w:trPr>
          <w:trHeight w:val="257"/>
        </w:trPr>
        <w:tc>
          <w:tcPr>
            <w:tcW w:w="4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TJX Canada</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r>
      <w:tr>
        <w:trPr>
          <w:trHeight w:val="256"/>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TJX International</w:t>
            </w: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2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271</w:t>
            </w:r>
          </w:p>
        </w:tc>
      </w:tr>
      <w:tr>
        <w:trPr>
          <w:trHeight w:val="250"/>
        </w:trPr>
        <w:tc>
          <w:tcPr>
            <w:tcW w:w="46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b w:val="1"/>
                <w:bCs w:val="1"/>
                <w:color w:val="auto"/>
              </w:rPr>
              <w:t>Total segment profit</w:t>
            </w: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2,104</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1,843</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5,437</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4,978</w:t>
            </w:r>
          </w:p>
        </w:tc>
      </w:tr>
      <w:tr>
        <w:trPr>
          <w:trHeight w:val="25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General corporate expense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523</w:t>
            </w:r>
          </w:p>
        </w:tc>
      </w:tr>
      <w:tr>
        <w:trPr>
          <w:trHeight w:val="256"/>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Interest (income) expense, net</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0"/>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Income before income taxes</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1,916</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1,736</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4,909</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4,594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927" w:right="339" w:bottom="1440" w:gutter="0" w:footer="0" w:header="0"/>
        </w:sectPr>
      </w:pPr>
    </w:p>
    <w:bookmarkStart w:id="13" w:name="page14"/>
    <w:bookmarkEnd w:id="13"/>
    <w:p>
      <w:pPr>
        <w:jc w:val="center"/>
        <w:ind w:right="232"/>
        <w:spacing w:after="0"/>
        <w:rPr>
          <w:sz w:val="20"/>
          <w:szCs w:val="20"/>
          <w:color w:val="auto"/>
        </w:rPr>
      </w:pPr>
      <w:r>
        <w:rPr>
          <w:rFonts w:ascii="Times New Roman" w:cs="Times New Roman" w:eastAsia="Times New Roman" w:hAnsi="Times New Roman"/>
          <w:sz w:val="20"/>
          <w:szCs w:val="20"/>
          <w:color w:val="auto"/>
        </w:rPr>
        <w:t>The TJX Companies, Inc. and Consolidated Subsidiaries</w:t>
      </w:r>
    </w:p>
    <w:p>
      <w:pPr>
        <w:spacing w:after="0" w:line="28"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20"/>
          <w:szCs w:val="20"/>
          <w:color w:val="auto"/>
        </w:rPr>
        <w:t>Notes to Consolidated Condensed Statements</w:t>
      </w:r>
    </w:p>
    <w:p>
      <w:pPr>
        <w:spacing w:after="0" w:line="335" w:lineRule="exact"/>
        <w:rPr>
          <w:sz w:val="20"/>
          <w:szCs w:val="20"/>
          <w:color w:val="auto"/>
        </w:rPr>
      </w:pPr>
    </w:p>
    <w:p>
      <w:pPr>
        <w:ind w:left="328" w:hanging="328"/>
        <w:spacing w:after="0" w:line="253"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third quarter ended November 1, 2025, the Company returned $1.1 billion to shareholders, repurchasing and retiring 4.2 million shares of its common stock at a cost of $594 million and paid $472 million in shareholder dividends. During the nine months ended November 1, 2025, the Company returned $3.1 billion to shareholders, repurchasing and retiring 13.4 million shares of its common stock at a cost of $1.7 billion and paid $1.4 billion in shareholder dividends. In February 2025, the Company announced that the Board of Directors had approved a new stock repurchase program that authorizes the repurchase of up to an additional $2.5 billion of TJX common stock from time to time. Under this program, TJX had approximately $1.9 billion available for repurchase as of November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16"/>
          <w:szCs w:val="16"/>
          <w:color w:val="auto"/>
        </w:rPr>
        <w:t>11</w:t>
      </w:r>
    </w:p>
    <w:sectPr>
      <w:pgSz w:w="11900" w:h="16838" w:orient="portrait"/>
      <w:cols w:equalWidth="0" w:num="1">
        <w:col w:w="10828"/>
      </w:cols>
      <w:pgMar w:left="652" w:top="92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2025-11-19T08:13:52Z</dcterms:created>
  <dcterms:modified xsi:type="dcterms:W3CDTF">2025-11-19T08:13:52Z</dcterms:modified>
</cp:coreProperties>
</file>