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6266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266180"/>
                    </a:xfrm>
                    <a:prstGeom prst="rect">
                      <a:avLst/>
                    </a:prstGeom>
                    <a:noFill/>
                  </pic:spPr>
                </pic:pic>
              </a:graphicData>
            </a:graphic>
          </wp:anchor>
        </w:drawing>
      </w:r>
    </w:p>
    <w:p>
      <w:pPr>
        <w:spacing w:after="0" w:line="1233" w:lineRule="exact"/>
        <w:rPr>
          <w:sz w:val="24"/>
          <w:szCs w:val="24"/>
          <w:color w:val="auto"/>
        </w:rPr>
      </w:pPr>
    </w:p>
    <w:p>
      <w:pPr>
        <w:sectPr>
          <w:pgSz w:w="11900" w:h="16841"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CHING DAVID T</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20" w:type="dxa"/>
            <w:vAlign w:val="bottom"/>
          </w:tcPr>
          <w:p>
            <w:pPr>
              <w:ind w:left="42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THE TJX COMPANIES, INC.</w:t>
            </w:r>
          </w:p>
        </w:tc>
        <w:tc>
          <w:tcPr>
            <w:tcW w:w="12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770 COCHITUATE RD.</w:t>
            </w:r>
          </w:p>
        </w:tc>
        <w:tc>
          <w:tcPr>
            <w:tcW w:w="12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01701</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20" w:type="dxa"/>
            <w:vAlign w:val="bottom"/>
          </w:tcPr>
          <w:p>
            <w:pPr>
              <w:ind w:left="42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TJX COMPANIES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TJX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41"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802</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11,125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4 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636.87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636.87</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64,612.59</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681.01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681.01</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ind w:right="22"/>
              <w:spacing w:after="0" w:line="129" w:lineRule="exact"/>
              <w:rPr>
                <w:sz w:val="20"/>
                <w:szCs w:val="20"/>
                <w:color w:val="auto"/>
              </w:rPr>
            </w:pPr>
            <w:r>
              <w:rPr>
                <w:rFonts w:ascii="Times New Roman" w:cs="Times New Roman" w:eastAsia="Times New Roman" w:hAnsi="Times New Roman"/>
                <w:sz w:val="13"/>
                <w:szCs w:val="13"/>
                <w:color w:val="0000FF"/>
              </w:rPr>
              <w:t>65,293.6</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636.87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636.87</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ind w:right="22"/>
              <w:spacing w:after="0" w:line="129" w:lineRule="exact"/>
              <w:rPr>
                <w:sz w:val="20"/>
                <w:szCs w:val="20"/>
                <w:color w:val="auto"/>
              </w:rPr>
            </w:pPr>
            <w:r>
              <w:rPr>
                <w:rFonts w:ascii="Times New Roman" w:cs="Times New Roman" w:eastAsia="Times New Roman" w:hAnsi="Times New Roman"/>
                <w:sz w:val="13"/>
                <w:szCs w:val="13"/>
                <w:color w:val="0000FF"/>
              </w:rPr>
              <w:t>10,230.6</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102.12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102.12</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10,332.72</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3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802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vMerge w:val="restart"/>
          </w:tcPr>
          <w:p>
            <w:pPr>
              <w:jc w:val="center"/>
              <w:ind w:right="22"/>
              <w:spacing w:after="0" w:line="142" w:lineRule="exact"/>
              <w:rPr>
                <w:sz w:val="20"/>
                <w:szCs w:val="20"/>
                <w:color w:val="auto"/>
              </w:rPr>
            </w:pPr>
            <w:r>
              <w:rPr>
                <w:rFonts w:ascii="Times New Roman" w:cs="Times New Roman" w:eastAsia="Times New Roman" w:hAnsi="Times New Roman"/>
                <w:sz w:val="13"/>
                <w:szCs w:val="13"/>
                <w:color w:val="0000FF"/>
              </w:rPr>
              <w:t>9,530.72</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-3414395</wp:posOffset>
            </wp:positionV>
            <wp:extent cx="29210" cy="3419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4194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shares from an additional deferred share award granted on June 10, 2025 (and corresponding disposition of such award) in accordance with the terms of the Stock Incentive Plan. Includes an amount equal to the aggregate dividends for which there has been a record date since June 10, 2025.</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annual award of deferred shares under the Stock Incentive Plan having a grant date fair value of $105,000. Shares will be delivered following the Director's departure from the Board, under and subject to the terms of the Plan.</w:t>
      </w:r>
    </w:p>
    <w:p>
      <w:pPr>
        <w:spacing w:after="0" w:line="17" w:lineRule="exact"/>
        <w:rPr>
          <w:rFonts w:ascii="Times New Roman" w:cs="Times New Roman" w:eastAsia="Times New Roman" w:hAnsi="Times New Roman"/>
          <w:sz w:val="13"/>
          <w:szCs w:val="13"/>
          <w:color w:val="008000"/>
        </w:rPr>
      </w:pPr>
    </w:p>
    <w:p>
      <w:pPr>
        <w:ind w:left="40" w:right="20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Constitutes an award of deferred shares under the Stock Incentive Plan having a grant date fair value equal to the aggregate dividends on any previously granted annual award of deferred shares under the Plan for which there has been a record date since June 10, 2025. Deferred shares will be delivered at the same time the shares subject to the annual award are delivered, under and subject to the terms of the Plan.</w:t>
      </w:r>
    </w:p>
    <w:p>
      <w:pPr>
        <w:ind w:left="40" w:right="16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additional award of deferred shares under the Stock Incentive Plan having a grant date fair value of $105,000. Shares vest on the date immediately preceding the date of the Company's annual meeting of shareholders next succeeding the award grant date, provided that the recipient is still a Director on that date or, to the extent provided by the terms of the award document, in connection with an earlier Change of Control. Vested shares will be delivered following vesting or following the Director's departure from the Board, in accordance with the Director's advance irrevocable election, if any, under and subject to the terms of the Plan.</w:t>
      </w:r>
    </w:p>
    <w:p>
      <w:pPr>
        <w:spacing w:after="0" w:line="2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award of deferred shares under the Stock Incentive Plan having a value equal to the aggregate dividends on any previously granted additional award of deferred shares under the Plan, which have not yet been delivered to the Director, and for which there has been a record date since June 10, 2025. Deferred shares will be delivered at the same time the shares subject to the applicable additional award are delivered, under and subject to the terms of the Plan.</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Erica Farrell, by Power of</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6560" w:type="dxa"/>
            <w:vAlign w:val="bottom"/>
          </w:tcPr>
          <w:p>
            <w:pPr>
              <w:spacing w:after="0"/>
              <w:rPr>
                <w:sz w:val="7"/>
                <w:szCs w:val="7"/>
                <w:color w:val="auto"/>
              </w:rPr>
            </w:pPr>
          </w:p>
        </w:tc>
        <w:tc>
          <w:tcPr>
            <w:tcW w:w="208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 dated June 11, 2025</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41"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9835" TargetMode="External"/><Relationship Id="rId14" Type="http://schemas.openxmlformats.org/officeDocument/2006/relationships/hyperlink" Target="http://www.sec.gov/cgi-bin/browse-edgar?action=getcompany&amp;CIK=0000109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2026-06-11T15:34:19Z</dcterms:created>
  <dcterms:modified xsi:type="dcterms:W3CDTF">2026-06-11T15:34:19Z</dcterms:modified>
</cp:coreProperties>
</file>