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September 16, 2020</w:t>
      </w:r>
    </w:p>
    <w:p>
      <w:pPr>
        <w:spacing w:after="0" w:line="2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THE TJX COMPANIES,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8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92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1-4908</w:t>
            </w:r>
          </w:p>
        </w:tc>
        <w:tc>
          <w:tcPr>
            <w:tcW w:w="520" w:type="dxa"/>
            <w:vAlign w:val="bottom"/>
          </w:tcPr>
          <w:p>
            <w:pPr>
              <w:spacing w:after="0"/>
              <w:rPr>
                <w:sz w:val="20"/>
                <w:szCs w:val="20"/>
                <w:color w:val="auto"/>
              </w:rPr>
            </w:pPr>
          </w:p>
        </w:tc>
        <w:tc>
          <w:tcPr>
            <w:tcW w:w="340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04-2207613</w:t>
            </w:r>
          </w:p>
        </w:tc>
      </w:tr>
      <w:tr>
        <w:trPr>
          <w:trHeight w:val="27"/>
        </w:trPr>
        <w:tc>
          <w:tcPr>
            <w:tcW w:w="338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520" w:type="dxa"/>
            <w:vAlign w:val="bottom"/>
          </w:tcPr>
          <w:p>
            <w:pPr>
              <w:spacing w:after="0"/>
              <w:rPr>
                <w:sz w:val="20"/>
                <w:szCs w:val="20"/>
                <w:color w:val="auto"/>
              </w:rPr>
            </w:pPr>
          </w:p>
        </w:tc>
        <w:tc>
          <w:tcPr>
            <w:tcW w:w="39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(Commission File Number)</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87"/>
        </w:trPr>
        <w:tc>
          <w:tcPr>
            <w:tcW w:w="3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9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770 Cochituate Road, Framingham, MA 01701</w:t>
            </w:r>
          </w:p>
        </w:tc>
        <w:tc>
          <w:tcPr>
            <w:tcW w:w="3400" w:type="dxa"/>
            <w:vAlign w:val="bottom"/>
          </w:tcPr>
          <w:p>
            <w:pPr>
              <w:spacing w:after="0"/>
              <w:rPr>
                <w:sz w:val="24"/>
                <w:szCs w:val="24"/>
                <w:color w:val="auto"/>
              </w:rPr>
            </w:pPr>
          </w:p>
        </w:tc>
      </w:tr>
      <w:tr>
        <w:trPr>
          <w:trHeight w:val="234"/>
        </w:trPr>
        <w:tc>
          <w:tcPr>
            <w:tcW w:w="3380" w:type="dxa"/>
            <w:vAlign w:val="bottom"/>
          </w:tcPr>
          <w:p>
            <w:pPr>
              <w:spacing w:after="0"/>
              <w:rPr>
                <w:sz w:val="20"/>
                <w:szCs w:val="20"/>
                <w:color w:val="auto"/>
              </w:rPr>
            </w:pPr>
          </w:p>
        </w:tc>
        <w:tc>
          <w:tcPr>
            <w:tcW w:w="44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400" w:type="dxa"/>
            <w:vAlign w:val="bottom"/>
          </w:tcPr>
          <w:p>
            <w:pPr>
              <w:spacing w:after="0"/>
              <w:rPr>
                <w:sz w:val="20"/>
                <w:szCs w:val="20"/>
                <w:color w:val="auto"/>
              </w:rPr>
            </w:pPr>
          </w:p>
        </w:tc>
      </w:tr>
      <w:tr>
        <w:trPr>
          <w:trHeight w:val="441"/>
        </w:trPr>
        <w:tc>
          <w:tcPr>
            <w:tcW w:w="3380" w:type="dxa"/>
            <w:vAlign w:val="bottom"/>
          </w:tcPr>
          <w:p>
            <w:pPr>
              <w:spacing w:after="0"/>
              <w:rPr>
                <w:sz w:val="24"/>
                <w:szCs w:val="24"/>
                <w:color w:val="auto"/>
              </w:rPr>
            </w:pPr>
          </w:p>
        </w:tc>
        <w:tc>
          <w:tcPr>
            <w:tcW w:w="392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(508) 390-1000</w:t>
            </w:r>
          </w:p>
        </w:tc>
        <w:tc>
          <w:tcPr>
            <w:tcW w:w="52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34"/>
        </w:trPr>
        <w:tc>
          <w:tcPr>
            <w:tcW w:w="3380" w:type="dxa"/>
            <w:vAlign w:val="bottom"/>
          </w:tcPr>
          <w:p>
            <w:pPr>
              <w:spacing w:after="0"/>
              <w:rPr>
                <w:sz w:val="20"/>
                <w:szCs w:val="20"/>
                <w:color w:val="auto"/>
              </w:rPr>
            </w:pPr>
          </w:p>
        </w:tc>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400" w:type="dxa"/>
            <w:vAlign w:val="bottom"/>
          </w:tcPr>
          <w:p>
            <w:pPr>
              <w:spacing w:after="0"/>
              <w:rPr>
                <w:sz w:val="20"/>
                <w:szCs w:val="20"/>
                <w:color w:val="auto"/>
              </w:rPr>
            </w:pPr>
          </w:p>
        </w:tc>
      </w:tr>
    </w:tbl>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right="2760" w:firstLine="26"/>
        <w:spacing w:after="0" w:line="370"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8"/>
        </w:trPr>
        <w:tc>
          <w:tcPr>
            <w:tcW w:w="45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$1.00 per share</w:t>
            </w: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TJX</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90"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 w:lineRule="exact"/>
        <w:rPr>
          <w:sz w:val="24"/>
          <w:szCs w:val="24"/>
          <w:color w:val="auto"/>
        </w:rPr>
      </w:pPr>
    </w:p>
    <w:p>
      <w:pPr>
        <w:ind w:left="900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39"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671195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123" w:right="319" w:bottom="1440" w:gutter="0" w:footer="0" w:header="0"/>
        </w:sectPr>
      </w:pPr>
    </w:p>
    <w:bookmarkStart w:id="1" w:name="page2"/>
    <w:bookmarkEnd w:id="1"/>
    <w:p>
      <w:pPr>
        <w:jc w:val="both"/>
        <w:ind w:right="280"/>
        <w:spacing w:after="0" w:line="320"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w:t>
      </w:r>
      <w:r>
        <w:rPr>
          <w:rFonts w:ascii="Arial" w:cs="Arial" w:eastAsia="Arial" w:hAnsi="Arial"/>
          <w:sz w:val="18"/>
          <w:szCs w:val="18"/>
          <w:color w:val="auto"/>
        </w:rPr>
        <w:t>ﬃ</w:t>
      </w:r>
      <w:r>
        <w:rPr>
          <w:rFonts w:ascii="Times New Roman" w:cs="Times New Roman" w:eastAsia="Times New Roman" w:hAnsi="Times New Roman"/>
          <w:sz w:val="18"/>
          <w:szCs w:val="18"/>
          <w:b w:val="1"/>
          <w:bCs w:val="1"/>
          <w:color w:val="auto"/>
        </w:rPr>
        <w:t>cers; Election of Directors; Appointment of Certain O</w:t>
      </w:r>
      <w:r>
        <w:rPr>
          <w:rFonts w:ascii="Arial" w:cs="Arial" w:eastAsia="Arial" w:hAnsi="Arial"/>
          <w:sz w:val="18"/>
          <w:szCs w:val="18"/>
          <w:color w:val="auto"/>
        </w:rPr>
        <w:t>ﬃ</w:t>
      </w:r>
      <w:r>
        <w:rPr>
          <w:rFonts w:ascii="Times New Roman" w:cs="Times New Roman" w:eastAsia="Times New Roman" w:hAnsi="Times New Roman"/>
          <w:sz w:val="18"/>
          <w:szCs w:val="18"/>
          <w:b w:val="1"/>
          <w:bCs w:val="1"/>
          <w:color w:val="auto"/>
        </w:rPr>
        <w:t>cers; Compensatory Arrangements of Certain O</w:t>
      </w:r>
      <w:r>
        <w:rPr>
          <w:rFonts w:ascii="Arial" w:cs="Arial" w:eastAsia="Arial" w:hAnsi="Arial"/>
          <w:sz w:val="18"/>
          <w:szCs w:val="18"/>
          <w:color w:val="auto"/>
        </w:rPr>
        <w:t>ﬃ</w:t>
      </w:r>
      <w:r>
        <w:rPr>
          <w:rFonts w:ascii="Times New Roman" w:cs="Times New Roman" w:eastAsia="Times New Roman" w:hAnsi="Times New Roman"/>
          <w:sz w:val="18"/>
          <w:szCs w:val="18"/>
          <w:b w:val="1"/>
          <w:bCs w:val="1"/>
          <w:color w:val="auto"/>
        </w:rPr>
        <w:t>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2262505</wp:posOffset>
            </wp:positionH>
            <wp:positionV relativeFrom="paragraph">
              <wp:posOffset>-309880</wp:posOffset>
            </wp:positionV>
            <wp:extent cx="101600" cy="91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1600" cy="9144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-309880</wp:posOffset>
            </wp:positionV>
            <wp:extent cx="101600" cy="914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600" cy="9144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-181610</wp:posOffset>
            </wp:positionV>
            <wp:extent cx="101600" cy="91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600" cy="91440"/>
                    </a:xfrm>
                    <a:prstGeom prst="rect">
                      <a:avLst/>
                    </a:prstGeom>
                    <a:noFill/>
                  </pic:spPr>
                </pic:pic>
              </a:graphicData>
            </a:graphic>
          </wp:anchor>
        </w:drawing>
      </w:r>
    </w:p>
    <w:p>
      <w:pPr>
        <w:spacing w:after="0" w:line="103" w:lineRule="exact"/>
        <w:rPr>
          <w:sz w:val="20"/>
          <w:szCs w:val="20"/>
          <w:color w:val="auto"/>
        </w:rPr>
      </w:pPr>
    </w:p>
    <w:p>
      <w:pPr>
        <w:jc w:val="both"/>
        <w:ind w:right="260"/>
        <w:spacing w:after="0" w:line="250" w:lineRule="auto"/>
        <w:rPr>
          <w:sz w:val="20"/>
          <w:szCs w:val="20"/>
          <w:color w:val="auto"/>
        </w:rPr>
      </w:pPr>
      <w:r>
        <w:rPr>
          <w:rFonts w:ascii="Times New Roman" w:cs="Times New Roman" w:eastAsia="Times New Roman" w:hAnsi="Times New Roman"/>
          <w:sz w:val="18"/>
          <w:szCs w:val="18"/>
          <w:color w:val="auto"/>
        </w:rPr>
        <w:t>On September 16, 2020, the Board of Directors (the "Board") of The TJX Companies, Inc. (the "Company") elected José B. Alvarez as a member of the Company's Board and of its Executive Compensation Committee and Corporate Governance Committee, effective immediately. Mr. Alvarez previously served on the Board of the Company from 2007 until 2018.</w:t>
      </w:r>
    </w:p>
    <w:p>
      <w:pPr>
        <w:spacing w:after="0" w:line="20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Mr. Alvarez, 57, is a member of the faculty of Harvard Business School, which he joined in 2009. He was the Executive Vice President for Global Business Development for Royal Ahold N.V., a global supermarket retail company in 2008. From 2001 to 2008, he held various executive positions with Stop &amp; Shop/Giant-Landover, Ahold's U.S. subsidiary, including President and Chief Executive Officer of Stop &amp; Shop/Giant-Landover from 2006-2008. He has also been a member of the board of directors of United Rentals, Inc. since 2009.</w:t>
      </w:r>
    </w:p>
    <w:p>
      <w:pPr>
        <w:spacing w:after="0" w:line="20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Mr. Alvarez will receive compensation for his service on the Board in accordance with the Company's non-employee director compensation program (as described in the director compensation section of the Company's proxy statement filed with the Securities and Exchange Commission on April 23, 2020, which description is incorporated herein by reference), including annual retainers and two deferred stock awards under the Company's Stock Incentive Plan (each representing shares of the Company's common stock valued at $85,000) prorated to reflect his election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4"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THE TJX COMPANIES, INC.</w:t>
      </w: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u w:val="single" w:color="auto"/>
          <w:color w:val="auto"/>
        </w:rPr>
        <w:t>/s/ Alicia C. Kelly</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Alicia C. Kelly</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Executive Vice President, Secretary and</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18, 2020</w:t>
      </w:r>
    </w:p>
    <w:sectPr>
      <w:pgSz w:w="11900" w:h="16838" w:orient="portrait"/>
      <w:cols w:equalWidth="0" w:num="1">
        <w:col w:w="11200"/>
      </w:cols>
      <w:pgMar w:left="320" w:top="122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2020-09-18T08:52:53Z</dcterms:created>
  <dcterms:modified xsi:type="dcterms:W3CDTF">2020-09-18T08:52:53Z</dcterms:modified>
</cp:coreProperties>
</file>