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80"/>
        <w:spacing w:after="0"/>
        <w:rPr>
          <w:sz w:val="20"/>
          <w:szCs w:val="20"/>
          <w:color w:val="auto"/>
        </w:rPr>
      </w:pPr>
      <w:r>
        <w:rPr>
          <w:rFonts w:ascii="Courier New" w:cs="Courier New" w:eastAsia="Courier New" w:hAnsi="Courier New"/>
          <w:sz w:val="15"/>
          <w:szCs w:val="15"/>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75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3"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FORM 8-K/A</w:t>
      </w:r>
    </w:p>
    <w:p>
      <w:pPr>
        <w:ind w:left="2640"/>
        <w:spacing w:after="0" w:line="237" w:lineRule="auto"/>
        <w:rPr>
          <w:sz w:val="20"/>
          <w:szCs w:val="20"/>
          <w:color w:val="auto"/>
        </w:rPr>
      </w:pPr>
      <w:r>
        <w:rPr>
          <w:rFonts w:ascii="Courier New" w:cs="Courier New" w:eastAsia="Courier New" w:hAnsi="Courier New"/>
          <w:sz w:val="15"/>
          <w:szCs w:val="15"/>
          <w:color w:val="auto"/>
        </w:rPr>
        <w:t>Amendment No. 1</w:t>
      </w:r>
    </w:p>
    <w:p>
      <w:pPr>
        <w:spacing w:after="0" w:line="200" w:lineRule="exact"/>
        <w:rPr>
          <w:sz w:val="24"/>
          <w:szCs w:val="24"/>
          <w:color w:val="auto"/>
        </w:rPr>
      </w:pPr>
    </w:p>
    <w:p>
      <w:pPr>
        <w:spacing w:after="0" w:line="303"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5"/>
          <w:szCs w:val="15"/>
          <w:color w:val="auto"/>
        </w:rPr>
        <w:t>CURRENT REPORT</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346"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Date of Report (Date of Earliest Event Reported): November 17, 1995</w:t>
      </w:r>
    </w:p>
    <w:p>
      <w:pPr>
        <w:spacing w:after="0" w:line="200" w:lineRule="exact"/>
        <w:rPr>
          <w:sz w:val="24"/>
          <w:szCs w:val="24"/>
          <w:color w:val="auto"/>
        </w:rPr>
      </w:pPr>
    </w:p>
    <w:p>
      <w:pPr>
        <w:spacing w:after="0" w:line="308" w:lineRule="exact"/>
        <w:rPr>
          <w:sz w:val="24"/>
          <w:szCs w:val="24"/>
          <w:color w:val="auto"/>
        </w:rPr>
      </w:pPr>
    </w:p>
    <w:p>
      <w:pPr>
        <w:jc w:val="center"/>
        <w:ind w:right="3659"/>
        <w:spacing w:after="0"/>
        <w:rPr>
          <w:sz w:val="20"/>
          <w:szCs w:val="20"/>
          <w:color w:val="auto"/>
        </w:rPr>
      </w:pPr>
      <w:r>
        <w:rPr>
          <w:rFonts w:ascii="Courier New" w:cs="Courier New" w:eastAsia="Courier New" w:hAnsi="Courier New"/>
          <w:sz w:val="15"/>
          <w:szCs w:val="15"/>
          <w:color w:val="auto"/>
        </w:rPr>
        <w:t>THE TJX COMPANIES, INC.</w:t>
      </w:r>
    </w:p>
    <w:p>
      <w:pPr>
        <w:jc w:val="center"/>
        <w:ind w:right="3759"/>
        <w:spacing w:after="0" w:line="237" w:lineRule="auto"/>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0239"/>
          </w:cols>
          <w:pgMar w:left="220" w:top="225" w:right="1440" w:bottom="0" w:gutter="0" w:footer="0" w:header="0"/>
        </w:sectPr>
      </w:pPr>
    </w:p>
    <w:p>
      <w:pPr>
        <w:spacing w:after="0" w:line="335"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State or other jurisdiction</w:t>
      </w:r>
    </w:p>
    <w:p>
      <w:pPr>
        <w:spacing w:after="0" w:line="3"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1-4908</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04-2207613</w:t>
      </w:r>
    </w:p>
    <w:p>
      <w:pPr>
        <w:ind w:left="1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4"/>
          <w:szCs w:val="24"/>
          <w:color w:val="auto"/>
        </w:rPr>
      </w:pPr>
    </w:p>
    <w:p>
      <w:pPr>
        <w:sectPr>
          <w:pgSz w:w="11900" w:h="16838" w:orient="portrait"/>
          <w:cols w:equalWidth="0" w:num="3">
            <w:col w:w="2460" w:space="260"/>
            <w:col w:w="2100" w:space="80"/>
            <w:col w:w="5339"/>
          </w:cols>
          <w:pgMar w:left="220" w:top="225" w:right="1440" w:bottom="0" w:gutter="0" w:footer="0" w:header="0"/>
          <w:type w:val="continuous"/>
        </w:sectPr>
      </w:pPr>
    </w:p>
    <w:p>
      <w:pPr>
        <w:spacing w:after="0" w:line="309" w:lineRule="exact"/>
        <w:rPr>
          <w:sz w:val="24"/>
          <w:szCs w:val="24"/>
          <w:color w:val="auto"/>
        </w:rPr>
      </w:pPr>
    </w:p>
    <w:p>
      <w:pPr>
        <w:ind w:right="1040"/>
        <w:spacing w:after="0" w:line="261" w:lineRule="auto"/>
        <w:rPr>
          <w:sz w:val="20"/>
          <w:szCs w:val="20"/>
          <w:color w:val="auto"/>
        </w:rPr>
      </w:pPr>
      <w:r>
        <w:rPr>
          <w:rFonts w:ascii="Courier New" w:cs="Courier New" w:eastAsia="Courier New" w:hAnsi="Courier New"/>
          <w:sz w:val="14"/>
          <w:szCs w:val="14"/>
          <w:color w:val="auto"/>
        </w:rPr>
        <w:t>770 Cochituate Road, Framingham, MA (Address of principal executive offices)</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01701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8" w:lineRule="exact"/>
        <w:rPr>
          <w:sz w:val="24"/>
          <w:szCs w:val="24"/>
          <w:color w:val="auto"/>
        </w:rPr>
      </w:pPr>
    </w:p>
    <w:p>
      <w:pPr>
        <w:sectPr>
          <w:pgSz w:w="11900" w:h="16838" w:orient="portrait"/>
          <w:cols w:equalWidth="0" w:num="2">
            <w:col w:w="4540" w:space="720"/>
            <w:col w:w="4979"/>
          </w:cols>
          <w:pgMar w:left="220" w:top="225" w:right="1440" w:bottom="0" w:gutter="0" w:footer="0" w:header="0"/>
          <w:type w:val="continuous"/>
        </w:sectPr>
      </w:pPr>
    </w:p>
    <w:p>
      <w:pPr>
        <w:spacing w:after="0" w:line="296"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(508)390-2662</w:t>
      </w:r>
    </w:p>
    <w:p>
      <w:pPr>
        <w:spacing w:after="0" w:line="200" w:lineRule="exact"/>
        <w:rPr>
          <w:sz w:val="24"/>
          <w:szCs w:val="24"/>
          <w:color w:val="auto"/>
        </w:rPr>
      </w:pPr>
    </w:p>
    <w:p>
      <w:pPr>
        <w:sectPr>
          <w:pgSz w:w="11900" w:h="16838" w:orient="portrait"/>
          <w:cols w:equalWidth="0" w:num="2">
            <w:col w:w="4820" w:space="180"/>
            <w:col w:w="5239"/>
          </w:cols>
          <w:pgMar w:left="220" w:top="225"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Page 2</w:t>
      </w:r>
    </w:p>
    <w:p>
      <w:pPr>
        <w:spacing w:after="0" w:line="335" w:lineRule="exact"/>
        <w:rPr>
          <w:sz w:val="24"/>
          <w:szCs w:val="24"/>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6" w:lineRule="exact"/>
        <w:rPr>
          <w:sz w:val="24"/>
          <w:szCs w:val="24"/>
          <w:color w:val="auto"/>
        </w:rPr>
      </w:pPr>
    </w:p>
    <w:p>
      <w:pPr>
        <w:ind w:left="1320" w:hanging="873"/>
        <w:spacing w:after="0"/>
        <w:tabs>
          <w:tab w:leader="none" w:pos="13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 Acquired.</w:t>
      </w:r>
    </w:p>
    <w:p>
      <w:pPr>
        <w:spacing w:after="0" w:line="172" w:lineRule="exact"/>
        <w:rPr>
          <w:rFonts w:ascii="Courier New" w:cs="Courier New" w:eastAsia="Courier New" w:hAnsi="Courier New"/>
          <w:sz w:val="15"/>
          <w:szCs w:val="15"/>
          <w:color w:val="auto"/>
        </w:rPr>
      </w:pPr>
    </w:p>
    <w:p>
      <w:pPr>
        <w:ind w:left="132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for the acquired business are filed herewith.</w:t>
      </w:r>
    </w:p>
    <w:p>
      <w:pPr>
        <w:spacing w:after="0" w:line="166" w:lineRule="exact"/>
        <w:rPr>
          <w:rFonts w:ascii="Courier New" w:cs="Courier New" w:eastAsia="Courier New" w:hAnsi="Courier New"/>
          <w:sz w:val="15"/>
          <w:szCs w:val="15"/>
          <w:color w:val="auto"/>
        </w:rPr>
      </w:pPr>
    </w:p>
    <w:p>
      <w:pPr>
        <w:ind w:left="1320" w:hanging="873"/>
        <w:spacing w:after="0"/>
        <w:tabs>
          <w:tab w:leader="none" w:pos="13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2" w:lineRule="exact"/>
        <w:rPr>
          <w:rFonts w:ascii="Courier New" w:cs="Courier New" w:eastAsia="Courier New" w:hAnsi="Courier New"/>
          <w:sz w:val="15"/>
          <w:szCs w:val="15"/>
          <w:color w:val="auto"/>
        </w:rPr>
      </w:pPr>
    </w:p>
    <w:p>
      <w:pPr>
        <w:ind w:left="1320" w:right="39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unaudited pro forma condensed, consolidated financial information of the Registrant is filed herewith.</w:t>
      </w:r>
    </w:p>
    <w:p>
      <w:pPr>
        <w:spacing w:after="0" w:line="153" w:lineRule="exact"/>
        <w:rPr>
          <w:rFonts w:ascii="Courier New" w:cs="Courier New" w:eastAsia="Courier New" w:hAnsi="Courier New"/>
          <w:sz w:val="15"/>
          <w:szCs w:val="15"/>
          <w:color w:val="auto"/>
        </w:rPr>
      </w:pPr>
    </w:p>
    <w:p>
      <w:pPr>
        <w:ind w:left="1320" w:hanging="873"/>
        <w:spacing w:after="0"/>
        <w:tabs>
          <w:tab w:leader="none" w:pos="13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4"/>
          <w:szCs w:val="24"/>
          <w:color w:val="auto"/>
        </w:rPr>
      </w:pPr>
    </w:p>
    <w:p>
      <w:pPr>
        <w:ind w:left="1320" w:right="3759" w:hanging="874"/>
        <w:spacing w:after="0" w:line="235" w:lineRule="auto"/>
        <w:tabs>
          <w:tab w:leader="none" w:pos="13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Amendment No. 1 dated as of November 17, 1995 to Stock Purchase Agreement dated as of October 14, 1995 between the Registrant and Melville Corporation.</w:t>
      </w:r>
    </w:p>
    <w:p>
      <w:pPr>
        <w:spacing w:after="0" w:line="174" w:lineRule="exact"/>
        <w:rPr>
          <w:sz w:val="24"/>
          <w:szCs w:val="24"/>
          <w:color w:val="auto"/>
        </w:rPr>
      </w:pPr>
    </w:p>
    <w:p>
      <w:pPr>
        <w:ind w:left="1320" w:right="3679" w:hanging="874"/>
        <w:spacing w:after="0" w:line="235" w:lineRule="auto"/>
        <w:tabs>
          <w:tab w:leader="none" w:pos="13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Certificates of Designations, Rights and Preferences for the Registrant's Series D Cumulative Convertible Preferred Stock.</w:t>
      </w:r>
    </w:p>
    <w:p>
      <w:pPr>
        <w:spacing w:after="0" w:line="174" w:lineRule="exact"/>
        <w:rPr>
          <w:sz w:val="24"/>
          <w:szCs w:val="24"/>
          <w:color w:val="auto"/>
        </w:rPr>
      </w:pPr>
    </w:p>
    <w:p>
      <w:pPr>
        <w:ind w:left="1320" w:right="3679" w:hanging="874"/>
        <w:spacing w:after="0" w:line="235" w:lineRule="auto"/>
        <w:tabs>
          <w:tab w:leader="none" w:pos="13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Certificates of Designations, Rights and Preferences for the Registrant's Series E Cumulative Convertible Preferred Stock.</w:t>
      </w:r>
    </w:p>
    <w:p>
      <w:pPr>
        <w:spacing w:after="0" w:line="167" w:lineRule="exact"/>
        <w:rPr>
          <w:sz w:val="24"/>
          <w:szCs w:val="24"/>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Transitional Services Agreement dated as of November 17,</w:t>
      </w:r>
    </w:p>
    <w:p>
      <w:pPr>
        <w:ind w:left="1320"/>
        <w:spacing w:after="0" w:line="237" w:lineRule="auto"/>
        <w:rPr>
          <w:sz w:val="20"/>
          <w:szCs w:val="20"/>
          <w:color w:val="auto"/>
        </w:rPr>
      </w:pPr>
      <w:r>
        <w:rPr>
          <w:rFonts w:ascii="Courier New" w:cs="Courier New" w:eastAsia="Courier New" w:hAnsi="Courier New"/>
          <w:sz w:val="15"/>
          <w:szCs w:val="15"/>
          <w:color w:val="auto"/>
        </w:rPr>
        <w:t>1995 between the Registrant and Melville Corporation.</w:t>
      </w:r>
    </w:p>
    <w:p>
      <w:pPr>
        <w:spacing w:after="0" w:line="173" w:lineRule="exact"/>
        <w:rPr>
          <w:sz w:val="24"/>
          <w:szCs w:val="24"/>
          <w:color w:val="auto"/>
        </w:rPr>
      </w:pPr>
    </w:p>
    <w:p>
      <w:pPr>
        <w:ind w:left="1320" w:right="3759" w:hanging="874"/>
        <w:spacing w:after="0" w:line="236" w:lineRule="auto"/>
        <w:tabs>
          <w:tab w:leader="none" w:pos="13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Credit Agreement dated as of November 17, 1995 among The First National Bank of Chicago, Bank of America Illinois, The Bank of New York, and Pearl Street L.P., as co-arrangers, the other financial institution parties thereto, and the Registrant.</w:t>
      </w:r>
    </w:p>
    <w:p>
      <w:pPr>
        <w:spacing w:after="0" w:line="167" w:lineRule="exact"/>
        <w:rPr>
          <w:sz w:val="24"/>
          <w:szCs w:val="24"/>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Press Release issued by the Registrant on November 20, 1995.</w:t>
      </w:r>
    </w:p>
    <w:p>
      <w:pPr>
        <w:spacing w:after="0" w:line="200" w:lineRule="exact"/>
        <w:rPr>
          <w:sz w:val="24"/>
          <w:szCs w:val="24"/>
          <w:color w:val="auto"/>
        </w:rPr>
      </w:pPr>
    </w:p>
    <w:p>
      <w:pPr>
        <w:spacing w:after="0" w:line="309" w:lineRule="exact"/>
        <w:rPr>
          <w:sz w:val="24"/>
          <w:szCs w:val="24"/>
          <w:color w:val="auto"/>
        </w:rPr>
      </w:pPr>
    </w:p>
    <w:p>
      <w:pPr>
        <w:ind w:left="880" w:right="3839" w:hanging="433"/>
        <w:spacing w:after="0" w:line="261" w:lineRule="auto"/>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with, and incorporated herein by reference to, the Registrant' Current Report on Form 8-K dated November 17, 1995.</w:t>
      </w:r>
    </w:p>
    <w:p>
      <w:pPr>
        <w:sectPr>
          <w:pgSz w:w="11900" w:h="16838" w:orient="portrait"/>
          <w:cols w:equalWidth="0" w:num="1">
            <w:col w:w="10239"/>
          </w:cols>
          <w:pgMar w:left="220" w:top="225" w:right="1440" w:bottom="0" w:gutter="0" w:footer="0" w:header="0"/>
          <w:type w:val="continuous"/>
        </w:sectPr>
      </w:pPr>
    </w:p>
    <w:bookmarkStart w:id="1" w:name="page2"/>
    <w:bookmarkEnd w:id="1"/>
    <w:p>
      <w:pPr>
        <w:spacing w:after="0" w:line="4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3</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09"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TJX COMPANIES, INC.</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Donald G. Campbell</w:t>
      </w:r>
    </w:p>
    <w:p>
      <w:pPr>
        <w:ind w:left="3080"/>
        <w:spacing w:after="0" w:line="237" w:lineRule="auto"/>
        <w:rPr>
          <w:sz w:val="20"/>
          <w:szCs w:val="20"/>
          <w:color w:val="auto"/>
        </w:rPr>
      </w:pPr>
      <w:r>
        <w:rPr>
          <w:rFonts w:ascii="Courier New" w:cs="Courier New" w:eastAsia="Courier New" w:hAnsi="Courier New"/>
          <w:sz w:val="15"/>
          <w:szCs w:val="15"/>
          <w:color w:val="auto"/>
        </w:rPr>
        <w:t>Name: Donald G. Campbell</w:t>
      </w:r>
    </w:p>
    <w:p>
      <w:pPr>
        <w:ind w:left="3080"/>
        <w:spacing w:after="0" w:line="238" w:lineRule="auto"/>
        <w:rPr>
          <w:sz w:val="20"/>
          <w:szCs w:val="20"/>
          <w:color w:val="auto"/>
        </w:rPr>
      </w:pPr>
      <w:r>
        <w:rPr>
          <w:rFonts w:ascii="Courier New" w:cs="Courier New" w:eastAsia="Courier New" w:hAnsi="Courier New"/>
          <w:sz w:val="15"/>
          <w:szCs w:val="15"/>
          <w:color w:val="auto"/>
        </w:rPr>
        <w:t>Title: Senior Vice President-Finance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January 31, 1996</w:t>
      </w:r>
    </w:p>
    <w:p>
      <w:pPr>
        <w:sectPr>
          <w:pgSz w:w="11900" w:h="16838" w:orient="portrait"/>
          <w:cols w:equalWidth="0" w:num="1">
            <w:col w:w="10239"/>
          </w:cols>
          <w:pgMar w:left="220" w:top="1440" w:right="1440" w:bottom="1440" w:gutter="0" w:footer="0" w:header="0"/>
        </w:sectPr>
      </w:pPr>
    </w:p>
    <w:bookmarkStart w:id="2" w:name="page3"/>
    <w:bookmarkEnd w:id="2"/>
    <w:p>
      <w:pPr>
        <w:spacing w:after="0" w:line="200" w:lineRule="exact"/>
        <w:rPr>
          <w:sz w:val="20"/>
          <w:szCs w:val="20"/>
          <w:color w:val="auto"/>
        </w:rPr>
      </w:pPr>
    </w:p>
    <w:p>
      <w:pPr>
        <w:spacing w:after="0" w:line="346"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453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December 31, 1994, 1993 and 1992</w:t>
      </w:r>
    </w:p>
    <w:p>
      <w:pPr>
        <w:spacing w:after="0" w:line="200" w:lineRule="exact"/>
        <w:rPr>
          <w:sz w:val="20"/>
          <w:szCs w:val="20"/>
          <w:color w:val="auto"/>
        </w:rPr>
      </w:pPr>
    </w:p>
    <w:p>
      <w:pPr>
        <w:spacing w:after="0" w:line="30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(With Independent Auditors' Report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of Melville Corporation:</w:t>
      </w:r>
    </w:p>
    <w:p>
      <w:pPr>
        <w:spacing w:after="0" w:line="173" w:lineRule="exact"/>
        <w:rPr>
          <w:sz w:val="20"/>
          <w:szCs w:val="20"/>
          <w:color w:val="auto"/>
        </w:rPr>
      </w:pPr>
    </w:p>
    <w:p>
      <w:pPr>
        <w:jc w:val="both"/>
        <w:ind w:right="437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Marshalls of Roseville, Minn., Inc. (a wholly-owned subsidiary of Melville Corporation) as of December 31, 1994 and 1993, and the related consolidated statements of income, shareholder's equity, and cash flows for each of the years in the three-year period ended December 31, 1994. These consolidated financial statements are the responsibility of Marshalls of Roseville, Minn., Inc.'s management. Our responsibility is to express an opinion on these consolidated financial statements based on our audits.</w:t>
      </w:r>
    </w:p>
    <w:p>
      <w:pPr>
        <w:spacing w:after="0" w:line="178" w:lineRule="exact"/>
        <w:rPr>
          <w:sz w:val="20"/>
          <w:szCs w:val="20"/>
          <w:color w:val="auto"/>
        </w:rPr>
      </w:pPr>
    </w:p>
    <w:p>
      <w:pPr>
        <w:jc w:val="both"/>
        <w:ind w:right="437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right="437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Marshalls of Roseville, Minn., Inc. as of December 31, 1994 and 1993, and the results of their operations and their cash flows for each of the years in the three-year period ended December 31, 1994, in conformity with generally accepted accounting principles.</w:t>
      </w:r>
    </w:p>
    <w:p>
      <w:pPr>
        <w:spacing w:after="0" w:line="176" w:lineRule="exact"/>
        <w:rPr>
          <w:sz w:val="20"/>
          <w:szCs w:val="20"/>
          <w:color w:val="auto"/>
        </w:rPr>
      </w:pPr>
    </w:p>
    <w:p>
      <w:pPr>
        <w:jc w:val="both"/>
        <w:ind w:right="4379"/>
        <w:spacing w:after="0" w:line="235" w:lineRule="auto"/>
        <w:rPr>
          <w:sz w:val="20"/>
          <w:szCs w:val="20"/>
          <w:color w:val="auto"/>
        </w:rPr>
      </w:pPr>
      <w:r>
        <w:rPr>
          <w:rFonts w:ascii="Courier New" w:cs="Courier New" w:eastAsia="Courier New" w:hAnsi="Courier New"/>
          <w:sz w:val="15"/>
          <w:szCs w:val="15"/>
          <w:color w:val="auto"/>
        </w:rPr>
        <w:t>As discussed in the notes to the consolidated financial statements, the Company changed its method of accounting for LIFO inventories in 1993.</w:t>
      </w: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/s/KPMG Peat Marwick LLP</w:t>
      </w:r>
    </w:p>
    <w:p>
      <w:pPr>
        <w:spacing w:after="0" w:line="237" w:lineRule="auto"/>
        <w:rPr>
          <w:sz w:val="20"/>
          <w:szCs w:val="20"/>
          <w:color w:val="auto"/>
        </w:rPr>
      </w:pPr>
      <w:r>
        <w:rPr>
          <w:rFonts w:ascii="Courier New" w:cs="Courier New" w:eastAsia="Courier New" w:hAnsi="Courier New"/>
          <w:sz w:val="15"/>
          <w:szCs w:val="15"/>
          <w:color w:val="auto"/>
        </w:rPr>
        <w:t>Boston, Massachusetts</w:t>
      </w:r>
    </w:p>
    <w:p>
      <w:pPr>
        <w:spacing w:after="0" w:line="238" w:lineRule="auto"/>
        <w:rPr>
          <w:sz w:val="20"/>
          <w:szCs w:val="20"/>
          <w:color w:val="auto"/>
        </w:rPr>
      </w:pPr>
      <w:r>
        <w:rPr>
          <w:rFonts w:ascii="Courier New" w:cs="Courier New" w:eastAsia="Courier New" w:hAnsi="Courier New"/>
          <w:sz w:val="15"/>
          <w:szCs w:val="15"/>
          <w:color w:val="auto"/>
        </w:rPr>
        <w:t>December 1,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MARSHALLS OF ROSEVILLE, MINN.,</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 wholly-owned subsidiary of Melville</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Corporation)</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800" w:type="dxa"/>
            <w:vAlign w:val="bottom"/>
          </w:tcPr>
          <w:p>
            <w:pPr>
              <w:spacing w:after="0"/>
              <w:rPr>
                <w:sz w:val="24"/>
                <w:szCs w:val="24"/>
                <w:color w:val="auto"/>
              </w:rPr>
            </w:pPr>
          </w:p>
        </w:tc>
        <w:tc>
          <w:tcPr>
            <w:tcW w:w="486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Consolidated Balance Sheets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800" w:type="dxa"/>
            <w:vAlign w:val="bottom"/>
          </w:tcPr>
          <w:p>
            <w:pPr>
              <w:spacing w:after="0"/>
              <w:rPr>
                <w:sz w:val="24"/>
                <w:szCs w:val="24"/>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1994 and 1993</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800" w:type="dxa"/>
            <w:vAlign w:val="bottom"/>
          </w:tcPr>
          <w:p>
            <w:pPr>
              <w:spacing w:after="0"/>
              <w:rPr>
                <w:sz w:val="24"/>
                <w:szCs w:val="24"/>
                <w:color w:val="auto"/>
              </w:rPr>
            </w:pPr>
          </w:p>
        </w:tc>
        <w:tc>
          <w:tcPr>
            <w:tcW w:w="3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841"/>
        </w:trPr>
        <w:tc>
          <w:tcPr>
            <w:tcW w:w="800" w:type="dxa"/>
            <w:vAlign w:val="bottom"/>
          </w:tcPr>
          <w:p>
            <w:pPr>
              <w:spacing w:after="0"/>
              <w:rPr>
                <w:sz w:val="24"/>
                <w:szCs w:val="24"/>
                <w:color w:val="auto"/>
              </w:rPr>
            </w:pPr>
          </w:p>
        </w:tc>
        <w:tc>
          <w:tcPr>
            <w:tcW w:w="372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336"/>
        </w:trPr>
        <w:tc>
          <w:tcPr>
            <w:tcW w:w="4520" w:type="dxa"/>
            <w:vAlign w:val="bottom"/>
            <w:gridSpan w:val="2"/>
          </w:tcPr>
          <w:p>
            <w:pPr>
              <w:jc w:val="right"/>
              <w:ind w:right="3127"/>
              <w:spacing w:after="0"/>
              <w:rPr>
                <w:sz w:val="20"/>
                <w:szCs w:val="20"/>
                <w:color w:val="auto"/>
              </w:rPr>
            </w:pPr>
            <w:r>
              <w:rPr>
                <w:rFonts w:ascii="Courier New" w:cs="Courier New" w:eastAsia="Courier New" w:hAnsi="Courier New"/>
                <w:sz w:val="15"/>
                <w:szCs w:val="15"/>
                <w:color w:val="auto"/>
                <w:w w:val="96"/>
              </w:rPr>
              <w:t>Current assets:</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22,306</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8,310</w:t>
            </w:r>
          </w:p>
        </w:tc>
      </w:tr>
      <w:tr>
        <w:trPr>
          <w:trHeight w:val="168"/>
        </w:trPr>
        <w:tc>
          <w:tcPr>
            <w:tcW w:w="45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Accounts receivable, net of allowance</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ectPr>
          <w:pgSz w:w="11900" w:h="16838" w:orient="portrait"/>
          <w:cols w:equalWidth="0" w:num="1">
            <w:col w:w="10239"/>
          </w:cols>
          <w:pgMar w:left="220" w:top="1440"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for doubtful accounts of $763 and $807</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1994 and 1993, respectively</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17,132</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13,397</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Inventories</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471,483</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369,682</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Due from Parent and other divisions</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4,332</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158,386</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8,930</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5,907</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 income tax assets</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30,138</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29,631</w:t>
            </w:r>
          </w:p>
        </w:tc>
      </w:tr>
      <w:tr>
        <w:trPr>
          <w:trHeight w:val="336"/>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554,321</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585,313</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447,347</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395,654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lease assets, net</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6,381</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29,749</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14,991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Deferred charges and other noncurrent assets, net</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21,224</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21,398</w:t>
            </w:r>
          </w:p>
        </w:tc>
      </w:tr>
      <w:tr>
        <w:trPr>
          <w:trHeight w:val="336"/>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Total assets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1,059,022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1,025,254</w:t>
            </w:r>
          </w:p>
        </w:tc>
      </w:tr>
      <w:tr>
        <w:trPr>
          <w:trHeight w:val="505"/>
        </w:trPr>
        <w:tc>
          <w:tcPr>
            <w:tcW w:w="4340" w:type="dxa"/>
            <w:vAlign w:val="bottom"/>
          </w:tcPr>
          <w:p>
            <w:pPr>
              <w:ind w:left="800"/>
              <w:spacing w:after="0"/>
              <w:rPr>
                <w:sz w:val="20"/>
                <w:szCs w:val="20"/>
                <w:color w:val="auto"/>
              </w:rPr>
            </w:pPr>
            <w:r>
              <w:rPr>
                <w:rFonts w:ascii="Courier New" w:cs="Courier New" w:eastAsia="Courier New" w:hAnsi="Courier New"/>
                <w:sz w:val="15"/>
                <w:szCs w:val="15"/>
                <w:color w:val="auto"/>
              </w:rPr>
              <w:t>Liabilities and Shareholder's Equity</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104,779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109,299</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161,797</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171,681</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Federal income taxes</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28,744</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22,145</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 lease obligations</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2,265</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2,290</w:t>
            </w:r>
          </w:p>
        </w:tc>
      </w:tr>
      <w:tr>
        <w:trPr>
          <w:trHeight w:val="336"/>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297,585</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305,415</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Deferred income tax liabilities</w:t>
            </w:r>
          </w:p>
        </w:tc>
        <w:tc>
          <w:tcPr>
            <w:tcW w:w="1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49,233</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41,926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 obligations</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11,316</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13,580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5,422</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10,445</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 no par value, 100 shares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and outstanding 1994 and 1993</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Contributed capital</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152,839</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152,839</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542,275</w:t>
            </w: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500,697</w:t>
            </w:r>
          </w:p>
        </w:tc>
      </w:tr>
      <w:tr>
        <w:trPr>
          <w:trHeight w:val="336"/>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Total shareholder's equity</w:t>
            </w:r>
          </w:p>
        </w:tc>
        <w:tc>
          <w:tcPr>
            <w:tcW w:w="1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695,466</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653,888</w:t>
            </w:r>
          </w:p>
        </w:tc>
      </w:tr>
      <w:tr>
        <w:trPr>
          <w:trHeight w:val="336"/>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1,059,022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1,025,254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MARSHALLS OF ROSEVILLE, MINN., INC.</w:t>
      </w:r>
    </w:p>
    <w:p>
      <w:pPr>
        <w:ind w:left="100"/>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For the years ended December 31, 1994, 1993 and 1992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gridSpan w:val="3"/>
          </w:tcPr>
          <w:p>
            <w:pPr>
              <w:ind w:left="2640"/>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1993</w:t>
            </w:r>
          </w:p>
        </w:tc>
        <w:tc>
          <w:tcPr>
            <w:tcW w:w="1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2,774,851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2,608,542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2,550,992</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1,834,212</w:t>
            </w: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1,704,022</w:t>
            </w:r>
          </w:p>
        </w:tc>
        <w:tc>
          <w:tcPr>
            <w:tcW w:w="1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1,641,233</w:t>
            </w:r>
          </w:p>
        </w:tc>
      </w:tr>
      <w:tr>
        <w:trPr>
          <w:trHeight w:val="336"/>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940,639</w:t>
            </w: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904,520</w:t>
            </w:r>
          </w:p>
        </w:tc>
        <w:tc>
          <w:tcPr>
            <w:tcW w:w="1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909,759</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748,532</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695,234</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661,457</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52,327</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45,201</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45,154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Realignment charge (credit)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(7,200)</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8,946</w:t>
            </w:r>
          </w:p>
        </w:tc>
      </w:tr>
      <w:tr>
        <w:trPr>
          <w:trHeight w:val="336"/>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146,980</w:t>
            </w: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164,085</w:t>
            </w:r>
          </w:p>
        </w:tc>
        <w:tc>
          <w:tcPr>
            <w:tcW w:w="1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194,202</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interest income (expense),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Parent and other divisions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(1,678)</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1,106</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 third party</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1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insurance recovery</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3,703</w:t>
            </w:r>
          </w:p>
        </w:tc>
      </w:tr>
      <w:tr>
        <w:trPr>
          <w:trHeight w:val="505"/>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Income before provision for</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145,202</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165,130</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198,053</w:t>
            </w:r>
          </w:p>
        </w:tc>
      </w:tr>
      <w:tr>
        <w:trPr>
          <w:trHeight w:val="33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Provision for income taxes</w:t>
            </w: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55,351</w:t>
            </w:r>
          </w:p>
        </w:tc>
        <w:tc>
          <w:tcPr>
            <w:tcW w:w="1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62,725</w:t>
            </w:r>
          </w:p>
        </w:tc>
        <w:tc>
          <w:tcPr>
            <w:tcW w:w="1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75,502</w:t>
            </w:r>
          </w:p>
        </w:tc>
      </w:tr>
      <w:tr>
        <w:trPr>
          <w:trHeight w:val="336"/>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89,851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102,405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122,551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155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73"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4"/>
          <w:szCs w:val="14"/>
          <w:color w:val="auto"/>
        </w:rPr>
        <w:t>For the years ended December 31, 1994, 1993 and 1992</w:t>
      </w:r>
    </w:p>
    <w:p>
      <w:pPr>
        <w:spacing w:after="0" w:line="17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39"/>
          </w:cols>
          <w:pgMar w:left="220" w:top="135"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6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140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Contributed</w:t>
            </w:r>
          </w:p>
        </w:tc>
        <w:tc>
          <w:tcPr>
            <w:tcW w:w="12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Retained</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Shareholder's</w:t>
            </w:r>
          </w:p>
        </w:tc>
      </w:tr>
      <w:tr>
        <w:trPr>
          <w:trHeight w:val="168"/>
        </w:trPr>
        <w:tc>
          <w:tcPr>
            <w:tcW w:w="36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40" w:type="dxa"/>
            <w:vAlign w:val="bottom"/>
          </w:tcPr>
          <w:p>
            <w:pPr>
              <w:spacing w:after="0"/>
              <w:rPr>
                <w:sz w:val="14"/>
                <w:szCs w:val="14"/>
                <w:color w:val="auto"/>
              </w:rPr>
            </w:pPr>
          </w:p>
        </w:tc>
        <w:tc>
          <w:tcPr>
            <w:tcW w:w="12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Capital</w:t>
            </w:r>
          </w:p>
        </w:tc>
        <w:tc>
          <w:tcPr>
            <w:tcW w:w="12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Earnings</w:t>
            </w:r>
          </w:p>
        </w:tc>
        <w:tc>
          <w:tcPr>
            <w:tcW w:w="126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1991</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$352</w:t>
            </w:r>
          </w:p>
        </w:tc>
        <w:tc>
          <w:tcPr>
            <w:tcW w:w="140" w:type="dxa"/>
            <w:vAlign w:val="bottom"/>
          </w:tcPr>
          <w:p>
            <w:pPr>
              <w:spacing w:after="0"/>
              <w:rPr>
                <w:sz w:val="24"/>
                <w:szCs w:val="24"/>
                <w:color w:val="auto"/>
              </w:rPr>
            </w:pPr>
          </w:p>
        </w:tc>
        <w:tc>
          <w:tcPr>
            <w:tcW w:w="12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9"/>
              </w:rPr>
              <w:t>$137,600</w:t>
            </w:r>
          </w:p>
        </w:tc>
        <w:tc>
          <w:tcPr>
            <w:tcW w:w="1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$372,903</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$510,855</w:t>
            </w:r>
          </w:p>
        </w:tc>
      </w:tr>
      <w:tr>
        <w:trPr>
          <w:trHeight w:val="336"/>
        </w:trPr>
        <w:tc>
          <w:tcPr>
            <w:tcW w:w="368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122,551</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122,551</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 of capital</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15,239</w:t>
            </w:r>
          </w:p>
        </w:tc>
        <w:tc>
          <w:tcPr>
            <w:tcW w:w="44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15,239</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 to Parent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(46,442)</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(46,442)</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Transfer of Melville Realty to Parent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(650)</w:t>
            </w:r>
          </w:p>
        </w:tc>
        <w:tc>
          <w:tcPr>
            <w:tcW w:w="4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(650)</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1992</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352</w:t>
            </w:r>
          </w:p>
        </w:tc>
        <w:tc>
          <w:tcPr>
            <w:tcW w:w="140" w:type="dxa"/>
            <w:vAlign w:val="bottom"/>
          </w:tcPr>
          <w:p>
            <w:pPr>
              <w:spacing w:after="0"/>
              <w:rPr>
                <w:sz w:val="24"/>
                <w:szCs w:val="24"/>
                <w:color w:val="auto"/>
              </w:rPr>
            </w:pPr>
          </w:p>
        </w:tc>
        <w:tc>
          <w:tcPr>
            <w:tcW w:w="12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152,839</w:t>
            </w:r>
          </w:p>
        </w:tc>
        <w:tc>
          <w:tcPr>
            <w:tcW w:w="1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448,362</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601,553</w:t>
            </w:r>
          </w:p>
        </w:tc>
      </w:tr>
      <w:tr>
        <w:trPr>
          <w:trHeight w:val="336"/>
        </w:trPr>
        <w:tc>
          <w:tcPr>
            <w:tcW w:w="368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102,405</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102,405</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 to Parent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(50,070)</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(50,070)</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1993</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352</w:t>
            </w:r>
          </w:p>
        </w:tc>
        <w:tc>
          <w:tcPr>
            <w:tcW w:w="140" w:type="dxa"/>
            <w:vAlign w:val="bottom"/>
          </w:tcPr>
          <w:p>
            <w:pPr>
              <w:spacing w:after="0"/>
              <w:rPr>
                <w:sz w:val="24"/>
                <w:szCs w:val="24"/>
                <w:color w:val="auto"/>
              </w:rPr>
            </w:pPr>
          </w:p>
        </w:tc>
        <w:tc>
          <w:tcPr>
            <w:tcW w:w="12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152,839</w:t>
            </w:r>
          </w:p>
        </w:tc>
        <w:tc>
          <w:tcPr>
            <w:tcW w:w="1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500,697</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653,888</w:t>
            </w:r>
          </w:p>
        </w:tc>
      </w:tr>
      <w:tr>
        <w:trPr>
          <w:trHeight w:val="336"/>
        </w:trPr>
        <w:tc>
          <w:tcPr>
            <w:tcW w:w="368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89,851</w:t>
            </w:r>
          </w:p>
        </w:tc>
        <w:tc>
          <w:tcPr>
            <w:tcW w:w="48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89,851</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 to Parent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(48,273)</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(48,273)</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1994</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$352</w:t>
            </w:r>
          </w:p>
        </w:tc>
        <w:tc>
          <w:tcPr>
            <w:tcW w:w="140" w:type="dxa"/>
            <w:vAlign w:val="bottom"/>
          </w:tcPr>
          <w:p>
            <w:pPr>
              <w:spacing w:after="0"/>
              <w:rPr>
                <w:sz w:val="24"/>
                <w:szCs w:val="24"/>
                <w:color w:val="auto"/>
              </w:rPr>
            </w:pPr>
          </w:p>
        </w:tc>
        <w:tc>
          <w:tcPr>
            <w:tcW w:w="12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9"/>
              </w:rPr>
              <w:t>$152,839</w:t>
            </w:r>
          </w:p>
        </w:tc>
        <w:tc>
          <w:tcPr>
            <w:tcW w:w="1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$542,275</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$695,466</w:t>
            </w:r>
          </w:p>
        </w:tc>
      </w:tr>
      <w:tr>
        <w:trPr>
          <w:trHeight w:val="673"/>
        </w:trPr>
        <w:tc>
          <w:tcPr>
            <w:tcW w:w="6040" w:type="dxa"/>
            <w:vAlign w:val="bottom"/>
            <w:gridSpan w:val="5"/>
          </w:tcPr>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6040" w:type="dxa"/>
            <w:vAlign w:val="bottom"/>
            <w:gridSpan w:val="5"/>
          </w:tcPr>
          <w:p>
            <w:pPr>
              <w:jc w:val="center"/>
              <w:ind w:left="2547"/>
              <w:spacing w:after="0"/>
              <w:rPr>
                <w:sz w:val="20"/>
                <w:szCs w:val="20"/>
                <w:color w:val="auto"/>
              </w:rPr>
            </w:pPr>
            <w:r>
              <w:rPr>
                <w:rFonts w:ascii="Courier New" w:cs="Courier New" w:eastAsia="Courier New" w:hAnsi="Courier New"/>
                <w:sz w:val="15"/>
                <w:szCs w:val="15"/>
                <w:color w:val="auto"/>
                <w:w w:val="97"/>
              </w:rPr>
              <w:t>MARSHALLS OF ROSEVILLE, MINN., INC.</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320" w:type="dxa"/>
            <w:vAlign w:val="bottom"/>
            <w:gridSpan w:val="7"/>
          </w:tcPr>
          <w:p>
            <w:pPr>
              <w:jc w:val="center"/>
              <w:ind w:left="1267"/>
              <w:spacing w:after="0" w:line="168" w:lineRule="exact"/>
              <w:rPr>
                <w:sz w:val="20"/>
                <w:szCs w:val="20"/>
                <w:color w:val="auto"/>
              </w:rPr>
            </w:pPr>
            <w:r>
              <w:rPr>
                <w:rFonts w:ascii="Courier New" w:cs="Courier New" w:eastAsia="Courier New" w:hAnsi="Courier New"/>
                <w:sz w:val="15"/>
                <w:szCs w:val="15"/>
                <w:color w:val="auto"/>
                <w:w w:val="97"/>
              </w:rPr>
              <w:t>(a wholly-owned subsidiary of Melville Corporation)</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040" w:type="dxa"/>
            <w:vAlign w:val="bottom"/>
            <w:gridSpan w:val="5"/>
          </w:tcPr>
          <w:p>
            <w:pPr>
              <w:jc w:val="center"/>
              <w:ind w:left="2567"/>
              <w:spacing w:after="0"/>
              <w:rPr>
                <w:sz w:val="20"/>
                <w:szCs w:val="20"/>
                <w:color w:val="auto"/>
              </w:rPr>
            </w:pPr>
            <w:r>
              <w:rPr>
                <w:rFonts w:ascii="Courier New" w:cs="Courier New" w:eastAsia="Courier New" w:hAnsi="Courier New"/>
                <w:sz w:val="15"/>
                <w:szCs w:val="15"/>
                <w:color w:val="auto"/>
                <w:w w:val="97"/>
              </w:rPr>
              <w:t>Consolidated Statements of Cash Flows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7320" w:type="dxa"/>
            <w:vAlign w:val="bottom"/>
            <w:gridSpan w:val="7"/>
          </w:tcPr>
          <w:p>
            <w:pPr>
              <w:ind w:left="2100"/>
              <w:spacing w:after="0"/>
              <w:rPr>
                <w:sz w:val="20"/>
                <w:szCs w:val="20"/>
                <w:color w:val="auto"/>
              </w:rPr>
            </w:pPr>
            <w:r>
              <w:rPr>
                <w:rFonts w:ascii="Courier New" w:cs="Courier New" w:eastAsia="Courier New" w:hAnsi="Courier New"/>
                <w:sz w:val="15"/>
                <w:szCs w:val="15"/>
                <w:color w:val="auto"/>
              </w:rPr>
              <w:t>For the years ended December 31, 1994, 1993 and 1992</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680" w:type="dxa"/>
            <w:vAlign w:val="bottom"/>
          </w:tcPr>
          <w:p>
            <w:pPr>
              <w:spacing w:after="0"/>
              <w:rPr>
                <w:sz w:val="24"/>
                <w:szCs w:val="24"/>
                <w:color w:val="auto"/>
              </w:rPr>
            </w:pPr>
          </w:p>
        </w:tc>
        <w:tc>
          <w:tcPr>
            <w:tcW w:w="14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41"/>
        </w:trPr>
        <w:tc>
          <w:tcPr>
            <w:tcW w:w="3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1993</w:t>
            </w:r>
          </w:p>
        </w:tc>
        <w:tc>
          <w:tcPr>
            <w:tcW w:w="4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89,851</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$ 102,405</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$ 122,551</w:t>
            </w:r>
          </w:p>
        </w:tc>
      </w:tr>
      <w:tr>
        <w:trPr>
          <w:trHeight w:val="168"/>
        </w:trPr>
        <w:tc>
          <w:tcPr>
            <w:tcW w:w="46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52,327</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45,201</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45,154</w:t>
            </w:r>
          </w:p>
        </w:tc>
      </w:tr>
      <w:tr>
        <w:trPr>
          <w:trHeight w:val="168"/>
        </w:trPr>
        <w:tc>
          <w:tcPr>
            <w:tcW w:w="46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deferred income taxes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6,800</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8,184</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(8,024)</w:t>
            </w:r>
          </w:p>
        </w:tc>
      </w:tr>
      <w:tr>
        <w:trPr>
          <w:trHeight w:val="168"/>
        </w:trPr>
        <w:tc>
          <w:tcPr>
            <w:tcW w:w="3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(Gain) loss on disposal of assets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2,148</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2,877</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(2,095)</w:t>
            </w:r>
          </w:p>
        </w:tc>
      </w:tr>
      <w:tr>
        <w:trPr>
          <w:trHeight w:val="168"/>
        </w:trPr>
        <w:tc>
          <w:tcPr>
            <w:tcW w:w="3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Realignment charge (credit)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(7,200)</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8,946</w:t>
            </w:r>
          </w:p>
        </w:tc>
      </w:tr>
      <w:tr>
        <w:trPr>
          <w:trHeight w:val="168"/>
        </w:trPr>
        <w:tc>
          <w:tcPr>
            <w:tcW w:w="3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Changes in assets and liabilities: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2,166</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(7,224)</w:t>
            </w:r>
          </w:p>
        </w:tc>
      </w:tr>
      <w:tr>
        <w:trPr>
          <w:trHeight w:val="168"/>
        </w:trPr>
        <w:tc>
          <w:tcPr>
            <w:tcW w:w="36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Inventories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(101,801)</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(2,179)</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(27,815)</w:t>
            </w:r>
          </w:p>
        </w:tc>
      </w:tr>
      <w:tr>
        <w:trPr>
          <w:trHeight w:val="168"/>
        </w:trPr>
        <w:tc>
          <w:tcPr>
            <w:tcW w:w="46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(2,730)</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9,363</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(1,451)</w:t>
            </w:r>
          </w:p>
        </w:tc>
      </w:tr>
      <w:tr>
        <w:trPr>
          <w:trHeight w:val="168"/>
        </w:trPr>
        <w:tc>
          <w:tcPr>
            <w:tcW w:w="4780" w:type="dxa"/>
            <w:vAlign w:val="bottom"/>
            <w:gridSpan w:val="3"/>
          </w:tcPr>
          <w:p>
            <w:pPr>
              <w:ind w:left="880"/>
              <w:spacing w:after="0" w:line="168" w:lineRule="exact"/>
              <w:rPr>
                <w:sz w:val="20"/>
                <w:szCs w:val="20"/>
                <w:color w:val="auto"/>
              </w:rPr>
            </w:pPr>
            <w:r>
              <w:rPr>
                <w:rFonts w:ascii="Courier New" w:cs="Courier New" w:eastAsia="Courier New" w:hAnsi="Courier New"/>
                <w:sz w:val="15"/>
                <w:szCs w:val="15"/>
                <w:color w:val="auto"/>
                <w:w w:val="97"/>
              </w:rPr>
              <w:t>Deferred charges and other noncurrent assets</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(2,719)</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4,124</w:t>
            </w:r>
          </w:p>
        </w:tc>
      </w:tr>
      <w:tr>
        <w:trPr>
          <w:trHeight w:val="168"/>
        </w:trPr>
        <w:tc>
          <w:tcPr>
            <w:tcW w:w="36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(4,112)</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(37,405)</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23,778</w:t>
            </w:r>
          </w:p>
        </w:tc>
      </w:tr>
      <w:tr>
        <w:trPr>
          <w:trHeight w:val="168"/>
        </w:trPr>
        <w:tc>
          <w:tcPr>
            <w:tcW w:w="36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(8,035)</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15,007</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16,424</w:t>
            </w:r>
          </w:p>
        </w:tc>
      </w:tr>
      <w:tr>
        <w:trPr>
          <w:trHeight w:val="168"/>
        </w:trPr>
        <w:tc>
          <w:tcPr>
            <w:tcW w:w="36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Accrued income taxes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6,599</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(5,868)</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4,459</w:t>
            </w:r>
          </w:p>
        </w:tc>
      </w:tr>
      <w:tr>
        <w:trPr>
          <w:trHeight w:val="168"/>
        </w:trPr>
        <w:tc>
          <w:tcPr>
            <w:tcW w:w="36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(1,019)</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(6,094)</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(2,752)</w:t>
            </w:r>
          </w:p>
        </w:tc>
      </w:tr>
      <w:tr>
        <w:trPr>
          <w:trHeight w:val="336"/>
        </w:trPr>
        <w:tc>
          <w:tcPr>
            <w:tcW w:w="46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29,222</w:t>
            </w:r>
          </w:p>
        </w:tc>
        <w:tc>
          <w:tcPr>
            <w:tcW w:w="44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130,938</w:t>
            </w:r>
          </w:p>
        </w:tc>
        <w:tc>
          <w:tcPr>
            <w:tcW w:w="4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176,075</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Additions to property and equipment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(112,538)</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(108,181)</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(77,898)</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disposal of assets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19,328</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7,138</w:t>
            </w:r>
          </w:p>
        </w:tc>
      </w:tr>
      <w:tr>
        <w:trPr>
          <w:trHeight w:val="168"/>
        </w:trPr>
        <w:tc>
          <w:tcPr>
            <w:tcW w:w="46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6"/>
              </w:rPr>
              <w:t>Net cash paid in acquisition of Puerto Rico stores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(24,846)</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w w:val="96"/>
              </w:rPr>
              <w:t>Net cash used in investing activities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(118,056)</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(108,181)</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(70,760)</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Advances (to) from Parent and other divisions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154,054</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16,159</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(68,319)</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Increase (decrease) in book overdrafts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(662)</w:t>
            </w:r>
          </w:p>
        </w:tc>
        <w:tc>
          <w:tcPr>
            <w:tcW w:w="4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14,902</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4,861</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(48,273)</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(50,070)</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(46,442)</w:t>
            </w:r>
          </w:p>
        </w:tc>
      </w:tr>
      <w:tr>
        <w:trPr>
          <w:trHeight w:val="168"/>
        </w:trPr>
        <w:tc>
          <w:tcPr>
            <w:tcW w:w="46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Principal payments on capital lease obligations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(2,289)</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(2,365)</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(3,522)</w:t>
            </w:r>
          </w:p>
        </w:tc>
      </w:tr>
      <w:tr>
        <w:trPr>
          <w:trHeight w:val="336"/>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(used in)</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102,830</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(21,374)</w:t>
            </w:r>
          </w:p>
        </w:tc>
        <w:tc>
          <w:tcPr>
            <w:tcW w:w="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(113,422)</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13,996</w:t>
            </w:r>
          </w:p>
        </w:tc>
        <w:tc>
          <w:tcPr>
            <w:tcW w:w="44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1,383</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(8,107)</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at beginning of year</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8,310</w:t>
            </w:r>
          </w:p>
        </w:tc>
        <w:tc>
          <w:tcPr>
            <w:tcW w:w="44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6,927</w:t>
            </w:r>
          </w:p>
        </w:tc>
        <w:tc>
          <w:tcPr>
            <w:tcW w:w="4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15,034</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at end of year</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22,306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8,310</w:t>
            </w:r>
          </w:p>
        </w:tc>
        <w:tc>
          <w:tcPr>
            <w:tcW w:w="480" w:type="dxa"/>
            <w:vAlign w:val="bottom"/>
          </w:tcPr>
          <w:p>
            <w:pPr>
              <w:ind w:left="3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6,927</w:t>
            </w:r>
          </w:p>
        </w:tc>
      </w:tr>
      <w:tr>
        <w:trPr>
          <w:trHeight w:val="336"/>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taxes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41,636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64,313</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71,737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35"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MARSHALLS OF ROSEVILLE,</w:t>
      </w:r>
    </w:p>
    <w:p>
      <w:pPr>
        <w:ind w:left="100"/>
        <w:spacing w:after="0" w:line="237" w:lineRule="auto"/>
        <w:rPr>
          <w:sz w:val="20"/>
          <w:szCs w:val="20"/>
          <w:color w:val="auto"/>
        </w:rPr>
      </w:pPr>
      <w:r>
        <w:rPr>
          <w:rFonts w:ascii="Courier New" w:cs="Courier New" w:eastAsia="Courier New" w:hAnsi="Courier New"/>
          <w:sz w:val="15"/>
          <w:szCs w:val="15"/>
          <w:color w:val="auto"/>
        </w:rPr>
        <w:t>MINN., INC.</w:t>
      </w:r>
    </w:p>
    <w:p>
      <w:pPr>
        <w:ind w:left="800"/>
        <w:spacing w:after="0" w:line="238" w:lineRule="auto"/>
        <w:rPr>
          <w:sz w:val="20"/>
          <w:szCs w:val="20"/>
          <w:color w:val="auto"/>
        </w:rPr>
      </w:pPr>
      <w:r>
        <w:rPr>
          <w:rFonts w:ascii="Courier New" w:cs="Courier New" w:eastAsia="Courier New" w:hAnsi="Courier New"/>
          <w:sz w:val="15"/>
          <w:szCs w:val="15"/>
          <w:color w:val="auto"/>
        </w:rPr>
        <w:t>(a wholly-owned subsidiary of Melville Corporation)</w:t>
      </w:r>
    </w:p>
    <w:p>
      <w:pPr>
        <w:sectPr>
          <w:pgSz w:w="11900" w:h="16838" w:orient="portrait"/>
          <w:cols w:equalWidth="0" w:num="1">
            <w:col w:w="10239"/>
          </w:cols>
          <w:pgMar w:left="220" w:top="471" w:right="1440" w:bottom="0" w:gutter="0" w:footer="0" w:header="0"/>
        </w:sectPr>
      </w:pPr>
    </w:p>
    <w:bookmarkStart w:id="5" w:name="page6"/>
    <w:bookmarkEnd w:id="5"/>
    <w:p>
      <w:pPr>
        <w:jc w:val="center"/>
        <w:ind w:right="40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1994, 1993 and 1992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66" w:lineRule="exact"/>
        <w:rPr>
          <w:sz w:val="20"/>
          <w:szCs w:val="20"/>
          <w:color w:val="auto"/>
        </w:rPr>
      </w:pPr>
    </w:p>
    <w:p>
      <w:pPr>
        <w:ind w:left="880" w:hanging="520"/>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jc w:val="both"/>
        <w:ind w:left="620" w:right="4099" w:hanging="261"/>
        <w:spacing w:after="0" w:line="236" w:lineRule="auto"/>
        <w:rPr>
          <w:sz w:val="20"/>
          <w:szCs w:val="20"/>
          <w:color w:val="auto"/>
        </w:rPr>
      </w:pPr>
      <w:r>
        <w:rPr>
          <w:rFonts w:ascii="Courier New" w:cs="Courier New" w:eastAsia="Courier New" w:hAnsi="Courier New"/>
          <w:sz w:val="15"/>
          <w:szCs w:val="15"/>
          <w:color w:val="auto"/>
        </w:rPr>
        <w:t>Marshalls of</w:t>
      </w:r>
      <w:r>
        <w:rPr>
          <w:sz w:val="20"/>
          <w:szCs w:val="20"/>
          <w:color w:val="auto"/>
        </w:rPr>
        <w:t xml:space="preserve"> </w:t>
      </w:r>
      <w:r>
        <w:rPr>
          <w:rFonts w:ascii="Courier New" w:cs="Courier New" w:eastAsia="Courier New" w:hAnsi="Courier New"/>
          <w:sz w:val="15"/>
          <w:szCs w:val="15"/>
          <w:color w:val="auto"/>
        </w:rPr>
        <w:t>Roseville, Minn., Inc. (the "Company") is an off-price retailer of brand name family apparel, accessories, footwear and selected home furnishings operating 484 and 448 stores as of December 31, 1994 and 1993, respectively in the United States and Puerto Rico.</w:t>
      </w:r>
    </w:p>
    <w:p>
      <w:pPr>
        <w:spacing w:after="0" w:line="167" w:lineRule="exact"/>
        <w:rPr>
          <w:sz w:val="20"/>
          <w:szCs w:val="20"/>
          <w:color w:val="auto"/>
        </w:rPr>
      </w:pPr>
    </w:p>
    <w:p>
      <w:pPr>
        <w:ind w:left="880" w:hanging="520"/>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5" w:lineRule="exact"/>
        <w:rPr>
          <w:sz w:val="20"/>
          <w:szCs w:val="20"/>
          <w:color w:val="auto"/>
        </w:rPr>
      </w:pPr>
    </w:p>
    <w:p>
      <w:pPr>
        <w:jc w:val="both"/>
        <w:ind w:left="620" w:right="4099" w:hanging="261"/>
        <w:spacing w:after="0" w:line="236" w:lineRule="auto"/>
        <w:rPr>
          <w:sz w:val="20"/>
          <w:szCs w:val="20"/>
          <w:color w:val="auto"/>
        </w:rPr>
      </w:pPr>
      <w:r>
        <w:rPr>
          <w:rFonts w:ascii="Courier New" w:cs="Courier New" w:eastAsia="Courier New" w:hAnsi="Courier New"/>
          <w:sz w:val="15"/>
          <w:szCs w:val="15"/>
          <w:color w:val="auto"/>
        </w:rPr>
        <w:t>The consolidated</w:t>
      </w:r>
      <w:r>
        <w:rPr>
          <w:sz w:val="20"/>
          <w:szCs w:val="20"/>
          <w:color w:val="auto"/>
        </w:rPr>
        <w:t xml:space="preserve"> </w:t>
      </w:r>
      <w:r>
        <w:rPr>
          <w:rFonts w:ascii="Courier New" w:cs="Courier New" w:eastAsia="Courier New" w:hAnsi="Courier New"/>
          <w:sz w:val="15"/>
          <w:szCs w:val="15"/>
          <w:color w:val="auto"/>
        </w:rPr>
        <w:t>financial statements include those of Marshalls of Roseville, Minn., Inc., a wholly-owned subsidiary of Melville Corporation (the "Parent") and all of its retail subsidiaries doing business as Marshalls. All intercompany balances and transactions between the consolidated entities have been eliminated.</w:t>
      </w:r>
    </w:p>
    <w:p>
      <w:pPr>
        <w:spacing w:after="0" w:line="168" w:lineRule="exact"/>
        <w:rPr>
          <w:sz w:val="20"/>
          <w:szCs w:val="20"/>
          <w:color w:val="auto"/>
        </w:rPr>
      </w:pPr>
    </w:p>
    <w:p>
      <w:pPr>
        <w:ind w:left="880" w:hanging="520"/>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Changes</w:t>
      </w:r>
    </w:p>
    <w:p>
      <w:pPr>
        <w:spacing w:after="0" w:line="5" w:lineRule="exact"/>
        <w:rPr>
          <w:sz w:val="20"/>
          <w:szCs w:val="20"/>
          <w:color w:val="auto"/>
        </w:rPr>
      </w:pPr>
    </w:p>
    <w:p>
      <w:pPr>
        <w:jc w:val="both"/>
        <w:ind w:left="620" w:right="4099" w:hanging="261"/>
        <w:spacing w:after="0" w:line="236" w:lineRule="auto"/>
        <w:rPr>
          <w:sz w:val="20"/>
          <w:szCs w:val="20"/>
          <w:color w:val="auto"/>
        </w:rPr>
      </w:pPr>
      <w:r>
        <w:rPr>
          <w:rFonts w:ascii="Courier New" w:cs="Courier New" w:eastAsia="Courier New" w:hAnsi="Courier New"/>
          <w:sz w:val="15"/>
          <w:szCs w:val="15"/>
          <w:color w:val="auto"/>
        </w:rPr>
        <w:t>Effective January</w:t>
      </w:r>
      <w:r>
        <w:rPr>
          <w:sz w:val="20"/>
          <w:szCs w:val="20"/>
          <w:color w:val="auto"/>
        </w:rPr>
        <w:t xml:space="preserve"> </w:t>
      </w:r>
      <w:r>
        <w:rPr>
          <w:rFonts w:ascii="Courier New" w:cs="Courier New" w:eastAsia="Courier New" w:hAnsi="Courier New"/>
          <w:sz w:val="15"/>
          <w:szCs w:val="15"/>
          <w:color w:val="auto"/>
        </w:rPr>
        <w:t>1, 1993, the Company adopted Statement of Financial Accounting Standards ("SFAS") No. 109, "Accounting for Income Taxes," the cumulative effect of which was immaterial to the consolidated financial statements and, therefore, is not presented separately.</w:t>
      </w:r>
    </w:p>
    <w:p>
      <w:pPr>
        <w:spacing w:after="0" w:line="174" w:lineRule="exact"/>
        <w:rPr>
          <w:sz w:val="20"/>
          <w:szCs w:val="20"/>
          <w:color w:val="auto"/>
        </w:rPr>
      </w:pPr>
    </w:p>
    <w:p>
      <w:pPr>
        <w:jc w:val="both"/>
        <w:ind w:left="360" w:right="4099"/>
        <w:spacing w:after="0" w:line="234" w:lineRule="auto"/>
        <w:rPr>
          <w:sz w:val="20"/>
          <w:szCs w:val="20"/>
          <w:color w:val="auto"/>
        </w:rPr>
      </w:pPr>
      <w:r>
        <w:rPr>
          <w:rFonts w:ascii="Courier New" w:cs="Courier New" w:eastAsia="Courier New" w:hAnsi="Courier New"/>
          <w:sz w:val="15"/>
          <w:szCs w:val="15"/>
          <w:color w:val="auto"/>
        </w:rPr>
        <w:t>In 1993, the Company changed its method of accounting for LIFO inventory by recognizing inflation on "basic" merchandise only.</w:t>
      </w:r>
    </w:p>
    <w:p>
      <w:pPr>
        <w:spacing w:after="0" w:line="167" w:lineRule="exact"/>
        <w:rPr>
          <w:sz w:val="20"/>
          <w:szCs w:val="20"/>
          <w:color w:val="auto"/>
        </w:rPr>
      </w:pPr>
    </w:p>
    <w:p>
      <w:pPr>
        <w:ind w:left="880" w:hanging="520"/>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5" w:lineRule="exact"/>
        <w:rPr>
          <w:sz w:val="20"/>
          <w:szCs w:val="20"/>
          <w:color w:val="auto"/>
        </w:rPr>
      </w:pPr>
    </w:p>
    <w:p>
      <w:pPr>
        <w:jc w:val="both"/>
        <w:ind w:left="620" w:right="4099" w:hanging="261"/>
        <w:spacing w:after="0" w:line="235" w:lineRule="auto"/>
        <w:tabs>
          <w:tab w:leader="none" w:pos="600" w:val="left"/>
        </w:tabs>
        <w:rPr>
          <w:sz w:val="20"/>
          <w:szCs w:val="20"/>
          <w:color w:val="auto"/>
        </w:rPr>
      </w:pPr>
      <w:r>
        <w:rPr>
          <w:rFonts w:ascii="Courier New" w:cs="Courier New" w:eastAsia="Courier New" w:hAnsi="Courier New"/>
          <w:sz w:val="15"/>
          <w:szCs w:val="15"/>
          <w:color w:val="auto"/>
        </w:rPr>
        <w:t>The</w:t>
        <w:tab/>
        <w:t>Company's cash management program utilizes zero balance accounts. Accordingly, all book overdraft balances have been reclassified to accounts payable.</w:t>
      </w:r>
    </w:p>
    <w:p>
      <w:pPr>
        <w:spacing w:after="0" w:line="167" w:lineRule="exact"/>
        <w:rPr>
          <w:sz w:val="20"/>
          <w:szCs w:val="20"/>
          <w:color w:val="auto"/>
        </w:rPr>
      </w:pPr>
    </w:p>
    <w:p>
      <w:pPr>
        <w:ind w:left="880" w:hanging="520"/>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jc w:val="right"/>
        <w:ind w:left="360" w:right="4099"/>
        <w:spacing w:after="0" w:line="254" w:lineRule="auto"/>
        <w:rPr>
          <w:sz w:val="20"/>
          <w:szCs w:val="20"/>
          <w:color w:val="auto"/>
        </w:rPr>
      </w:pPr>
      <w:r>
        <w:rPr>
          <w:rFonts w:ascii="Courier New" w:cs="Courier New" w:eastAsia="Courier New" w:hAnsi="Courier New"/>
          <w:sz w:val="14"/>
          <w:szCs w:val="14"/>
          <w:color w:val="auto"/>
        </w:rPr>
        <w:t>Inventories, principally  finished goods,  consist of  merchandise purchased from  domestic and foreign vendors and are carried at</w:t>
      </w:r>
    </w:p>
    <w:p>
      <w:pPr>
        <w:spacing w:after="0" w:line="1" w:lineRule="exact"/>
        <w:rPr>
          <w:sz w:val="20"/>
          <w:szCs w:val="20"/>
          <w:color w:val="auto"/>
        </w:rPr>
      </w:pPr>
    </w:p>
    <w:p>
      <w:pPr>
        <w:jc w:val="both"/>
        <w:ind w:left="620" w:right="4099"/>
        <w:spacing w:after="0" w:line="236" w:lineRule="auto"/>
        <w:rPr>
          <w:sz w:val="20"/>
          <w:szCs w:val="20"/>
          <w:color w:val="auto"/>
        </w:rPr>
      </w:pPr>
      <w:r>
        <w:rPr>
          <w:rFonts w:ascii="Courier New" w:cs="Courier New" w:eastAsia="Courier New" w:hAnsi="Courier New"/>
          <w:sz w:val="15"/>
          <w:szCs w:val="15"/>
          <w:color w:val="auto"/>
        </w:rPr>
        <w:t>the lower of cost or market. Cost of inventories at distribution centers is determined on a last-in, first-out (LIFO) method. Inventories at stores are determined on the retail inventory method valued on a first-in, first-out (FIFO) basis.</w:t>
      </w:r>
    </w:p>
    <w:p>
      <w:pPr>
        <w:spacing w:after="0" w:line="167" w:lineRule="exact"/>
        <w:rPr>
          <w:sz w:val="20"/>
          <w:szCs w:val="20"/>
          <w:color w:val="auto"/>
        </w:rPr>
      </w:pPr>
    </w:p>
    <w:p>
      <w:pPr>
        <w:ind w:left="880" w:hanging="520"/>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5" w:lineRule="exact"/>
        <w:rPr>
          <w:sz w:val="20"/>
          <w:szCs w:val="20"/>
          <w:color w:val="auto"/>
        </w:rPr>
      </w:pPr>
    </w:p>
    <w:p>
      <w:pPr>
        <w:jc w:val="both"/>
        <w:ind w:left="620" w:right="4099" w:hanging="261"/>
        <w:spacing w:after="0"/>
        <w:rPr>
          <w:sz w:val="20"/>
          <w:szCs w:val="20"/>
          <w:color w:val="auto"/>
        </w:rPr>
      </w:pPr>
      <w:r>
        <w:rPr>
          <w:rFonts w:ascii="Courier New" w:cs="Courier New" w:eastAsia="Courier New" w:hAnsi="Courier New"/>
          <w:sz w:val="15"/>
          <w:szCs w:val="15"/>
          <w:color w:val="auto"/>
        </w:rPr>
        <w:t>Property and equipment are stated at cost.</w:t>
      </w:r>
      <w:r>
        <w:rPr>
          <w:sz w:val="20"/>
          <w:szCs w:val="20"/>
          <w:color w:val="auto"/>
        </w:rPr>
        <w:t xml:space="preserve"> </w:t>
      </w:r>
      <w:r>
        <w:rPr>
          <w:rFonts w:ascii="Courier New" w:cs="Courier New" w:eastAsia="Courier New" w:hAnsi="Courier New"/>
          <w:sz w:val="15"/>
          <w:szCs w:val="15"/>
          <w:color w:val="auto"/>
        </w:rPr>
        <w:t>Property and equipment under capital leases are stated at the present value of future minimum lease payments.</w:t>
      </w:r>
    </w:p>
    <w:p>
      <w:pPr>
        <w:spacing w:after="0" w:line="15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419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1994, 1993 and 1992</w:t>
      </w:r>
    </w:p>
    <w:p>
      <w:pPr>
        <w:spacing w:after="0" w:line="341" w:lineRule="exact"/>
        <w:rPr>
          <w:sz w:val="20"/>
          <w:szCs w:val="20"/>
          <w:color w:val="auto"/>
        </w:rPr>
      </w:pPr>
    </w:p>
    <w:p>
      <w:pPr>
        <w:jc w:val="both"/>
        <w:ind w:left="620" w:right="4099" w:hanging="261"/>
        <w:spacing w:after="0" w:line="236" w:lineRule="auto"/>
        <w:rPr>
          <w:sz w:val="20"/>
          <w:szCs w:val="20"/>
          <w:color w:val="auto"/>
        </w:rPr>
      </w:pPr>
      <w:r>
        <w:rPr>
          <w:rFonts w:ascii="Courier New" w:cs="Courier New" w:eastAsia="Courier New" w:hAnsi="Courier New"/>
          <w:sz w:val="15"/>
          <w:szCs w:val="15"/>
          <w:color w:val="auto"/>
        </w:rPr>
        <w:t>Depreciation</w:t>
      </w:r>
      <w:r>
        <w:rPr>
          <w:sz w:val="20"/>
          <w:szCs w:val="20"/>
          <w:color w:val="auto"/>
        </w:rPr>
        <w:t xml:space="preserve"> </w:t>
      </w:r>
      <w:r>
        <w:rPr>
          <w:rFonts w:ascii="Courier New" w:cs="Courier New" w:eastAsia="Courier New" w:hAnsi="Courier New"/>
          <w:sz w:val="15"/>
          <w:szCs w:val="15"/>
          <w:color w:val="auto"/>
        </w:rPr>
        <w:t>and amortization of property, furniture and equipment, and leasehold improvements is computed on a straight-line basis, generally over the estimated useful lives of the assets or, when applicable, the life of the lease, whichever is shorter. Amortization of leased property under capital leases is computed on a straight-line basis over the life of the lease. Capitalized software costs are amortized on a straight-line basis over their estimated useful lives beginning in the year placed in service. Fully depreciated property and equipment are removed from the cost and related accumulated depreciation and amortization accounts.</w:t>
      </w:r>
    </w:p>
    <w:p>
      <w:pPr>
        <w:spacing w:after="0" w:line="180" w:lineRule="exact"/>
        <w:rPr>
          <w:sz w:val="20"/>
          <w:szCs w:val="20"/>
          <w:color w:val="auto"/>
        </w:rPr>
      </w:pPr>
    </w:p>
    <w:p>
      <w:pPr>
        <w:jc w:val="both"/>
        <w:ind w:left="620" w:right="4099" w:hanging="261"/>
        <w:spacing w:after="0" w:line="235" w:lineRule="auto"/>
        <w:rPr>
          <w:sz w:val="20"/>
          <w:szCs w:val="20"/>
          <w:color w:val="auto"/>
        </w:rPr>
      </w:pPr>
      <w:r>
        <w:rPr>
          <w:rFonts w:ascii="Courier New" w:cs="Courier New" w:eastAsia="Courier New" w:hAnsi="Courier New"/>
          <w:sz w:val="15"/>
          <w:szCs w:val="15"/>
          <w:color w:val="auto"/>
        </w:rPr>
        <w:t>Maintenance</w:t>
      </w:r>
      <w:r>
        <w:rPr>
          <w:sz w:val="20"/>
          <w:szCs w:val="20"/>
          <w:color w:val="auto"/>
        </w:rPr>
        <w:t xml:space="preserve"> </w:t>
      </w:r>
      <w:r>
        <w:rPr>
          <w:rFonts w:ascii="Courier New" w:cs="Courier New" w:eastAsia="Courier New" w:hAnsi="Courier New"/>
          <w:sz w:val="15"/>
          <w:szCs w:val="15"/>
          <w:color w:val="auto"/>
        </w:rPr>
        <w:t>and repairs are charged directly to expense as incurred. Major renewals or replacements are capitalized after making the necessary adjustment on the asset and accumulated depreciation accounts of the items renewed or replaced.</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 Deferred Charges</w:t>
      </w:r>
    </w:p>
    <w:p>
      <w:pPr>
        <w:spacing w:after="0" w:line="5" w:lineRule="exact"/>
        <w:rPr>
          <w:sz w:val="20"/>
          <w:szCs w:val="20"/>
          <w:color w:val="auto"/>
        </w:rPr>
      </w:pPr>
    </w:p>
    <w:p>
      <w:pPr>
        <w:jc w:val="both"/>
        <w:ind w:left="620" w:right="4099" w:hanging="261"/>
        <w:spacing w:after="0"/>
        <w:rPr>
          <w:sz w:val="20"/>
          <w:szCs w:val="20"/>
          <w:color w:val="auto"/>
        </w:rPr>
      </w:pPr>
      <w:r>
        <w:rPr>
          <w:rFonts w:ascii="Courier New" w:cs="Courier New" w:eastAsia="Courier New" w:hAnsi="Courier New"/>
          <w:sz w:val="15"/>
          <w:szCs w:val="15"/>
          <w:color w:val="auto"/>
        </w:rPr>
        <w:t>Deferred charges,</w:t>
      </w:r>
      <w:r>
        <w:rPr>
          <w:sz w:val="20"/>
          <w:szCs w:val="20"/>
          <w:color w:val="auto"/>
        </w:rPr>
        <w:t xml:space="preserve"> </w:t>
      </w:r>
      <w:r>
        <w:rPr>
          <w:rFonts w:ascii="Courier New" w:cs="Courier New" w:eastAsia="Courier New" w:hAnsi="Courier New"/>
          <w:sz w:val="15"/>
          <w:szCs w:val="15"/>
          <w:color w:val="auto"/>
        </w:rPr>
        <w:t>principally acquisition costs incurred from the purchase of new or existing store locations, are amortized on a straight-line basis, generally over the remaining terms of the leases.</w:t>
      </w:r>
    </w:p>
    <w:p>
      <w:pPr>
        <w:spacing w:after="0" w:line="325" w:lineRule="exact"/>
        <w:rPr>
          <w:sz w:val="20"/>
          <w:szCs w:val="20"/>
          <w:color w:val="auto"/>
        </w:rPr>
      </w:pPr>
    </w:p>
    <w:p>
      <w:pPr>
        <w:ind w:left="880" w:hanging="520"/>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spacing w:after="0" w:line="5" w:lineRule="exact"/>
        <w:rPr>
          <w:sz w:val="20"/>
          <w:szCs w:val="20"/>
          <w:color w:val="auto"/>
        </w:rPr>
      </w:pPr>
    </w:p>
    <w:p>
      <w:pPr>
        <w:jc w:val="right"/>
        <w:ind w:left="360" w:right="4099"/>
        <w:spacing w:after="0" w:line="254" w:lineRule="auto"/>
        <w:rPr>
          <w:sz w:val="20"/>
          <w:szCs w:val="20"/>
          <w:color w:val="auto"/>
        </w:rPr>
      </w:pPr>
      <w:r>
        <w:rPr>
          <w:rFonts w:ascii="Courier New" w:cs="Courier New" w:eastAsia="Courier New" w:hAnsi="Courier New"/>
          <w:sz w:val="14"/>
          <w:szCs w:val="14"/>
          <w:color w:val="auto"/>
        </w:rPr>
        <w:t>The excess  of acquisition costs over the fair value of net assets acquired is amortized on a straight-line basis not to exceed 40</w:t>
      </w:r>
    </w:p>
    <w:p>
      <w:pPr>
        <w:spacing w:after="0" w:line="1" w:lineRule="exact"/>
        <w:rPr>
          <w:sz w:val="20"/>
          <w:szCs w:val="20"/>
          <w:color w:val="auto"/>
        </w:rPr>
      </w:pPr>
    </w:p>
    <w:p>
      <w:pPr>
        <w:jc w:val="both"/>
        <w:ind w:left="620" w:right="4099"/>
        <w:spacing w:after="0" w:line="235" w:lineRule="auto"/>
        <w:rPr>
          <w:sz w:val="20"/>
          <w:szCs w:val="20"/>
          <w:color w:val="auto"/>
        </w:rPr>
      </w:pPr>
      <w:r>
        <w:rPr>
          <w:rFonts w:ascii="Courier New" w:cs="Courier New" w:eastAsia="Courier New" w:hAnsi="Courier New"/>
          <w:sz w:val="15"/>
          <w:szCs w:val="15"/>
          <w:color w:val="auto"/>
        </w:rPr>
        <w:t>years. At December 31, 1994, the Company measured the recoverability of the recorded goodwill by estimating the future undiscounted cash flows expected to result from the respective entities.</w:t>
      </w:r>
    </w:p>
    <w:p>
      <w:pPr>
        <w:spacing w:after="0" w:line="169" w:lineRule="exact"/>
        <w:rPr>
          <w:sz w:val="20"/>
          <w:szCs w:val="20"/>
          <w:color w:val="auto"/>
        </w:rPr>
      </w:pPr>
    </w:p>
    <w:p>
      <w:pPr>
        <w:ind w:left="880" w:hanging="520"/>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Store Opening Costs</w:t>
      </w:r>
    </w:p>
    <w:p>
      <w:pPr>
        <w:ind w:left="360"/>
        <w:spacing w:after="0" w:line="237" w:lineRule="auto"/>
        <w:rPr>
          <w:sz w:val="20"/>
          <w:szCs w:val="20"/>
          <w:color w:val="auto"/>
        </w:rPr>
      </w:pPr>
      <w:r>
        <w:rPr>
          <w:rFonts w:ascii="Courier New" w:cs="Courier New" w:eastAsia="Courier New" w:hAnsi="Courier New"/>
          <w:sz w:val="15"/>
          <w:szCs w:val="15"/>
          <w:color w:val="auto"/>
        </w:rPr>
        <w:t>New store opening costs are charged to expense as incurred.</w:t>
      </w:r>
    </w:p>
    <w:p>
      <w:pPr>
        <w:spacing w:after="0" w:line="167" w:lineRule="exact"/>
        <w:rPr>
          <w:sz w:val="20"/>
          <w:szCs w:val="20"/>
          <w:color w:val="auto"/>
        </w:rPr>
      </w:pPr>
    </w:p>
    <w:p>
      <w:pPr>
        <w:ind w:left="880" w:hanging="520"/>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Costs</w:t>
      </w:r>
    </w:p>
    <w:p>
      <w:pPr>
        <w:ind w:left="360"/>
        <w:spacing w:after="0" w:line="237" w:lineRule="auto"/>
        <w:rPr>
          <w:sz w:val="20"/>
          <w:szCs w:val="20"/>
          <w:color w:val="auto"/>
        </w:rPr>
      </w:pPr>
      <w:r>
        <w:rPr>
          <w:rFonts w:ascii="Courier New" w:cs="Courier New" w:eastAsia="Courier New" w:hAnsi="Courier New"/>
          <w:sz w:val="15"/>
          <w:szCs w:val="15"/>
          <w:color w:val="auto"/>
        </w:rPr>
        <w:t>Advertising costs are charged to expense as incurred.</w:t>
      </w:r>
    </w:p>
    <w:p>
      <w:pPr>
        <w:sectPr>
          <w:pgSz w:w="11900" w:h="16838" w:orient="portrait"/>
          <w:cols w:equalWidth="0" w:num="1">
            <w:col w:w="10239"/>
          </w:cols>
          <w:pgMar w:left="220" w:top="303" w:right="1440" w:bottom="0" w:gutter="0" w:footer="0" w:header="0"/>
        </w:sectPr>
      </w:pPr>
    </w:p>
    <w:bookmarkStart w:id="6" w:name="page7"/>
    <w:bookmarkEnd w:id="6"/>
    <w:p>
      <w:pPr>
        <w:ind w:left="880" w:hanging="520"/>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left="620" w:right="4099" w:hanging="261"/>
        <w:spacing w:after="0" w:line="236" w:lineRule="auto"/>
        <w:rPr>
          <w:sz w:val="20"/>
          <w:szCs w:val="20"/>
          <w:color w:val="auto"/>
        </w:rPr>
      </w:pPr>
      <w:r>
        <w:rPr>
          <w:rFonts w:ascii="Courier New" w:cs="Courier New" w:eastAsia="Courier New" w:hAnsi="Courier New"/>
          <w:sz w:val="15"/>
          <w:szCs w:val="15"/>
          <w:color w:val="auto"/>
        </w:rPr>
        <w:t>The Parent</w:t>
      </w:r>
      <w:r>
        <w:rPr>
          <w:sz w:val="20"/>
          <w:szCs w:val="20"/>
          <w:color w:val="auto"/>
        </w:rPr>
        <w:t xml:space="preserve"> </w:t>
      </w:r>
      <w:r>
        <w:rPr>
          <w:rFonts w:ascii="Courier New" w:cs="Courier New" w:eastAsia="Courier New" w:hAnsi="Courier New"/>
          <w:sz w:val="15"/>
          <w:szCs w:val="15"/>
          <w:color w:val="auto"/>
        </w:rPr>
        <w:t>and its subsidiaries, including the Company, file a consolidated federal income tax return and, where applicable group state and local returns. The provision for federal income taxes or federal income tax benefit recorded by the Company represents the amount calculated on a separate return basis in accordance with the tax sharing agreement with</w:t>
      </w:r>
    </w:p>
    <w:p>
      <w:pPr>
        <w:jc w:val="center"/>
        <w:ind w:right="4199"/>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419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1994, 1993 and 1992</w:t>
      </w:r>
    </w:p>
    <w:p>
      <w:pPr>
        <w:spacing w:after="0" w:line="341" w:lineRule="exact"/>
        <w:rPr>
          <w:sz w:val="20"/>
          <w:szCs w:val="20"/>
          <w:color w:val="auto"/>
        </w:rPr>
      </w:pPr>
    </w:p>
    <w:p>
      <w:pPr>
        <w:ind w:left="620" w:right="4099"/>
        <w:spacing w:after="0" w:line="234" w:lineRule="auto"/>
        <w:rPr>
          <w:sz w:val="20"/>
          <w:szCs w:val="20"/>
          <w:color w:val="auto"/>
        </w:rPr>
      </w:pPr>
      <w:r>
        <w:rPr>
          <w:rFonts w:ascii="Courier New" w:cs="Courier New" w:eastAsia="Courier New" w:hAnsi="Courier New"/>
          <w:sz w:val="15"/>
          <w:szCs w:val="15"/>
          <w:color w:val="auto"/>
        </w:rPr>
        <w:t>Parent. State income taxes represent actual amounts paid or payable by the Company.</w:t>
      </w:r>
    </w:p>
    <w:p>
      <w:pPr>
        <w:spacing w:after="0" w:line="173" w:lineRule="exact"/>
        <w:rPr>
          <w:sz w:val="20"/>
          <w:szCs w:val="20"/>
          <w:color w:val="auto"/>
        </w:rPr>
      </w:pPr>
    </w:p>
    <w:p>
      <w:pPr>
        <w:jc w:val="both"/>
        <w:ind w:left="620" w:right="4099" w:hanging="259"/>
        <w:spacing w:after="0" w:line="255" w:lineRule="auto"/>
        <w:tabs>
          <w:tab w:leader="none" w:pos="600" w:val="left"/>
        </w:tabs>
        <w:rPr>
          <w:sz w:val="20"/>
          <w:szCs w:val="20"/>
          <w:color w:val="auto"/>
        </w:rPr>
      </w:pPr>
      <w:r>
        <w:rPr>
          <w:rFonts w:ascii="Courier New" w:cs="Courier New" w:eastAsia="Courier New" w:hAnsi="Courier New"/>
          <w:sz w:val="14"/>
          <w:szCs w:val="14"/>
          <w:color w:val="auto"/>
        </w:rPr>
        <w:t>In</w:t>
        <w:tab/>
        <w:t>February 1992, the Financial Accounting Standards Board issued SFAS No. 109, "Accounting for Income Taxes." SFAS No. 109 requires a change from the deferred method of accounting for income taxes of APB Opinion No. 11 to the asset and liability method of accounting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Under SFAS No. 109, the effect on deferred tax assets and liabilities of a change in tax rates is recognized in income in the period that includes the enactment date.</w:t>
      </w:r>
    </w:p>
    <w:p>
      <w:pPr>
        <w:spacing w:after="0" w:line="157" w:lineRule="exact"/>
        <w:rPr>
          <w:sz w:val="20"/>
          <w:szCs w:val="20"/>
          <w:color w:val="auto"/>
        </w:rPr>
      </w:pPr>
    </w:p>
    <w:p>
      <w:pPr>
        <w:ind w:left="360" w:hanging="350"/>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Puerto Rico Stores</w:t>
      </w:r>
    </w:p>
    <w:p>
      <w:pPr>
        <w:spacing w:after="0" w:line="172" w:lineRule="exact"/>
        <w:rPr>
          <w:rFonts w:ascii="Courier New" w:cs="Courier New" w:eastAsia="Courier New" w:hAnsi="Courier New"/>
          <w:sz w:val="15"/>
          <w:szCs w:val="15"/>
          <w:color w:val="auto"/>
        </w:rPr>
      </w:pPr>
    </w:p>
    <w:p>
      <w:pPr>
        <w:jc w:val="right"/>
        <w:ind w:left="620" w:right="4099" w:hanging="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1994,  the Company  acquired the  assets of  twelve  retail stores located  in Puerto  Rico  for  a  cash  price  of  $24.8 million.  This acquisition was accounted for using the purchase method of accounting and resulted in goodwill of $15.5 million. Results  of   operations  are   included  in  the  consolidated financial  statements   of  the   Company  from   the  date  of</w:t>
      </w:r>
    </w:p>
    <w:p>
      <w:pPr>
        <w:spacing w:after="0" w:line="2" w:lineRule="exact"/>
        <w:rPr>
          <w:rFonts w:ascii="Courier New" w:cs="Courier New" w:eastAsia="Courier New" w:hAnsi="Courier New"/>
          <w:sz w:val="15"/>
          <w:szCs w:val="15"/>
          <w:color w:val="auto"/>
        </w:rPr>
      </w:pPr>
    </w:p>
    <w:p>
      <w:pPr>
        <w:jc w:val="both"/>
        <w:ind w:left="620" w:right="40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Pro forma financial results have not been presented for the effect of this transaction since the operations are not material to the consolidated financial results of the Company.</w:t>
      </w:r>
    </w:p>
    <w:p>
      <w:pPr>
        <w:spacing w:after="0" w:line="16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2" w:lineRule="exact"/>
        <w:rPr>
          <w:rFonts w:ascii="Courier New" w:cs="Courier New" w:eastAsia="Courier New" w:hAnsi="Courier New"/>
          <w:sz w:val="15"/>
          <w:szCs w:val="15"/>
          <w:color w:val="auto"/>
        </w:rPr>
      </w:pPr>
    </w:p>
    <w:p>
      <w:pPr>
        <w:jc w:val="right"/>
        <w:ind w:left="620" w:right="4099" w:hanging="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year ended  December 31, 1993, the Company changed its method of  accounting for  the composition  of "fashion" versus "basic" merchandise  in its  LIFO pools,  wherein inflation was recognized on  "basic" inventory  only.   The change  increased</w:t>
      </w:r>
    </w:p>
    <w:p>
      <w:pPr>
        <w:spacing w:after="0" w:line="1" w:lineRule="exact"/>
        <w:rPr>
          <w:rFonts w:ascii="Courier New" w:cs="Courier New" w:eastAsia="Courier New" w:hAnsi="Courier New"/>
          <w:sz w:val="15"/>
          <w:szCs w:val="15"/>
          <w:color w:val="auto"/>
        </w:rPr>
      </w:pPr>
    </w:p>
    <w:p>
      <w:pPr>
        <w:jc w:val="both"/>
        <w:ind w:left="620" w:right="40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1993 net earnings by approximately $6.1 million. The net earnings impact of the change on prior years, individually and cumulatively, is not determinable.</w:t>
      </w:r>
    </w:p>
    <w:p>
      <w:pPr>
        <w:spacing w:after="0" w:line="167"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carried</w:t>
      </w:r>
      <w:r>
        <w:rPr>
          <w:rFonts w:ascii="Courier New" w:cs="Courier New" w:eastAsia="Courier New" w:hAnsi="Courier New"/>
          <w:sz w:val="14"/>
          <w:szCs w:val="14"/>
          <w:color w:val="auto"/>
        </w:rPr>
        <w:t>under   the   LIFO   method   represented</w:t>
      </w:r>
    </w:p>
    <w:p>
      <w:pPr>
        <w:ind w:left="540"/>
        <w:spacing w:after="0" w:line="237" w:lineRule="auto"/>
        <w:rPr>
          <w:sz w:val="20"/>
          <w:szCs w:val="20"/>
          <w:color w:val="auto"/>
        </w:rPr>
      </w:pPr>
      <w:r>
        <w:rPr>
          <w:rFonts w:ascii="Courier New" w:cs="Courier New" w:eastAsia="Courier New" w:hAnsi="Courier New"/>
          <w:sz w:val="15"/>
          <w:szCs w:val="15"/>
          <w:color w:val="auto"/>
        </w:rPr>
        <w:t>approximately 37% of total year end inventory carrying</w:t>
      </w:r>
    </w:p>
    <w:p>
      <w:pPr>
        <w:ind w:left="2980"/>
        <w:spacing w:after="0" w:line="238" w:lineRule="auto"/>
        <w:rPr>
          <w:sz w:val="20"/>
          <w:szCs w:val="20"/>
          <w:color w:val="auto"/>
        </w:rPr>
      </w:pPr>
      <w:r>
        <w:rPr>
          <w:rFonts w:ascii="Courier New" w:cs="Courier New" w:eastAsia="Courier New" w:hAnsi="Courier New"/>
          <w:sz w:val="15"/>
          <w:szCs w:val="15"/>
          <w:color w:val="auto"/>
        </w:rPr>
        <w:t>4</w:t>
      </w:r>
    </w:p>
    <w:p>
      <w:pPr>
        <w:spacing w:after="0" w:line="167"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419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1994, 1993 and 1992</w:t>
      </w:r>
    </w:p>
    <w:p>
      <w:pPr>
        <w:spacing w:after="0" w:line="341" w:lineRule="exact"/>
        <w:rPr>
          <w:sz w:val="20"/>
          <w:szCs w:val="20"/>
          <w:color w:val="auto"/>
        </w:rPr>
      </w:pPr>
    </w:p>
    <w:p>
      <w:pPr>
        <w:jc w:val="both"/>
        <w:ind w:left="620" w:right="4099"/>
        <w:spacing w:after="0" w:line="236" w:lineRule="auto"/>
        <w:rPr>
          <w:sz w:val="20"/>
          <w:szCs w:val="20"/>
          <w:color w:val="auto"/>
        </w:rPr>
      </w:pPr>
      <w:r>
        <w:rPr>
          <w:rFonts w:ascii="Courier New" w:cs="Courier New" w:eastAsia="Courier New" w:hAnsi="Courier New"/>
          <w:sz w:val="15"/>
          <w:szCs w:val="15"/>
          <w:color w:val="auto"/>
        </w:rPr>
        <w:t>in 1994 and 34% in 1993. It is estimated that inventories would have been approximately $3.0 million higher than reported on December 31, 1994, and approximately $3.1 million higher on December 31, 1993, if the quantities valued on the LIFO basis were instead valued on a FIFO basis.</w:t>
      </w:r>
    </w:p>
    <w:p>
      <w:pPr>
        <w:spacing w:after="0" w:line="167" w:lineRule="exact"/>
        <w:rPr>
          <w:sz w:val="20"/>
          <w:szCs w:val="20"/>
          <w:color w:val="auto"/>
        </w:rPr>
      </w:pPr>
    </w:p>
    <w:p>
      <w:pPr>
        <w:ind w:left="360" w:hanging="350"/>
        <w:spacing w:after="0"/>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w:t>
      </w:r>
    </w:p>
    <w:p>
      <w:pPr>
        <w:spacing w:after="0" w:line="172" w:lineRule="exact"/>
        <w:rPr>
          <w:rFonts w:ascii="Courier New" w:cs="Courier New" w:eastAsia="Courier New" w:hAnsi="Courier New"/>
          <w:sz w:val="15"/>
          <w:szCs w:val="15"/>
          <w:color w:val="auto"/>
        </w:rPr>
      </w:pPr>
    </w:p>
    <w:p>
      <w:pPr>
        <w:ind w:left="360" w:right="40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1994 and 1993, accounts receivable consisted of the following (in thousands):</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336"/>
        </w:trPr>
        <w:tc>
          <w:tcPr>
            <w:tcW w:w="3360" w:type="dxa"/>
            <w:vAlign w:val="bottom"/>
          </w:tcPr>
          <w:p>
            <w:pPr>
              <w:spacing w:after="0"/>
              <w:rPr>
                <w:sz w:val="20"/>
                <w:szCs w:val="20"/>
                <w:color w:val="auto"/>
              </w:rPr>
            </w:pPr>
            <w:r>
              <w:rPr>
                <w:rFonts w:ascii="Courier New" w:cs="Courier New" w:eastAsia="Courier New" w:hAnsi="Courier New"/>
                <w:sz w:val="15"/>
                <w:szCs w:val="15"/>
                <w:color w:val="auto"/>
              </w:rPr>
              <w:t>Due from landlords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6,476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6,191</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 accounts</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4,700</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2,689</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Layaways</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1,570</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1,544</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5,149</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3,780</w:t>
            </w:r>
          </w:p>
        </w:tc>
      </w:tr>
      <w:tr>
        <w:trPr>
          <w:trHeight w:val="168"/>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17,895</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14,204</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allowance for doubtful accounts</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763</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w:t>
            </w:r>
          </w:p>
        </w:tc>
      </w:tr>
      <w:tr>
        <w:trPr>
          <w:trHeight w:val="336"/>
        </w:trPr>
        <w:tc>
          <w:tcPr>
            <w:tcW w:w="3360" w:type="dxa"/>
            <w:vAlign w:val="bottom"/>
          </w:tcPr>
          <w:p>
            <w:pPr>
              <w:ind w:left="184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17,132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13,397</w:t>
            </w:r>
          </w:p>
        </w:tc>
      </w:tr>
    </w:tbl>
    <w:p>
      <w:pPr>
        <w:spacing w:after="0" w:line="166" w:lineRule="exact"/>
        <w:rPr>
          <w:sz w:val="20"/>
          <w:szCs w:val="20"/>
          <w:color w:val="auto"/>
        </w:rPr>
      </w:pPr>
    </w:p>
    <w:p>
      <w:pPr>
        <w:ind w:left="360" w:hanging="350"/>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2" w:lineRule="exact"/>
        <w:rPr>
          <w:rFonts w:ascii="Courier New" w:cs="Courier New" w:eastAsia="Courier New" w:hAnsi="Courier New"/>
          <w:sz w:val="15"/>
          <w:szCs w:val="15"/>
          <w:color w:val="auto"/>
        </w:rPr>
      </w:pPr>
    </w:p>
    <w:p>
      <w:pPr>
        <w:ind w:left="360" w:right="40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1994 and 1993, property and equipment consisted of the following (in thousands):</w:t>
      </w:r>
    </w:p>
    <w:p>
      <w:pPr>
        <w:sectPr>
          <w:pgSz w:w="11900" w:h="16838" w:orient="portrait"/>
          <w:cols w:equalWidth="0" w:num="1">
            <w:col w:w="10239"/>
          </w:cols>
          <w:pgMar w:left="220" w:top="135" w:right="1440" w:bottom="0" w:gutter="0" w:footer="0" w:header="0"/>
        </w:sectPr>
      </w:pPr>
    </w:p>
    <w:bookmarkStart w:id="7" w:name="page8"/>
    <w:bookmarkEnd w:id="7"/>
    <w:tbl>
      <w:tblPr>
        <w:tblLayout w:type="fixed"/>
        <w:tblInd w:w="62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5,727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4,104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23,088</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16,644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software costs</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48,195</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37,276</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38,741</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36,133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309,125</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262,492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212,675</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213,477</w:t>
            </w:r>
          </w:p>
        </w:tc>
      </w:tr>
      <w:tr>
        <w:trPr>
          <w:trHeight w:val="168"/>
        </w:trPr>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637,551</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570,126</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amortization</w:t>
            </w:r>
          </w:p>
        </w:tc>
        <w:tc>
          <w:tcPr>
            <w:tcW w:w="6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190,204</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174,472</w:t>
            </w:r>
          </w:p>
        </w:tc>
      </w:tr>
      <w:tr>
        <w:trPr>
          <w:trHeight w:val="336"/>
        </w:trPr>
        <w:tc>
          <w:tcPr>
            <w:tcW w:w="3020" w:type="dxa"/>
            <w:vAlign w:val="bottom"/>
          </w:tcPr>
          <w:p>
            <w:pPr>
              <w:ind w:left="2020"/>
              <w:spacing w:after="0"/>
              <w:rPr>
                <w:sz w:val="20"/>
                <w:szCs w:val="20"/>
                <w:color w:val="auto"/>
              </w:rPr>
            </w:pPr>
            <w:r>
              <w:rPr>
                <w:rFonts w:ascii="Courier New" w:cs="Courier New" w:eastAsia="Courier New" w:hAnsi="Courier New"/>
                <w:sz w:val="15"/>
                <w:szCs w:val="15"/>
                <w:color w:val="auto"/>
              </w:rPr>
              <w:t>Total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447,347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395,654</w:t>
            </w:r>
          </w:p>
        </w:tc>
      </w:tr>
    </w:tbl>
    <w:p>
      <w:pPr>
        <w:spacing w:after="0" w:line="200" w:lineRule="exact"/>
        <w:rPr>
          <w:sz w:val="20"/>
          <w:szCs w:val="20"/>
          <w:color w:val="auto"/>
        </w:rPr>
      </w:pPr>
    </w:p>
    <w:p>
      <w:pPr>
        <w:spacing w:after="0" w:line="30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419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1994, 1993 and 1992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Accrued Expenses</w:t>
      </w:r>
    </w:p>
    <w:p>
      <w:pPr>
        <w:spacing w:after="0" w:line="173" w:lineRule="exact"/>
        <w:rPr>
          <w:sz w:val="20"/>
          <w:szCs w:val="20"/>
          <w:color w:val="auto"/>
        </w:rPr>
      </w:pPr>
    </w:p>
    <w:p>
      <w:pPr>
        <w:ind w:right="4379" w:firstLine="350"/>
        <w:spacing w:after="0" w:line="234" w:lineRule="auto"/>
        <w:rPr>
          <w:sz w:val="20"/>
          <w:szCs w:val="20"/>
          <w:color w:val="auto"/>
        </w:rPr>
      </w:pPr>
      <w:r>
        <w:rPr>
          <w:rFonts w:ascii="Courier New" w:cs="Courier New" w:eastAsia="Courier New" w:hAnsi="Courier New"/>
          <w:sz w:val="15"/>
          <w:szCs w:val="15"/>
          <w:color w:val="auto"/>
        </w:rPr>
        <w:t>As of December 31, 1994 and 1993, accrued expenses consisted of the following (in thousands):</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336"/>
        </w:trPr>
        <w:tc>
          <w:tcPr>
            <w:tcW w:w="3360" w:type="dxa"/>
            <w:vAlign w:val="bottom"/>
          </w:tcPr>
          <w:p>
            <w:pPr>
              <w:spacing w:after="0"/>
              <w:rPr>
                <w:sz w:val="20"/>
                <w:szCs w:val="20"/>
                <w:color w:val="auto"/>
              </w:rPr>
            </w:pPr>
            <w:r>
              <w:rPr>
                <w:rFonts w:ascii="Courier New" w:cs="Courier New" w:eastAsia="Courier New" w:hAnsi="Courier New"/>
                <w:sz w:val="15"/>
                <w:szCs w:val="15"/>
                <w:color w:val="auto"/>
              </w:rPr>
              <w:t>Taxes other than federal income taxes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47,744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46,158</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20,178</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27,804</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benefit costs</w:t>
            </w:r>
          </w:p>
        </w:tc>
        <w:tc>
          <w:tcPr>
            <w:tcW w:w="2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23,201</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17,434</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Salaries and compensated absences</w:t>
            </w:r>
          </w:p>
        </w:tc>
        <w:tc>
          <w:tcPr>
            <w:tcW w:w="2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11,525</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11,375</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Rent</w:t>
            </w:r>
          </w:p>
        </w:tc>
        <w:tc>
          <w:tcPr>
            <w:tcW w:w="2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3,830</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4,885</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55,319</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64,025</w:t>
            </w:r>
          </w:p>
        </w:tc>
      </w:tr>
      <w:tr>
        <w:trPr>
          <w:trHeight w:val="336"/>
        </w:trPr>
        <w:tc>
          <w:tcPr>
            <w:tcW w:w="3360" w:type="dxa"/>
            <w:vAlign w:val="bottom"/>
          </w:tcPr>
          <w:p>
            <w:pPr>
              <w:ind w:left="2020"/>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161,797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171,681</w:t>
            </w:r>
          </w:p>
        </w:tc>
      </w:tr>
    </w:tbl>
    <w:p>
      <w:pPr>
        <w:spacing w:after="0" w:line="335" w:lineRule="exact"/>
        <w:rPr>
          <w:sz w:val="20"/>
          <w:szCs w:val="20"/>
          <w:color w:val="auto"/>
        </w:rPr>
      </w:pPr>
    </w:p>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2" w:lineRule="exact"/>
        <w:rPr>
          <w:rFonts w:ascii="Courier New" w:cs="Courier New" w:eastAsia="Courier New" w:hAnsi="Courier New"/>
          <w:sz w:val="15"/>
          <w:szCs w:val="15"/>
          <w:color w:val="auto"/>
        </w:rPr>
      </w:pPr>
    </w:p>
    <w:p>
      <w:pPr>
        <w:ind w:left="620" w:right="409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retail stores, warehouses, and office facilities under capital leases that expire through 2009. As of December 31, 1994 and 1993, leased property under capital leases was as follows (in thousands):</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Retail stores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14,739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17,005</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Warehouses and office</w:t>
            </w:r>
          </w:p>
        </w:tc>
        <w:tc>
          <w:tcPr>
            <w:tcW w:w="6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13,356</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13,356</w:t>
            </w:r>
          </w:p>
        </w:tc>
      </w:tr>
      <w:tr>
        <w:trPr>
          <w:trHeight w:val="168"/>
        </w:trPr>
        <w:tc>
          <w:tcPr>
            <w:tcW w:w="3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28,095</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30,361</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amortization</w:t>
            </w:r>
          </w:p>
        </w:tc>
        <w:tc>
          <w:tcPr>
            <w:tcW w:w="6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21,714</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22,463</w:t>
            </w:r>
          </w:p>
        </w:tc>
      </w:tr>
      <w:tr>
        <w:trPr>
          <w:trHeight w:val="336"/>
        </w:trPr>
        <w:tc>
          <w:tcPr>
            <w:tcW w:w="3060" w:type="dxa"/>
            <w:vAlign w:val="bottom"/>
          </w:tcPr>
          <w:p>
            <w:pPr>
              <w:ind w:left="2020"/>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6,381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7,898</w:t>
            </w:r>
          </w:p>
        </w:tc>
      </w:tr>
    </w:tbl>
    <w:p>
      <w:pPr>
        <w:spacing w:after="0" w:line="173" w:lineRule="exact"/>
        <w:rPr>
          <w:sz w:val="20"/>
          <w:szCs w:val="20"/>
          <w:color w:val="auto"/>
        </w:rPr>
      </w:pPr>
    </w:p>
    <w:p>
      <w:pPr>
        <w:jc w:val="both"/>
        <w:ind w:left="620" w:right="4099" w:hanging="261"/>
        <w:spacing w:after="0" w:line="236" w:lineRule="auto"/>
        <w:rPr>
          <w:sz w:val="20"/>
          <w:szCs w:val="20"/>
          <w:color w:val="auto"/>
        </w:rPr>
      </w:pPr>
      <w:r>
        <w:rPr>
          <w:rFonts w:ascii="Courier New" w:cs="Courier New" w:eastAsia="Courier New" w:hAnsi="Courier New"/>
          <w:sz w:val="15"/>
          <w:szCs w:val="15"/>
          <w:color w:val="auto"/>
        </w:rPr>
        <w:t>The Company also has noncancelable operating leases, primarily for retail stores, which expire through 2020. The leases generally contain renewal options for periods ranging from one to five years and require the Company to pay costs such as real estate taxes and common area maintenance. Contingent rentals are paid based on a percentage of sales. Net rental expense for all operating leases for the years ended December 31, 1994, 1993 and 1992 was as follows (in thousands):</w:t>
      </w:r>
    </w:p>
    <w:p>
      <w:pPr>
        <w:spacing w:after="0" w:line="339"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419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1994, 1993 and 1992</w:t>
      </w:r>
    </w:p>
    <w:p>
      <w:pPr>
        <w:spacing w:after="0" w:line="33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Minimum rentals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122,634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$ 104,336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$ 94,707</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Contingent rentals</w:t>
            </w:r>
          </w:p>
        </w:tc>
        <w:tc>
          <w:tcPr>
            <w:tcW w:w="4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2,693</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2,033</w:t>
            </w:r>
          </w:p>
        </w:tc>
      </w:tr>
      <w:tr>
        <w:trPr>
          <w:trHeight w:val="168"/>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125,327</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106,465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96,740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sublease rentals</w:t>
            </w:r>
          </w:p>
        </w:tc>
        <w:tc>
          <w:tcPr>
            <w:tcW w:w="4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3,475</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w:t>
            </w:r>
          </w:p>
        </w:tc>
      </w:tr>
      <w:tr>
        <w:trPr>
          <w:trHeight w:val="336"/>
        </w:trPr>
        <w:tc>
          <w:tcPr>
            <w:tcW w:w="2280" w:type="dxa"/>
            <w:vAlign w:val="bottom"/>
          </w:tcPr>
          <w:p>
            <w:pPr>
              <w:ind w:left="1480"/>
              <w:spacing w:after="0"/>
              <w:rPr>
                <w:sz w:val="20"/>
                <w:szCs w:val="20"/>
                <w:color w:val="auto"/>
              </w:rPr>
            </w:pPr>
            <w:r>
              <w:rPr>
                <w:rFonts w:ascii="Courier New" w:cs="Courier New" w:eastAsia="Courier New" w:hAnsi="Courier New"/>
                <w:sz w:val="15"/>
                <w:szCs w:val="15"/>
                <w:color w:val="auto"/>
              </w:rPr>
              <w:t>Total</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121,852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$ 105,700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$ 96,231</w:t>
            </w:r>
          </w:p>
        </w:tc>
      </w:tr>
    </w:tbl>
    <w:p>
      <w:pPr>
        <w:spacing w:after="0" w:line="341" w:lineRule="exact"/>
        <w:rPr>
          <w:sz w:val="20"/>
          <w:szCs w:val="20"/>
          <w:color w:val="auto"/>
        </w:rPr>
      </w:pPr>
    </w:p>
    <w:p>
      <w:pPr>
        <w:jc w:val="both"/>
        <w:ind w:left="620" w:right="4099" w:hanging="259"/>
        <w:spacing w:after="0" w:line="256" w:lineRule="auto"/>
        <w:tabs>
          <w:tab w:leader="none" w:pos="600" w:val="left"/>
        </w:tabs>
        <w:rPr>
          <w:sz w:val="20"/>
          <w:szCs w:val="20"/>
          <w:color w:val="auto"/>
        </w:rPr>
      </w:pPr>
      <w:r>
        <w:rPr>
          <w:rFonts w:ascii="Courier New" w:cs="Courier New" w:eastAsia="Courier New" w:hAnsi="Courier New"/>
          <w:sz w:val="14"/>
          <w:szCs w:val="14"/>
          <w:color w:val="auto"/>
        </w:rPr>
        <w:t>At</w:t>
        <w:tab/>
        <w:t>December 31, 1994, the future minimum lease payments under capital leases, rental payments required under operating leases, and the future minimum sublease rentals excluding lease obligations for closed stores were as follows (in thousands):</w:t>
      </w:r>
    </w:p>
    <w:p>
      <w:pPr>
        <w:spacing w:after="0" w:line="15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Capital</w:t>
      </w:r>
    </w:p>
    <w:p>
      <w:pPr>
        <w:spacing w:after="0" w:line="237" w:lineRule="auto"/>
        <w:rPr>
          <w:sz w:val="20"/>
          <w:szCs w:val="20"/>
          <w:color w:val="auto"/>
        </w:rPr>
      </w:pPr>
      <w:r>
        <w:rPr>
          <w:rFonts w:ascii="Courier New" w:cs="Courier New" w:eastAsia="Courier New" w:hAnsi="Courier New"/>
          <w:sz w:val="15"/>
          <w:szCs w:val="15"/>
          <w:color w:val="auto"/>
        </w:rPr>
        <w:t>Operating</w:t>
      </w:r>
    </w:p>
    <w:p>
      <w:pPr>
        <w:sectPr>
          <w:pgSz w:w="11900" w:h="16838" w:orient="portrait"/>
          <w:cols w:equalWidth="0" w:num="1">
            <w:col w:w="10239"/>
          </w:cols>
          <w:pgMar w:left="220" w:top="135" w:right="1440" w:bottom="0" w:gutter="0" w:footer="0" w:header="0"/>
        </w:sectPr>
      </w:pP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Year ending December 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Leases</w:t>
      </w:r>
    </w:p>
    <w:p>
      <w:pPr>
        <w:sectPr>
          <w:pgSz w:w="11900" w:h="16838" w:orient="portrait"/>
          <w:cols w:equalWidth="0" w:num="3">
            <w:col w:w="3320" w:space="720"/>
            <w:col w:w="680" w:space="720"/>
            <w:col w:w="4799"/>
          </w:cols>
          <w:pgMar w:left="220" w:top="135" w:right="1440" w:bottom="0" w:gutter="0" w:footer="0" w:header="0"/>
          <w:type w:val="continuous"/>
        </w:sectPr>
      </w:pPr>
    </w:p>
    <w:bookmarkStart w:id="8" w:name="page9"/>
    <w:bookmarkEnd w:id="8"/>
    <w:tbl>
      <w:tblPr>
        <w:tblLayout w:type="fixed"/>
        <w:tblInd w:w="620" w:type="dxa"/>
        <w:tblCellMar>
          <w:top w:w="0" w:type="dxa"/>
          <w:left w:w="0" w:type="dxa"/>
          <w:bottom w:w="0" w:type="dxa"/>
          <w:right w:w="0" w:type="dxa"/>
        </w:tblCellMar>
      </w:tblPr>
      <w:tr>
        <w:trPr>
          <w:trHeight w:val="170"/>
        </w:trPr>
        <w:tc>
          <w:tcPr>
            <w:tcW w:w="3060" w:type="dxa"/>
            <w:vAlign w:val="bottom"/>
          </w:tcPr>
          <w:p>
            <w:pPr>
              <w:jc w:val="right"/>
              <w:ind w:right="236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4,115</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127,002</w:t>
            </w:r>
          </w:p>
        </w:tc>
      </w:tr>
      <w:tr>
        <w:trPr>
          <w:trHeight w:val="168"/>
        </w:trPr>
        <w:tc>
          <w:tcPr>
            <w:tcW w:w="3060" w:type="dxa"/>
            <w:vAlign w:val="bottom"/>
          </w:tcPr>
          <w:p>
            <w:pPr>
              <w:jc w:val="right"/>
              <w:ind w:right="236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3,996</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120,684</w:t>
            </w:r>
          </w:p>
        </w:tc>
      </w:tr>
      <w:tr>
        <w:trPr>
          <w:trHeight w:val="168"/>
        </w:trPr>
        <w:tc>
          <w:tcPr>
            <w:tcW w:w="3060" w:type="dxa"/>
            <w:vAlign w:val="bottom"/>
          </w:tcPr>
          <w:p>
            <w:pPr>
              <w:jc w:val="right"/>
              <w:ind w:right="236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3,720</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115,264</w:t>
            </w:r>
          </w:p>
        </w:tc>
      </w:tr>
      <w:tr>
        <w:trPr>
          <w:trHeight w:val="168"/>
        </w:trPr>
        <w:tc>
          <w:tcPr>
            <w:tcW w:w="3060" w:type="dxa"/>
            <w:vAlign w:val="bottom"/>
          </w:tcPr>
          <w:p>
            <w:pPr>
              <w:jc w:val="right"/>
              <w:ind w:right="236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107,776</w:t>
            </w:r>
          </w:p>
        </w:tc>
      </w:tr>
      <w:tr>
        <w:trPr>
          <w:trHeight w:val="168"/>
        </w:trPr>
        <w:tc>
          <w:tcPr>
            <w:tcW w:w="3060" w:type="dxa"/>
            <w:vAlign w:val="bottom"/>
          </w:tcPr>
          <w:p>
            <w:pPr>
              <w:jc w:val="right"/>
              <w:ind w:right="2367"/>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2,946</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97,535</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3,469</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582,877</w:t>
            </w:r>
          </w:p>
        </w:tc>
      </w:tr>
      <w:tr>
        <w:trPr>
          <w:trHeight w:val="168"/>
        </w:trPr>
        <w:tc>
          <w:tcPr>
            <w:tcW w:w="3060" w:type="dxa"/>
            <w:vAlign w:val="bottom"/>
          </w:tcPr>
          <w:p>
            <w:pPr>
              <w:jc w:val="right"/>
              <w:ind w:right="2367"/>
              <w:spacing w:after="0" w:line="168" w:lineRule="exact"/>
              <w:rPr>
                <w:sz w:val="20"/>
                <w:szCs w:val="20"/>
                <w:color w:val="auto"/>
              </w:rPr>
            </w:pPr>
            <w:r>
              <w:rPr>
                <w:rFonts w:ascii="Courier New" w:cs="Courier New" w:eastAsia="Courier New" w:hAnsi="Courier New"/>
                <w:sz w:val="15"/>
                <w:szCs w:val="15"/>
                <w:color w:val="auto"/>
              </w:rPr>
              <w:t>Total</w:t>
            </w:r>
          </w:p>
        </w:tc>
        <w:tc>
          <w:tcPr>
            <w:tcW w:w="30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21,353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1,151,138</w:t>
            </w: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300" w:type="dxa"/>
            <w:vAlign w:val="bottom"/>
          </w:tcPr>
          <w:p>
            <w:pPr>
              <w:spacing w:after="0"/>
              <w:rPr>
                <w:sz w:val="24"/>
                <w:szCs w:val="2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7,772</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13,581</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Total future minimum sublease</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18,015</w:t>
            </w:r>
          </w:p>
        </w:tc>
      </w:tr>
    </w:tbl>
    <w:p>
      <w:pPr>
        <w:spacing w:after="0" w:line="166" w:lineRule="exact"/>
        <w:rPr>
          <w:sz w:val="20"/>
          <w:szCs w:val="20"/>
          <w:color w:val="auto"/>
        </w:rPr>
      </w:pPr>
    </w:p>
    <w:p>
      <w:pPr>
        <w:ind w:left="360" w:hanging="350"/>
        <w:spacing w:after="0"/>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ind w:left="360" w:right="42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January 1, 1993 the Company adopted SFAS No. 109. The cumulative effect of this accounting change was not material.</w:t>
      </w:r>
    </w:p>
    <w:p>
      <w:pPr>
        <w:spacing w:after="0" w:line="159" w:lineRule="exact"/>
        <w:rPr>
          <w:rFonts w:ascii="Courier New" w:cs="Courier New" w:eastAsia="Courier New" w:hAnsi="Courier New"/>
          <w:sz w:val="15"/>
          <w:szCs w:val="15"/>
          <w:color w:val="auto"/>
        </w:rPr>
      </w:pPr>
    </w:p>
    <w:p>
      <w:pPr>
        <w:ind w:left="620" w:right="409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w:t>
      </w:r>
    </w:p>
    <w:p>
      <w:pPr>
        <w:spacing w:after="0" w:line="337"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419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1994, 1993 and 1992</w:t>
      </w:r>
    </w:p>
    <w:p>
      <w:pPr>
        <w:spacing w:after="0" w:line="33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160" w:type="dxa"/>
            <w:vAlign w:val="bottom"/>
            <w:gridSpan w:val="4"/>
          </w:tcPr>
          <w:p>
            <w:pPr>
              <w:spacing w:after="0"/>
              <w:rPr>
                <w:sz w:val="20"/>
                <w:szCs w:val="20"/>
                <w:color w:val="auto"/>
              </w:rPr>
            </w:pPr>
            <w:r>
              <w:rPr>
                <w:rFonts w:ascii="Courier New" w:cs="Courier New" w:eastAsia="Courier New" w:hAnsi="Courier New"/>
                <w:sz w:val="15"/>
                <w:szCs w:val="15"/>
                <w:color w:val="auto"/>
                <w:w w:val="97"/>
              </w:rPr>
              <w:t>Company's deferred  tax assets  and liabilities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as of December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31, 1994</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44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1993 were as follows (in thousands):</w:t>
            </w:r>
          </w:p>
        </w:tc>
      </w:tr>
      <w:tr>
        <w:trPr>
          <w:trHeight w:val="336"/>
        </w:trPr>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3020" w:type="dxa"/>
            <w:vAlign w:val="bottom"/>
            <w:gridSpan w:val="3"/>
          </w:tcPr>
          <w:p>
            <w:pPr>
              <w:spacing w:after="0"/>
              <w:rPr>
                <w:sz w:val="20"/>
                <w:szCs w:val="20"/>
                <w:color w:val="auto"/>
              </w:rPr>
            </w:pPr>
            <w:r>
              <w:rPr>
                <w:rFonts w:ascii="Courier New" w:cs="Courier New" w:eastAsia="Courier New" w:hAnsi="Courier New"/>
                <w:sz w:val="15"/>
                <w:szCs w:val="15"/>
                <w:color w:val="auto"/>
              </w:rPr>
              <w:t>Realignment and purchase</w:t>
            </w: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0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acquisition reserves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1,085</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6,876</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9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10,460</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6,913</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State income</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4,608</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5,849</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13,985</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9,993</w:t>
            </w:r>
          </w:p>
        </w:tc>
      </w:tr>
      <w:tr>
        <w:trPr>
          <w:trHeight w:val="336"/>
        </w:trPr>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deferred tax assets</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30,138</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29,631</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Deferred</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tax</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Property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equipment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(49,233)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(41,926)</w:t>
            </w:r>
          </w:p>
        </w:tc>
      </w:tr>
      <w:tr>
        <w:trPr>
          <w:trHeight w:val="336"/>
        </w:trPr>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2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deferred tax liabilities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(49,233)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(41,926)</w:t>
            </w:r>
          </w:p>
        </w:tc>
      </w:tr>
      <w:tr>
        <w:trPr>
          <w:trHeight w:val="336"/>
        </w:trPr>
        <w:tc>
          <w:tcPr>
            <w:tcW w:w="30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Net deferred tax liabilities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(19,095)</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 (12,295)</w:t>
            </w:r>
          </w:p>
        </w:tc>
      </w:tr>
    </w:tbl>
    <w:p>
      <w:pPr>
        <w:spacing w:after="0" w:line="166" w:lineRule="exact"/>
        <w:rPr>
          <w:sz w:val="20"/>
          <w:szCs w:val="20"/>
          <w:color w:val="auto"/>
        </w:rPr>
      </w:pPr>
    </w:p>
    <w:p>
      <w:pPr>
        <w:ind w:left="360"/>
        <w:spacing w:after="0"/>
        <w:tabs>
          <w:tab w:leader="none" w:pos="1300" w:val="left"/>
          <w:tab w:leader="none" w:pos="2180" w:val="left"/>
          <w:tab w:leader="none" w:pos="2880" w:val="left"/>
          <w:tab w:leader="none" w:pos="3480" w:val="left"/>
          <w:tab w:leader="none" w:pos="4180" w:val="left"/>
          <w:tab w:leader="none" w:pos="5320" w:val="left"/>
          <w:tab w:leader="none" w:pos="5680" w:val="left"/>
        </w:tabs>
        <w:rPr>
          <w:sz w:val="20"/>
          <w:szCs w:val="20"/>
          <w:color w:val="auto"/>
        </w:rPr>
      </w:pPr>
      <w:r>
        <w:rPr>
          <w:rFonts w:ascii="Courier New" w:cs="Courier New" w:eastAsia="Courier New" w:hAnsi="Courier New"/>
          <w:sz w:val="15"/>
          <w:szCs w:val="15"/>
          <w:color w:val="auto"/>
        </w:rPr>
        <w:t>For 1992,</w:t>
        <w:tab/>
        <w:t>deferred</w:t>
        <w:tab/>
        <w:t>income</w:t>
        <w:tab/>
        <w:t>taxes</w:t>
        <w:tab/>
        <w:t>relate</w:t>
        <w:tab/>
        <w:t>principally</w:t>
        <w:tab/>
        <w:t>to</w:t>
      </w:r>
      <w:r>
        <w:rPr>
          <w:sz w:val="20"/>
          <w:szCs w:val="20"/>
          <w:color w:val="auto"/>
        </w:rPr>
        <w:tab/>
      </w:r>
      <w:r>
        <w:rPr>
          <w:rFonts w:ascii="Courier New" w:cs="Courier New" w:eastAsia="Courier New" w:hAnsi="Courier New"/>
          <w:sz w:val="14"/>
          <w:szCs w:val="14"/>
          <w:color w:val="auto"/>
        </w:rPr>
        <w:t>costs</w:t>
      </w:r>
    </w:p>
    <w:p>
      <w:pPr>
        <w:spacing w:after="0" w:line="5" w:lineRule="exact"/>
        <w:rPr>
          <w:sz w:val="20"/>
          <w:szCs w:val="20"/>
          <w:color w:val="auto"/>
        </w:rPr>
      </w:pPr>
    </w:p>
    <w:p>
      <w:pPr>
        <w:jc w:val="both"/>
        <w:ind w:left="620" w:right="4099"/>
        <w:spacing w:after="0" w:line="234" w:lineRule="auto"/>
        <w:rPr>
          <w:sz w:val="20"/>
          <w:szCs w:val="20"/>
          <w:color w:val="auto"/>
        </w:rPr>
      </w:pPr>
      <w:r>
        <w:rPr>
          <w:rFonts w:ascii="Courier New" w:cs="Courier New" w:eastAsia="Courier New" w:hAnsi="Courier New"/>
          <w:sz w:val="15"/>
          <w:szCs w:val="15"/>
          <w:color w:val="auto"/>
        </w:rPr>
        <w:t>associated with the strategic realignment program, capitalization of inventory costs and depreciation.</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420" w:type="dxa"/>
            <w:vAlign w:val="bottom"/>
            <w:gridSpan w:val="5"/>
          </w:tcPr>
          <w:p>
            <w:pPr>
              <w:spacing w:after="0"/>
              <w:rPr>
                <w:sz w:val="20"/>
                <w:szCs w:val="20"/>
                <w:color w:val="auto"/>
              </w:rPr>
            </w:pPr>
            <w:r>
              <w:rPr>
                <w:rFonts w:ascii="Courier New" w:cs="Courier New" w:eastAsia="Courier New" w:hAnsi="Courier New"/>
                <w:sz w:val="15"/>
                <w:szCs w:val="15"/>
                <w:color w:val="auto"/>
                <w:w w:val="99"/>
              </w:rPr>
              <w:t>For the  years  ended  December  31,  1994,  1993</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and</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the</w:t>
            </w:r>
          </w:p>
        </w:tc>
      </w:tr>
      <w:tr>
        <w:trPr>
          <w:trHeight w:val="168"/>
        </w:trPr>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provision  for</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income</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taxes</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comprised  the</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following</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(in</w:t>
            </w:r>
          </w:p>
        </w:tc>
      </w:tr>
      <w:tr>
        <w:trPr>
          <w:trHeight w:val="168"/>
        </w:trPr>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thousands):</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6"/>
        </w:trPr>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1993</w:t>
            </w:r>
          </w:p>
        </w:tc>
        <w:tc>
          <w:tcPr>
            <w:tcW w:w="30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c>
          <w:tcPr>
            <w:tcW w:w="360" w:type="dxa"/>
            <w:vAlign w:val="bottom"/>
          </w:tcPr>
          <w:p>
            <w:pPr>
              <w:spacing w:after="0"/>
              <w:rPr>
                <w:sz w:val="24"/>
                <w:szCs w:val="24"/>
                <w:color w:val="auto"/>
              </w:rPr>
            </w:pPr>
          </w:p>
        </w:tc>
      </w:tr>
      <w:tr>
        <w:trPr>
          <w:trHeight w:val="168"/>
        </w:trPr>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Federal:</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1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Current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40,482</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45,275</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62,823</w:t>
            </w:r>
          </w:p>
        </w:tc>
        <w:tc>
          <w:tcPr>
            <w:tcW w:w="360" w:type="dxa"/>
            <w:vAlign w:val="bottom"/>
          </w:tcPr>
          <w:p>
            <w:pPr>
              <w:spacing w:after="0"/>
              <w:rPr>
                <w:sz w:val="14"/>
                <w:szCs w:val="14"/>
                <w:color w:val="auto"/>
              </w:rPr>
            </w:pPr>
          </w:p>
        </w:tc>
      </w:tr>
      <w:tr>
        <w:trPr>
          <w:trHeight w:val="168"/>
        </w:trPr>
        <w:tc>
          <w:tcPr>
            <w:tcW w:w="1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Deferred</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7,138</w:t>
            </w: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5,577</w:t>
            </w:r>
          </w:p>
        </w:tc>
        <w:tc>
          <w:tcPr>
            <w:tcW w:w="3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w:t>
            </w:r>
          </w:p>
        </w:tc>
        <w:tc>
          <w:tcPr>
            <w:tcW w:w="3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47,620</w:t>
            </w: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50,852</w:t>
            </w:r>
          </w:p>
        </w:tc>
        <w:tc>
          <w:tcPr>
            <w:tcW w:w="3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63,015</w:t>
            </w:r>
          </w:p>
        </w:tc>
        <w:tc>
          <w:tcPr>
            <w:tcW w:w="360" w:type="dxa"/>
            <w:vAlign w:val="bottom"/>
          </w:tcPr>
          <w:p>
            <w:pPr>
              <w:spacing w:after="0"/>
              <w:rPr>
                <w:sz w:val="14"/>
                <w:szCs w:val="14"/>
                <w:color w:val="auto"/>
              </w:rPr>
            </w:pPr>
          </w:p>
        </w:tc>
      </w:tr>
      <w:tr>
        <w:trPr>
          <w:trHeight w:val="168"/>
        </w:trPr>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State:</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1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Current</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7,090</w:t>
            </w: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9,901</w:t>
            </w:r>
          </w:p>
        </w:tc>
        <w:tc>
          <w:tcPr>
            <w:tcW w:w="3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12,880</w:t>
            </w:r>
          </w:p>
        </w:tc>
        <w:tc>
          <w:tcPr>
            <w:tcW w:w="360" w:type="dxa"/>
            <w:vAlign w:val="bottom"/>
          </w:tcPr>
          <w:p>
            <w:pPr>
              <w:spacing w:after="0"/>
              <w:rPr>
                <w:sz w:val="14"/>
                <w:szCs w:val="14"/>
                <w:color w:val="auto"/>
              </w:rPr>
            </w:pPr>
          </w:p>
        </w:tc>
      </w:tr>
      <w:tr>
        <w:trPr>
          <w:trHeight w:val="168"/>
        </w:trPr>
        <w:tc>
          <w:tcPr>
            <w:tcW w:w="1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Deferred</w:t>
            </w: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w:t>
            </w: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1,972</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w:t>
            </w:r>
          </w:p>
        </w:tc>
        <w:tc>
          <w:tcPr>
            <w:tcW w:w="3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7,731</w:t>
            </w:r>
          </w:p>
        </w:tc>
        <w:tc>
          <w:tcPr>
            <w:tcW w:w="44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11,873</w:t>
            </w:r>
          </w:p>
        </w:tc>
        <w:tc>
          <w:tcPr>
            <w:tcW w:w="3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12,487</w:t>
            </w:r>
          </w:p>
        </w:tc>
        <w:tc>
          <w:tcPr>
            <w:tcW w:w="360" w:type="dxa"/>
            <w:vAlign w:val="bottom"/>
          </w:tcPr>
          <w:p>
            <w:pPr>
              <w:spacing w:after="0"/>
              <w:rPr>
                <w:sz w:val="14"/>
                <w:szCs w:val="14"/>
                <w:color w:val="auto"/>
              </w:rPr>
            </w:pPr>
          </w:p>
        </w:tc>
      </w:tr>
      <w:tr>
        <w:trPr>
          <w:trHeight w:val="336"/>
        </w:trPr>
        <w:tc>
          <w:tcPr>
            <w:tcW w:w="162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55,351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62,725</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75,502</w:t>
            </w:r>
          </w:p>
        </w:tc>
        <w:tc>
          <w:tcPr>
            <w:tcW w:w="360" w:type="dxa"/>
            <w:vAlign w:val="bottom"/>
          </w:tcPr>
          <w:p>
            <w:pPr>
              <w:spacing w:after="0"/>
              <w:rPr>
                <w:sz w:val="24"/>
                <w:szCs w:val="24"/>
                <w:color w:val="auto"/>
              </w:rPr>
            </w:pPr>
          </w:p>
        </w:tc>
      </w:tr>
    </w:tbl>
    <w:p>
      <w:pPr>
        <w:spacing w:after="0" w:line="33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419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1994, 1993 and 1992</w:t>
      </w:r>
    </w:p>
    <w:p>
      <w:pPr>
        <w:spacing w:after="0" w:line="341" w:lineRule="exact"/>
        <w:rPr>
          <w:sz w:val="20"/>
          <w:szCs w:val="20"/>
          <w:color w:val="auto"/>
        </w:rPr>
      </w:pPr>
    </w:p>
    <w:p>
      <w:pPr>
        <w:jc w:val="both"/>
        <w:ind w:left="620" w:right="4379" w:hanging="261"/>
        <w:spacing w:after="0" w:line="235" w:lineRule="auto"/>
        <w:rPr>
          <w:sz w:val="20"/>
          <w:szCs w:val="20"/>
          <w:color w:val="auto"/>
        </w:rPr>
      </w:pPr>
      <w:r>
        <w:rPr>
          <w:rFonts w:ascii="Courier New" w:cs="Courier New" w:eastAsia="Courier New" w:hAnsi="Courier New"/>
          <w:sz w:val="15"/>
          <w:szCs w:val="15"/>
          <w:color w:val="auto"/>
        </w:rPr>
        <w:t>The following is a reconciliation between the statutory Federal income tax rates and the effective rates for the years ended December 31, 1994, 1993 and 1992:</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Percent of pre-tax</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Effective tax rate</w:t>
            </w:r>
          </w:p>
        </w:tc>
        <w:tc>
          <w:tcPr>
            <w:tcW w:w="10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38.1</w:t>
            </w:r>
          </w:p>
        </w:tc>
      </w:tr>
      <w:tr>
        <w:trPr>
          <w:trHeight w:val="168"/>
        </w:trPr>
        <w:tc>
          <w:tcPr>
            <w:tcW w:w="2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State income taxes,</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ectPr>
          <w:pgSz w:w="11900" w:h="16838" w:orient="portrait"/>
          <w:cols w:equalWidth="0" w:num="1">
            <w:col w:w="10239"/>
          </w:cols>
          <w:pgMar w:left="220" w:top="135" w:right="1440" w:bottom="0" w:gutter="0" w:footer="0" w:header="0"/>
        </w:sectPr>
      </w:pPr>
    </w:p>
    <w:bookmarkStart w:id="9" w:name="page10"/>
    <w:bookmarkEnd w:id="9"/>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net of Federal tax benefit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Statutory Federal income</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2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tax rate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w:t>
            </w:r>
          </w:p>
        </w:tc>
      </w:tr>
    </w:tbl>
    <w:p>
      <w:pPr>
        <w:spacing w:after="0" w:line="166" w:lineRule="exact"/>
        <w:rPr>
          <w:sz w:val="20"/>
          <w:szCs w:val="20"/>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2" w:lineRule="exact"/>
        <w:rPr>
          <w:rFonts w:ascii="Courier New" w:cs="Courier New" w:eastAsia="Courier New" w:hAnsi="Courier New"/>
          <w:sz w:val="15"/>
          <w:szCs w:val="15"/>
          <w:color w:val="auto"/>
        </w:rPr>
      </w:pPr>
    </w:p>
    <w:p>
      <w:pPr>
        <w:jc w:val="right"/>
        <w:ind w:left="620" w:right="4099" w:hanging="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Parent  allocates insurance,  employee  benefits  and  various other administrative and miscellaneous expenses to the Company. Allocations to  the Company are based on the Company's share of</w:t>
      </w:r>
    </w:p>
    <w:p>
      <w:pPr>
        <w:spacing w:after="0" w:line="1" w:lineRule="exact"/>
        <w:rPr>
          <w:rFonts w:ascii="Courier New" w:cs="Courier New" w:eastAsia="Courier New" w:hAnsi="Courier New"/>
          <w:sz w:val="15"/>
          <w:szCs w:val="15"/>
          <w:color w:val="auto"/>
        </w:rPr>
      </w:pPr>
    </w:p>
    <w:p>
      <w:pPr>
        <w:jc w:val="both"/>
        <w:ind w:left="620" w:right="40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expenses paid by the Parent on its behalf. Such allocations may not be reflective of the costs which would have been incurred if the Company had operated on a stand-alone</w:t>
      </w:r>
    </w:p>
    <w:p>
      <w:pPr>
        <w:spacing w:after="0" w:line="1" w:lineRule="exact"/>
        <w:rPr>
          <w:rFonts w:ascii="Courier New" w:cs="Courier New" w:eastAsia="Courier New" w:hAnsi="Courier New"/>
          <w:sz w:val="15"/>
          <w:szCs w:val="15"/>
          <w:color w:val="auto"/>
        </w:rPr>
      </w:pPr>
    </w:p>
    <w:p>
      <w:pPr>
        <w:ind w:left="620" w:right="40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basis. Management believes that the basis for these allocations is reasonable.</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401(k) Profit Sharing Plan</w:t>
      </w:r>
    </w:p>
    <w:p>
      <w:pPr>
        <w:spacing w:after="0" w:line="5" w:lineRule="exact"/>
        <w:rPr>
          <w:sz w:val="20"/>
          <w:szCs w:val="20"/>
          <w:color w:val="auto"/>
        </w:rPr>
      </w:pPr>
    </w:p>
    <w:p>
      <w:pPr>
        <w:jc w:val="both"/>
        <w:ind w:left="620" w:right="4099" w:hanging="261"/>
        <w:spacing w:after="0" w:line="254" w:lineRule="auto"/>
        <w:rPr>
          <w:sz w:val="20"/>
          <w:szCs w:val="20"/>
          <w:color w:val="auto"/>
        </w:rPr>
      </w:pPr>
      <w:r>
        <w:rPr>
          <w:rFonts w:ascii="Courier New" w:cs="Courier New" w:eastAsia="Courier New" w:hAnsi="Courier New"/>
          <w:sz w:val="14"/>
          <w:szCs w:val="14"/>
          <w:color w:val="auto"/>
        </w:rPr>
        <w:t>The Parent has a qualified 401(k) Profit Sharing Plan available to full-time employees who meet the plan's eligibility requirements. This plan, which is a defined contribution plan, contains a profit sharing component with tax-deferred contributions to each employee based on certain performance criteria, and also permits employees to make contributions up to the maximum limits allowed by Internal Revenue Code Section 401(k). Under the 401(k) component, the Parent matches a portion of the employee's contribution under a predetermined formula based on the level of contribution and years of vesting. The Parent allocates to its subsidiaries a portion of the expense related to these contributions based on the proportionate share of qualifying compensation at the Company to the total of all compensation for all plan participants.</w:t>
      </w:r>
    </w:p>
    <w:p>
      <w:pPr>
        <w:spacing w:after="0" w:line="5" w:lineRule="exact"/>
        <w:rPr>
          <w:sz w:val="20"/>
          <w:szCs w:val="20"/>
          <w:color w:val="auto"/>
        </w:rPr>
      </w:pPr>
    </w:p>
    <w:p>
      <w:pPr>
        <w:jc w:val="both"/>
        <w:ind w:left="620" w:right="4099" w:hanging="261"/>
        <w:spacing w:after="0" w:line="235" w:lineRule="auto"/>
        <w:rPr>
          <w:sz w:val="20"/>
          <w:szCs w:val="20"/>
          <w:color w:val="auto"/>
        </w:rPr>
      </w:pPr>
      <w:r>
        <w:rPr>
          <w:rFonts w:ascii="Courier New" w:cs="Courier New" w:eastAsia="Courier New" w:hAnsi="Courier New"/>
          <w:sz w:val="15"/>
          <w:szCs w:val="15"/>
          <w:color w:val="auto"/>
        </w:rPr>
        <w:t>Contributions to</w:t>
      </w:r>
      <w:r>
        <w:rPr>
          <w:sz w:val="20"/>
          <w:szCs w:val="20"/>
          <w:color w:val="auto"/>
        </w:rPr>
        <w:t xml:space="preserve"> </w:t>
      </w:r>
      <w:r>
        <w:rPr>
          <w:rFonts w:ascii="Courier New" w:cs="Courier New" w:eastAsia="Courier New" w:hAnsi="Courier New"/>
          <w:sz w:val="15"/>
          <w:szCs w:val="15"/>
          <w:color w:val="auto"/>
        </w:rPr>
        <w:t>the plan by the Company, as directed by the Parent, for both profit sharing and matching of employee contributions were approximately $7.0 million, $4.0 million and</w:t>
      </w:r>
    </w:p>
    <w:p>
      <w:pPr>
        <w:jc w:val="center"/>
        <w:ind w:right="4199"/>
        <w:spacing w:after="0" w:line="238" w:lineRule="auto"/>
        <w:rPr>
          <w:sz w:val="20"/>
          <w:szCs w:val="20"/>
          <w:color w:val="auto"/>
        </w:rPr>
      </w:pPr>
      <w:r>
        <w:rPr>
          <w:rFonts w:ascii="Courier New" w:cs="Courier New" w:eastAsia="Courier New" w:hAnsi="Courier New"/>
          <w:sz w:val="15"/>
          <w:szCs w:val="15"/>
          <w:color w:val="auto"/>
        </w:rPr>
        <w:t>9</w:t>
      </w:r>
    </w:p>
    <w:p>
      <w:pPr>
        <w:spacing w:after="0" w:line="167"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419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1994, 1993 and 1992</w:t>
      </w:r>
    </w:p>
    <w:p>
      <w:pPr>
        <w:spacing w:after="0" w:line="341" w:lineRule="exact"/>
        <w:rPr>
          <w:sz w:val="20"/>
          <w:szCs w:val="20"/>
          <w:color w:val="auto"/>
        </w:rPr>
      </w:pPr>
    </w:p>
    <w:p>
      <w:pPr>
        <w:jc w:val="both"/>
        <w:ind w:left="620" w:right="4099"/>
        <w:spacing w:after="0" w:line="234" w:lineRule="auto"/>
        <w:rPr>
          <w:sz w:val="20"/>
          <w:szCs w:val="20"/>
          <w:color w:val="auto"/>
        </w:rPr>
      </w:pPr>
      <w:r>
        <w:rPr>
          <w:rFonts w:ascii="Courier New" w:cs="Courier New" w:eastAsia="Courier New" w:hAnsi="Courier New"/>
          <w:sz w:val="15"/>
          <w:szCs w:val="15"/>
          <w:color w:val="auto"/>
        </w:rPr>
        <w:t>$3.8 million for the years ended December 31, 1994, 1993 and 1992, respectively.</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 Employee Stock Ownership Plan</w:t>
      </w:r>
    </w:p>
    <w:p>
      <w:pPr>
        <w:spacing w:after="0" w:line="5" w:lineRule="exact"/>
        <w:rPr>
          <w:sz w:val="20"/>
          <w:szCs w:val="20"/>
          <w:color w:val="auto"/>
        </w:rPr>
      </w:pPr>
    </w:p>
    <w:p>
      <w:pPr>
        <w:jc w:val="right"/>
        <w:ind w:left="360" w:right="4099"/>
        <w:spacing w:after="0" w:line="254" w:lineRule="auto"/>
        <w:rPr>
          <w:sz w:val="20"/>
          <w:szCs w:val="20"/>
          <w:color w:val="auto"/>
        </w:rPr>
      </w:pPr>
      <w:r>
        <w:rPr>
          <w:rFonts w:ascii="Courier New" w:cs="Courier New" w:eastAsia="Courier New" w:hAnsi="Courier New"/>
          <w:sz w:val="14"/>
          <w:szCs w:val="14"/>
          <w:color w:val="auto"/>
        </w:rPr>
        <w:t>The Company's employees participate in the Parent's Employee Stock Ownership Plan  ("ESOP").   The ESOP  is a defined contribution</w:t>
      </w:r>
    </w:p>
    <w:p>
      <w:pPr>
        <w:spacing w:after="0" w:line="1" w:lineRule="exact"/>
        <w:rPr>
          <w:sz w:val="20"/>
          <w:szCs w:val="20"/>
          <w:color w:val="auto"/>
        </w:rPr>
      </w:pPr>
    </w:p>
    <w:p>
      <w:pPr>
        <w:jc w:val="both"/>
        <w:ind w:left="620" w:right="4099"/>
        <w:spacing w:after="0" w:line="236" w:lineRule="auto"/>
        <w:rPr>
          <w:sz w:val="20"/>
          <w:szCs w:val="20"/>
          <w:color w:val="auto"/>
        </w:rPr>
      </w:pPr>
      <w:r>
        <w:rPr>
          <w:rFonts w:ascii="Courier New" w:cs="Courier New" w:eastAsia="Courier New" w:hAnsi="Courier New"/>
          <w:sz w:val="15"/>
          <w:szCs w:val="15"/>
          <w:color w:val="auto"/>
        </w:rPr>
        <w:t>plan for all employees meeting certain eligibility requirements. During 1989, the ESOP trust (the "Trust") borrowed $375.5 million at an interest rate of 8.6% through a 20 year loan guaranteed by the Parent. The Trust used the proceeds of the loan to purchase a new issue of convertible preference stock from the Parent.</w:t>
      </w:r>
    </w:p>
    <w:p>
      <w:pPr>
        <w:spacing w:after="0" w:line="175" w:lineRule="exact"/>
        <w:rPr>
          <w:sz w:val="20"/>
          <w:szCs w:val="20"/>
          <w:color w:val="auto"/>
        </w:rPr>
      </w:pPr>
    </w:p>
    <w:p>
      <w:pPr>
        <w:jc w:val="both"/>
        <w:ind w:left="620" w:right="4099" w:hanging="261"/>
        <w:spacing w:after="0" w:line="236" w:lineRule="auto"/>
        <w:rPr>
          <w:sz w:val="20"/>
          <w:szCs w:val="20"/>
          <w:color w:val="auto"/>
        </w:rPr>
      </w:pPr>
      <w:r>
        <w:rPr>
          <w:rFonts w:ascii="Courier New" w:cs="Courier New" w:eastAsia="Courier New" w:hAnsi="Courier New"/>
          <w:sz w:val="15"/>
          <w:szCs w:val="15"/>
          <w:color w:val="auto"/>
        </w:rPr>
        <w:t>The Parent</w:t>
      </w:r>
      <w:r>
        <w:rPr>
          <w:sz w:val="20"/>
          <w:szCs w:val="20"/>
          <w:color w:val="auto"/>
        </w:rPr>
        <w:t xml:space="preserve"> </w:t>
      </w:r>
      <w:r>
        <w:rPr>
          <w:rFonts w:ascii="Courier New" w:cs="Courier New" w:eastAsia="Courier New" w:hAnsi="Courier New"/>
          <w:sz w:val="15"/>
          <w:szCs w:val="15"/>
          <w:color w:val="auto"/>
        </w:rPr>
        <w:t>charges compensation expense to the Company based upon total payments due to the ESOP. The charge allocated to the Company is based on the Company's proportionate share of qualifying compensation expense and does not reflect the manner in which the Parent funds these costs or the related tax benefits realized by the Parent. As a result of the Company's allocation from the Parent, compensation expense of approximately $9.8 million, $8.5 million and $7.6 million was recognized in the years ended December 31, 1994, 1993 and 1992, respectively.</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 Administrative Costs</w:t>
      </w:r>
    </w:p>
    <w:p>
      <w:pPr>
        <w:spacing w:after="0" w:line="5" w:lineRule="exact"/>
        <w:rPr>
          <w:sz w:val="20"/>
          <w:szCs w:val="20"/>
          <w:color w:val="auto"/>
        </w:rPr>
      </w:pPr>
    </w:p>
    <w:p>
      <w:pPr>
        <w:jc w:val="both"/>
        <w:ind w:left="620" w:right="4099" w:hanging="261"/>
        <w:spacing w:after="0" w:line="236" w:lineRule="auto"/>
        <w:rPr>
          <w:sz w:val="20"/>
          <w:szCs w:val="20"/>
          <w:color w:val="auto"/>
        </w:rPr>
      </w:pPr>
      <w:r>
        <w:rPr>
          <w:rFonts w:ascii="Courier New" w:cs="Courier New" w:eastAsia="Courier New" w:hAnsi="Courier New"/>
          <w:sz w:val="15"/>
          <w:szCs w:val="15"/>
          <w:color w:val="auto"/>
        </w:rPr>
        <w:t>The Parent</w:t>
      </w:r>
      <w:r>
        <w:rPr>
          <w:sz w:val="20"/>
          <w:szCs w:val="20"/>
          <w:color w:val="auto"/>
        </w:rPr>
        <w:t xml:space="preserve"> </w:t>
      </w:r>
      <w:r>
        <w:rPr>
          <w:rFonts w:ascii="Courier New" w:cs="Courier New" w:eastAsia="Courier New" w:hAnsi="Courier New"/>
          <w:sz w:val="15"/>
          <w:szCs w:val="15"/>
          <w:color w:val="auto"/>
        </w:rPr>
        <w:t>allocates real estate services and various other administrative expenses to the Company. Allocations are based on the Company's ratable share of expense incurred by the Parent on behalf of the Company. The total cost allocated to the Company for the years ended December 31, 1994, 1993 and 1992 was approximately $2.1 million, $2.0 million and $1.7 million, respectively.</w:t>
      </w:r>
    </w:p>
    <w:p>
      <w:pPr>
        <w:spacing w:after="0" w:line="176" w:lineRule="exact"/>
        <w:rPr>
          <w:sz w:val="20"/>
          <w:szCs w:val="20"/>
          <w:color w:val="auto"/>
        </w:rPr>
      </w:pPr>
    </w:p>
    <w:p>
      <w:pPr>
        <w:jc w:val="both"/>
        <w:ind w:left="620" w:right="4099" w:hanging="261"/>
        <w:spacing w:after="0" w:line="236" w:lineRule="auto"/>
        <w:rPr>
          <w:sz w:val="20"/>
          <w:szCs w:val="20"/>
          <w:color w:val="auto"/>
        </w:rPr>
      </w:pPr>
      <w:r>
        <w:rPr>
          <w:rFonts w:ascii="Courier New" w:cs="Courier New" w:eastAsia="Courier New" w:hAnsi="Courier New"/>
          <w:sz w:val="15"/>
          <w:szCs w:val="15"/>
          <w:color w:val="auto"/>
        </w:rPr>
        <w:t>Melville</w:t>
      </w:r>
      <w:r>
        <w:rPr>
          <w:sz w:val="20"/>
          <w:szCs w:val="20"/>
          <w:color w:val="auto"/>
        </w:rPr>
        <w:t xml:space="preserve"> </w:t>
      </w:r>
      <w:r>
        <w:rPr>
          <w:rFonts w:ascii="Courier New" w:cs="Courier New" w:eastAsia="Courier New" w:hAnsi="Courier New"/>
          <w:sz w:val="15"/>
          <w:szCs w:val="15"/>
          <w:color w:val="auto"/>
        </w:rPr>
        <w:t>Realty Company, Inc., a subsidiary of the Parent, guarantees the leases of certain stores operated by the Company and charges a fee for that service. This amount is reflected in general and administrative expense and amounted to approximately $405,000, $327,000 and $306,000 for the years ended December 31, 1994, 1993 and 1992,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419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1994, 1993 and 1992</w:t>
      </w:r>
    </w:p>
    <w:p>
      <w:pPr>
        <w:sectPr>
          <w:pgSz w:w="11900" w:h="16838" w:orient="portrait"/>
          <w:cols w:equalWidth="0" w:num="1">
            <w:col w:w="10239"/>
          </w:cols>
          <w:pgMar w:left="220" w:top="135" w:right="1440" w:bottom="0" w:gutter="0" w:footer="0" w:header="0"/>
        </w:sectPr>
      </w:pPr>
    </w:p>
    <w:bookmarkStart w:id="10" w:name="page11"/>
    <w:bookmarkEnd w:id="10"/>
    <w:p>
      <w:pPr>
        <w:ind w:left="610" w:hanging="610"/>
        <w:spacing w:after="0"/>
        <w:tabs>
          <w:tab w:leader="none" w:pos="61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Realignment Charge and Credit</w:t>
      </w:r>
    </w:p>
    <w:p>
      <w:pPr>
        <w:spacing w:after="0" w:line="173" w:lineRule="exact"/>
        <w:rPr>
          <w:sz w:val="20"/>
          <w:szCs w:val="20"/>
          <w:color w:val="auto"/>
        </w:rPr>
      </w:pPr>
    </w:p>
    <w:p>
      <w:pPr>
        <w:jc w:val="both"/>
        <w:ind w:left="610" w:right="4099" w:hanging="259"/>
        <w:spacing w:after="0" w:line="235" w:lineRule="auto"/>
        <w:tabs>
          <w:tab w:leader="none" w:pos="590" w:val="left"/>
        </w:tabs>
        <w:rPr>
          <w:sz w:val="20"/>
          <w:szCs w:val="20"/>
          <w:color w:val="auto"/>
        </w:rPr>
      </w:pPr>
      <w:r>
        <w:rPr>
          <w:rFonts w:ascii="Courier New" w:cs="Courier New" w:eastAsia="Courier New" w:hAnsi="Courier New"/>
          <w:sz w:val="15"/>
          <w:szCs w:val="15"/>
          <w:color w:val="auto"/>
        </w:rPr>
        <w:t>In</w:t>
        <w:tab/>
        <w:t>1992, the Company recorded a realignment charge of $8.9 million to reflect the anticipated costs associated with the write-down of under performing assets in stores. The realignment charge did not include any cash outlays.</w:t>
      </w:r>
    </w:p>
    <w:p>
      <w:pPr>
        <w:spacing w:after="0" w:line="175" w:lineRule="exact"/>
        <w:rPr>
          <w:sz w:val="20"/>
          <w:szCs w:val="20"/>
          <w:color w:val="auto"/>
        </w:rPr>
      </w:pPr>
    </w:p>
    <w:p>
      <w:pPr>
        <w:jc w:val="both"/>
        <w:ind w:left="610" w:right="4099" w:hanging="259"/>
        <w:spacing w:after="0" w:line="235" w:lineRule="auto"/>
        <w:tabs>
          <w:tab w:leader="none" w:pos="590" w:val="left"/>
        </w:tabs>
        <w:rPr>
          <w:sz w:val="20"/>
          <w:szCs w:val="20"/>
          <w:color w:val="auto"/>
        </w:rPr>
      </w:pPr>
      <w:r>
        <w:rPr>
          <w:rFonts w:ascii="Courier New" w:cs="Courier New" w:eastAsia="Courier New" w:hAnsi="Courier New"/>
          <w:sz w:val="15"/>
          <w:szCs w:val="15"/>
          <w:color w:val="auto"/>
        </w:rPr>
        <w:t>In</w:t>
        <w:tab/>
        <w:t>1994, the Company recorded a $7.2 million realignment credit to reduce a multi-year lease accrual upon the sublease of a distribution center. The accrual was established when the facility was vacated in 1990.</w:t>
      </w:r>
    </w:p>
    <w:p>
      <w:pPr>
        <w:spacing w:after="0" w:line="169" w:lineRule="exact"/>
        <w:rPr>
          <w:sz w:val="20"/>
          <w:szCs w:val="20"/>
          <w:color w:val="auto"/>
        </w:rPr>
      </w:pPr>
    </w:p>
    <w:p>
      <w:pPr>
        <w:ind w:left="610" w:hanging="610"/>
        <w:spacing w:after="0"/>
        <w:tabs>
          <w:tab w:leader="none" w:pos="61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3" w:lineRule="exact"/>
        <w:rPr>
          <w:sz w:val="20"/>
          <w:szCs w:val="20"/>
          <w:color w:val="auto"/>
        </w:rPr>
      </w:pPr>
    </w:p>
    <w:p>
      <w:pPr>
        <w:jc w:val="both"/>
        <w:ind w:left="610" w:right="4099" w:hanging="261"/>
        <w:spacing w:after="0" w:line="235" w:lineRule="auto"/>
        <w:rPr>
          <w:sz w:val="20"/>
          <w:szCs w:val="20"/>
          <w:color w:val="auto"/>
        </w:rPr>
      </w:pPr>
      <w:r>
        <w:rPr>
          <w:rFonts w:ascii="Courier New" w:cs="Courier New" w:eastAsia="Courier New" w:hAnsi="Courier New"/>
          <w:sz w:val="15"/>
          <w:szCs w:val="15"/>
          <w:color w:val="auto"/>
        </w:rPr>
        <w:t>The Company</w:t>
      </w:r>
      <w:r>
        <w:rPr>
          <w:sz w:val="20"/>
          <w:szCs w:val="20"/>
          <w:color w:val="auto"/>
        </w:rPr>
        <w:t xml:space="preserve"> </w:t>
      </w:r>
      <w:r>
        <w:rPr>
          <w:rFonts w:ascii="Courier New" w:cs="Courier New" w:eastAsia="Courier New" w:hAnsi="Courier New"/>
          <w:sz w:val="15"/>
          <w:szCs w:val="15"/>
          <w:color w:val="auto"/>
        </w:rPr>
        <w:t>was contingently liable for unused letters of credit amounting to approximately $25.1 million and $26.1 million as of December 31, 1994 and 1993, respectively.</w:t>
      </w:r>
    </w:p>
    <w:p>
      <w:pPr>
        <w:spacing w:after="0" w:line="174" w:lineRule="exact"/>
        <w:rPr>
          <w:sz w:val="20"/>
          <w:szCs w:val="20"/>
          <w:color w:val="auto"/>
        </w:rPr>
      </w:pPr>
    </w:p>
    <w:p>
      <w:pPr>
        <w:jc w:val="both"/>
        <w:ind w:left="610" w:right="4099" w:hanging="261"/>
        <w:spacing w:after="0" w:line="256" w:lineRule="auto"/>
        <w:rPr>
          <w:sz w:val="20"/>
          <w:szCs w:val="20"/>
          <w:color w:val="auto"/>
        </w:rPr>
      </w:pPr>
      <w:r>
        <w:rPr>
          <w:rFonts w:ascii="Courier New" w:cs="Courier New" w:eastAsia="Courier New" w:hAnsi="Courier New"/>
          <w:sz w:val="15"/>
          <w:szCs w:val="15"/>
          <w:color w:val="auto"/>
        </w:rPr>
        <w:t>The Company</w:t>
      </w:r>
      <w:r>
        <w:rPr>
          <w:sz w:val="20"/>
          <w:szCs w:val="20"/>
          <w:color w:val="auto"/>
        </w:rPr>
        <w:t xml:space="preserve"> </w:t>
      </w:r>
      <w:r>
        <w:rPr>
          <w:rFonts w:ascii="Courier New" w:cs="Courier New" w:eastAsia="Courier New" w:hAnsi="Courier New"/>
          <w:sz w:val="14"/>
          <w:szCs w:val="14"/>
          <w:color w:val="auto"/>
        </w:rPr>
        <w:t>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157" w:lineRule="exact"/>
        <w:rPr>
          <w:sz w:val="20"/>
          <w:szCs w:val="20"/>
          <w:color w:val="auto"/>
        </w:rPr>
      </w:pPr>
    </w:p>
    <w:p>
      <w:pPr>
        <w:ind w:left="610" w:hanging="610"/>
        <w:spacing w:after="0"/>
        <w:tabs>
          <w:tab w:leader="none" w:pos="61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3" w:lineRule="exact"/>
        <w:rPr>
          <w:sz w:val="20"/>
          <w:szCs w:val="20"/>
          <w:color w:val="auto"/>
        </w:rPr>
      </w:pPr>
    </w:p>
    <w:p>
      <w:pPr>
        <w:jc w:val="both"/>
        <w:ind w:left="610" w:right="4099" w:hanging="259"/>
        <w:spacing w:after="0" w:line="235" w:lineRule="auto"/>
        <w:tabs>
          <w:tab w:leader="none" w:pos="590" w:val="left"/>
        </w:tabs>
        <w:rPr>
          <w:sz w:val="20"/>
          <w:szCs w:val="20"/>
          <w:color w:val="auto"/>
        </w:rPr>
      </w:pPr>
      <w:r>
        <w:rPr>
          <w:rFonts w:ascii="Courier New" w:cs="Courier New" w:eastAsia="Courier New" w:hAnsi="Courier New"/>
          <w:sz w:val="15"/>
          <w:szCs w:val="15"/>
          <w:color w:val="auto"/>
        </w:rPr>
        <w:t>On</w:t>
        <w:tab/>
        <w:t>October 14, 1995, the Company was acquired by TJX Companies, Inc. ("TJX") for $375 million in cash and $175 million of TJX's convertible preferred stock.</w:t>
      </w:r>
    </w:p>
    <w:p>
      <w:pPr>
        <w:sectPr>
          <w:pgSz w:w="11900" w:h="16838" w:orient="portrait"/>
          <w:cols w:equalWidth="0" w:num="1">
            <w:col w:w="10229"/>
          </w:cols>
          <w:pgMar w:left="230" w:top="135" w:right="1440"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MARSHALLS OF ROSEVILLE, MINN., INC.</w:t>
      </w:r>
    </w:p>
    <w:p>
      <w:pPr>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1995 and October 1, 1994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Independent Accountants' Review Report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Independent Accountants' Review Report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Melville Corporation:</w:t>
      </w:r>
    </w:p>
    <w:p>
      <w:pPr>
        <w:spacing w:after="0" w:line="173" w:lineRule="exact"/>
        <w:rPr>
          <w:sz w:val="20"/>
          <w:szCs w:val="20"/>
          <w:color w:val="auto"/>
        </w:rPr>
      </w:pPr>
    </w:p>
    <w:p>
      <w:pPr>
        <w:jc w:val="both"/>
        <w:ind w:right="4379"/>
        <w:spacing w:after="0" w:line="254" w:lineRule="auto"/>
        <w:rPr>
          <w:sz w:val="20"/>
          <w:szCs w:val="20"/>
          <w:color w:val="auto"/>
        </w:rPr>
      </w:pPr>
      <w:r>
        <w:rPr>
          <w:rFonts w:ascii="Courier New" w:cs="Courier New" w:eastAsia="Courier New" w:hAnsi="Courier New"/>
          <w:sz w:val="14"/>
          <w:szCs w:val="14"/>
          <w:color w:val="auto"/>
        </w:rPr>
        <w:t>We have reviewed the accompanying consolidated balance sheets of Marshalls of Roseville, Minn., Inc. (a wholly-owned subsidiary of Melville Corporation) as of September 30, 1995 and October 1, 1994,</w:t>
      </w:r>
    </w:p>
    <w:p>
      <w:pPr>
        <w:spacing w:after="0" w:line="1" w:lineRule="exact"/>
        <w:rPr>
          <w:sz w:val="20"/>
          <w:szCs w:val="20"/>
          <w:color w:val="auto"/>
        </w:rPr>
      </w:pPr>
    </w:p>
    <w:p>
      <w:pPr>
        <w:jc w:val="both"/>
        <w:ind w:right="4379"/>
        <w:spacing w:after="0" w:line="236" w:lineRule="auto"/>
        <w:rPr>
          <w:sz w:val="20"/>
          <w:szCs w:val="20"/>
          <w:color w:val="auto"/>
        </w:rPr>
      </w:pPr>
      <w:r>
        <w:rPr>
          <w:rFonts w:ascii="Courier New" w:cs="Courier New" w:eastAsia="Courier New" w:hAnsi="Courier New"/>
          <w:sz w:val="15"/>
          <w:szCs w:val="15"/>
          <w:color w:val="auto"/>
        </w:rPr>
        <w:t>and the related consolidated statements of operations, shareholder's equity, and cash flows for three-month and nine-month periods then ended. These consolidated financial statements are the responsibility of Marshalls of Roseville, Minn., Inc.'s management.</w:t>
      </w:r>
    </w:p>
    <w:p>
      <w:pPr>
        <w:spacing w:after="0" w:line="167" w:lineRule="exact"/>
        <w:rPr>
          <w:sz w:val="20"/>
          <w:szCs w:val="20"/>
          <w:color w:val="auto"/>
        </w:rPr>
      </w:pPr>
    </w:p>
    <w:p>
      <w:pPr>
        <w:spacing w:after="0"/>
        <w:tabs>
          <w:tab w:leader="none" w:pos="1220" w:val="left"/>
          <w:tab w:leader="none" w:pos="2360" w:val="left"/>
        </w:tabs>
        <w:rPr>
          <w:sz w:val="20"/>
          <w:szCs w:val="20"/>
          <w:color w:val="auto"/>
        </w:rPr>
      </w:pPr>
      <w:r>
        <w:rPr>
          <w:rFonts w:ascii="Courier New" w:cs="Courier New" w:eastAsia="Courier New" w:hAnsi="Courier New"/>
          <w:sz w:val="15"/>
          <w:szCs w:val="15"/>
          <w:color w:val="auto"/>
        </w:rPr>
        <w:t>We conducted</w:t>
        <w:tab/>
        <w:t>our reviews</w:t>
      </w:r>
      <w:r>
        <w:rPr>
          <w:sz w:val="20"/>
          <w:szCs w:val="20"/>
          <w:color w:val="auto"/>
        </w:rPr>
        <w:tab/>
      </w:r>
      <w:r>
        <w:rPr>
          <w:rFonts w:ascii="Courier New" w:cs="Courier New" w:eastAsia="Courier New" w:hAnsi="Courier New"/>
          <w:sz w:val="14"/>
          <w:szCs w:val="14"/>
          <w:color w:val="auto"/>
        </w:rPr>
        <w:t>in accordance with standards established</w:t>
      </w:r>
    </w:p>
    <w:p>
      <w:pPr>
        <w:spacing w:after="0" w:line="5" w:lineRule="exact"/>
        <w:rPr>
          <w:sz w:val="20"/>
          <w:szCs w:val="20"/>
          <w:color w:val="auto"/>
        </w:rPr>
      </w:pPr>
    </w:p>
    <w:p>
      <w:pPr>
        <w:jc w:val="both"/>
        <w:ind w:right="4379"/>
        <w:spacing w:after="0" w:line="236" w:lineRule="auto"/>
        <w:rPr>
          <w:sz w:val="20"/>
          <w:szCs w:val="20"/>
          <w:color w:val="auto"/>
        </w:rPr>
      </w:pPr>
      <w:r>
        <w:rPr>
          <w:rFonts w:ascii="Courier New" w:cs="Courier New" w:eastAsia="Courier New" w:hAnsi="Courier New"/>
          <w:sz w:val="15"/>
          <w:szCs w:val="15"/>
          <w:color w:val="auto"/>
        </w:rPr>
        <w:t>by the American Institute of Certified Public Accountants. A review of interim financial information consists principally of applying analytical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78" w:lineRule="exact"/>
        <w:rPr>
          <w:sz w:val="20"/>
          <w:szCs w:val="20"/>
          <w:color w:val="auto"/>
        </w:rPr>
      </w:pPr>
    </w:p>
    <w:p>
      <w:pPr>
        <w:jc w:val="both"/>
        <w:ind w:right="4379"/>
        <w:spacing w:after="0" w:line="236" w:lineRule="auto"/>
        <w:rPr>
          <w:sz w:val="20"/>
          <w:szCs w:val="20"/>
          <w:color w:val="auto"/>
        </w:rPr>
      </w:pPr>
      <w:r>
        <w:rPr>
          <w:rFonts w:ascii="Courier New" w:cs="Courier New" w:eastAsia="Courier New" w:hAnsi="Courier New"/>
          <w:sz w:val="15"/>
          <w:szCs w:val="15"/>
          <w:color w:val="auto"/>
        </w:rPr>
        <w:t>Based on our reviews, with the exception of the matter described in the following paragraph, we are not aware of any material modifications that should be made to the consolidated financial statements referred to above for them to be in conformity with generally accepted accounting 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has elected to omit substantially all of the disclosures</w:t>
      </w:r>
    </w:p>
    <w:p>
      <w:pPr>
        <w:spacing w:after="0" w:line="5" w:lineRule="exact"/>
        <w:rPr>
          <w:sz w:val="20"/>
          <w:szCs w:val="20"/>
          <w:color w:val="auto"/>
        </w:rPr>
      </w:pPr>
    </w:p>
    <w:p>
      <w:pPr>
        <w:jc w:val="both"/>
        <w:ind w:right="4379"/>
        <w:spacing w:after="0" w:line="235" w:lineRule="auto"/>
        <w:rPr>
          <w:sz w:val="20"/>
          <w:szCs w:val="20"/>
          <w:color w:val="auto"/>
        </w:rPr>
      </w:pPr>
      <w:r>
        <w:rPr>
          <w:rFonts w:ascii="Courier New" w:cs="Courier New" w:eastAsia="Courier New" w:hAnsi="Courier New"/>
          <w:sz w:val="15"/>
          <w:szCs w:val="15"/>
          <w:color w:val="auto"/>
        </w:rPr>
        <w:t>required by generally accepted accounting principles. If the omitted disclosures were included in the consolidated financial statements, they might influence the user's conclusions about the Company's consolidated financial position, results of operations</w:t>
      </w:r>
    </w:p>
    <w:p>
      <w:pPr>
        <w:spacing w:after="0" w:line="7" w:lineRule="exact"/>
        <w:rPr>
          <w:sz w:val="20"/>
          <w:szCs w:val="20"/>
          <w:color w:val="auto"/>
        </w:rPr>
      </w:pPr>
    </w:p>
    <w:p>
      <w:pPr>
        <w:jc w:val="both"/>
        <w:ind w:right="4379"/>
        <w:spacing w:after="0" w:line="235" w:lineRule="auto"/>
        <w:rPr>
          <w:sz w:val="20"/>
          <w:szCs w:val="20"/>
          <w:color w:val="auto"/>
        </w:rPr>
      </w:pPr>
      <w:r>
        <w:rPr>
          <w:rFonts w:ascii="Courier New" w:cs="Courier New" w:eastAsia="Courier New" w:hAnsi="Courier New"/>
          <w:sz w:val="15"/>
          <w:szCs w:val="15"/>
          <w:color w:val="auto"/>
        </w:rPr>
        <w:t>and cash flows. Accordingly, these consolidated financial statements are not designed for those who are not informed about such matters.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/s/KPMG Peat Marwick LLP</w:t>
      </w:r>
    </w:p>
    <w:p>
      <w:pPr>
        <w:spacing w:after="0" w:line="237" w:lineRule="auto"/>
        <w:rPr>
          <w:sz w:val="20"/>
          <w:szCs w:val="20"/>
          <w:color w:val="auto"/>
        </w:rPr>
      </w:pPr>
      <w:r>
        <w:rPr>
          <w:rFonts w:ascii="Courier New" w:cs="Courier New" w:eastAsia="Courier New" w:hAnsi="Courier New"/>
          <w:sz w:val="15"/>
          <w:szCs w:val="15"/>
          <w:color w:val="auto"/>
        </w:rPr>
        <w:t>Boston, Massachusetts</w:t>
      </w:r>
    </w:p>
    <w:p>
      <w:pPr>
        <w:spacing w:after="0" w:line="238" w:lineRule="auto"/>
        <w:rPr>
          <w:sz w:val="20"/>
          <w:szCs w:val="20"/>
          <w:color w:val="auto"/>
        </w:rPr>
      </w:pPr>
      <w:r>
        <w:rPr>
          <w:rFonts w:ascii="Courier New" w:cs="Courier New" w:eastAsia="Courier New" w:hAnsi="Courier New"/>
          <w:sz w:val="15"/>
          <w:szCs w:val="15"/>
          <w:color w:val="auto"/>
        </w:rPr>
        <w:t>December 1,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365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5"/>
          <w:szCs w:val="15"/>
          <w:color w:val="auto"/>
        </w:rPr>
        <w:t>September 30, 1995 and October 1, 1994</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72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bl>
    <w:p>
      <w:pPr>
        <w:sectPr>
          <w:pgSz w:w="11900" w:h="16838" w:orient="portrait"/>
          <w:cols w:equalWidth="0" w:num="1">
            <w:col w:w="10239"/>
          </w:cols>
          <w:pgMar w:left="220" w:top="1440"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15,077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17,216</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 of allowance for</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doubtful accounts of $880 and $817, in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1995 and 1994, respectively</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45,058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39,159</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607,429</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593,263</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9,004</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6,861</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 receivable</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18,714</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695,282</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656,499</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439,009</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418,992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lease assets, net</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28,652</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29,818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 and other noncurrent assets, net</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21,354</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23,091</w:t>
            </w:r>
          </w:p>
        </w:tc>
      </w:tr>
      <w:tr>
        <w:trPr>
          <w:trHeight w:val="336"/>
        </w:trPr>
        <w:tc>
          <w:tcPr>
            <w:tcW w:w="4520" w:type="dxa"/>
            <w:vAlign w:val="bottom"/>
          </w:tcPr>
          <w:p>
            <w:pPr>
              <w:ind w:left="540"/>
              <w:spacing w:after="0"/>
              <w:rPr>
                <w:sz w:val="20"/>
                <w:szCs w:val="20"/>
                <w:color w:val="auto"/>
              </w:rPr>
            </w:pPr>
            <w:r>
              <w:rPr>
                <w:rFonts w:ascii="Courier New" w:cs="Courier New" w:eastAsia="Courier New" w:hAnsi="Courier New"/>
                <w:sz w:val="15"/>
                <w:szCs w:val="15"/>
                <w:color w:val="auto"/>
              </w:rPr>
              <w:t>Total assets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1,189,647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1,135,160</w:t>
            </w:r>
          </w:p>
        </w:tc>
      </w:tr>
      <w:tr>
        <w:trPr>
          <w:trHeight w:val="336"/>
        </w:trPr>
        <w:tc>
          <w:tcPr>
            <w:tcW w:w="4520" w:type="dxa"/>
            <w:vAlign w:val="bottom"/>
          </w:tcPr>
          <w:p>
            <w:pPr>
              <w:ind w:left="1320"/>
              <w:spacing w:after="0"/>
              <w:rPr>
                <w:sz w:val="20"/>
                <w:szCs w:val="20"/>
                <w:color w:val="auto"/>
              </w:rPr>
            </w:pPr>
            <w:r>
              <w:rPr>
                <w:rFonts w:ascii="Courier New" w:cs="Courier New" w:eastAsia="Courier New" w:hAnsi="Courier New"/>
                <w:sz w:val="15"/>
                <w:szCs w:val="15"/>
                <w:color w:val="auto"/>
                <w:w w:val="98"/>
              </w:rPr>
              <w:t>Liabilities and Shareholder's Equity</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243,688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204,661</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135,520</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159,493</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Federal income taxes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8,244</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Due to Parent and other divisions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154,582</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73,333</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lease obligations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2,461</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2,492</w:t>
            </w:r>
          </w:p>
        </w:tc>
      </w:tr>
      <w:tr>
        <w:trPr>
          <w:trHeight w:val="336"/>
        </w:trPr>
        <w:tc>
          <w:tcPr>
            <w:tcW w:w="4520" w:type="dxa"/>
            <w:vAlign w:val="bottom"/>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536,251</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448,223</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19,259</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12,519</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 obligations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9,421</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11,882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4,167</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12,931</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no par value, 100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authorized and outstanding 1995 and 1994</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Contributed capital</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152,839</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152,839</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467,358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496,414</w:t>
            </w:r>
          </w:p>
        </w:tc>
      </w:tr>
      <w:tr>
        <w:trPr>
          <w:trHeight w:val="336"/>
        </w:trPr>
        <w:tc>
          <w:tcPr>
            <w:tcW w:w="4520" w:type="dxa"/>
            <w:vAlign w:val="bottom"/>
          </w:tcPr>
          <w:p>
            <w:pPr>
              <w:ind w:left="540"/>
              <w:spacing w:after="0"/>
              <w:rPr>
                <w:sz w:val="20"/>
                <w:szCs w:val="20"/>
                <w:color w:val="auto"/>
              </w:rPr>
            </w:pPr>
            <w:r>
              <w:rPr>
                <w:rFonts w:ascii="Courier New" w:cs="Courier New" w:eastAsia="Courier New" w:hAnsi="Courier New"/>
                <w:sz w:val="15"/>
                <w:szCs w:val="15"/>
                <w:color w:val="auto"/>
              </w:rPr>
              <w:t>Total shareholder's equity</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620,549</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649,605</w:t>
            </w:r>
          </w:p>
        </w:tc>
      </w:tr>
      <w:tr>
        <w:trPr>
          <w:trHeight w:val="336"/>
        </w:trPr>
        <w:tc>
          <w:tcPr>
            <w:tcW w:w="4520" w:type="dxa"/>
            <w:vAlign w:val="bottom"/>
          </w:tcPr>
          <w:p>
            <w:pPr>
              <w:ind w:left="5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1,189,647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1,135,160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See accompanying accountants' review report and notes to consolidated financial statements.</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MARSHALLS OF ROSEVILLE, MINN., INC.</w:t>
      </w:r>
    </w:p>
    <w:p>
      <w:pPr>
        <w:ind w:left="1240"/>
        <w:spacing w:after="0" w:line="237" w:lineRule="auto"/>
        <w:rPr>
          <w:sz w:val="20"/>
          <w:szCs w:val="20"/>
          <w:color w:val="auto"/>
        </w:rPr>
      </w:pPr>
      <w:r>
        <w:rPr>
          <w:rFonts w:ascii="Courier New" w:cs="Courier New" w:eastAsia="Courier New" w:hAnsi="Courier New"/>
          <w:sz w:val="15"/>
          <w:szCs w:val="15"/>
          <w:color w:val="auto"/>
        </w:rPr>
        <w:t>(a wholly-owned subsidiary of Melville)</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73" w:lineRule="exact"/>
        <w:rPr>
          <w:sz w:val="20"/>
          <w:szCs w:val="20"/>
          <w:color w:val="auto"/>
        </w:rPr>
      </w:pPr>
    </w:p>
    <w:p>
      <w:pPr>
        <w:ind w:left="100" w:right="3759" w:firstLine="525"/>
        <w:spacing w:after="0" w:line="234" w:lineRule="auto"/>
        <w:rPr>
          <w:sz w:val="20"/>
          <w:szCs w:val="20"/>
          <w:color w:val="auto"/>
        </w:rPr>
      </w:pPr>
      <w:r>
        <w:rPr>
          <w:rFonts w:ascii="Courier New" w:cs="Courier New" w:eastAsia="Courier New" w:hAnsi="Courier New"/>
          <w:sz w:val="15"/>
          <w:szCs w:val="15"/>
          <w:color w:val="auto"/>
        </w:rPr>
        <w:t>For the three months ended and nine months ended September 30, 1995 and October 1, 1994</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(In Thousands)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3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7"/>
              </w:rPr>
              <w:t>Three months ended</w:t>
            </w:r>
          </w:p>
        </w:tc>
        <w:tc>
          <w:tcPr>
            <w:tcW w:w="480" w:type="dxa"/>
            <w:vAlign w:val="bottom"/>
          </w:tcPr>
          <w:p>
            <w:pPr>
              <w:spacing w:after="0"/>
              <w:rPr>
                <w:sz w:val="24"/>
                <w:szCs w:val="24"/>
                <w:color w:val="auto"/>
              </w:rPr>
            </w:pPr>
          </w:p>
        </w:tc>
        <w:tc>
          <w:tcPr>
            <w:tcW w:w="20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October 1,</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September 30,</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October 1,</w:t>
            </w:r>
          </w:p>
        </w:tc>
      </w:tr>
      <w:tr>
        <w:trPr>
          <w:trHeight w:val="168"/>
        </w:trPr>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659,634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671,077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1,852,245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1,902,444</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760" w:type="dxa"/>
            <w:vAlign w:val="bottom"/>
          </w:tcPr>
          <w:p>
            <w:pPr>
              <w:spacing w:after="0"/>
              <w:rPr>
                <w:sz w:val="24"/>
                <w:szCs w:val="2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475,423</w:t>
            </w:r>
          </w:p>
        </w:tc>
        <w:tc>
          <w:tcPr>
            <w:tcW w:w="16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448,372</w:t>
            </w:r>
          </w:p>
        </w:tc>
        <w:tc>
          <w:tcPr>
            <w:tcW w:w="4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1,310,401</w:t>
            </w:r>
          </w:p>
        </w:tc>
        <w:tc>
          <w:tcPr>
            <w:tcW w:w="1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1,265,189</w:t>
            </w:r>
          </w:p>
        </w:tc>
      </w:tr>
      <w:tr>
        <w:trPr>
          <w:trHeight w:val="336"/>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Gross profit</w:t>
            </w:r>
          </w:p>
        </w:tc>
        <w:tc>
          <w:tcPr>
            <w:tcW w:w="760" w:type="dxa"/>
            <w:vAlign w:val="bottom"/>
          </w:tcPr>
          <w:p>
            <w:pPr>
              <w:spacing w:after="0"/>
              <w:rPr>
                <w:sz w:val="24"/>
                <w:szCs w:val="2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184,211</w:t>
            </w:r>
          </w:p>
        </w:tc>
        <w:tc>
          <w:tcPr>
            <w:tcW w:w="16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222,705</w:t>
            </w:r>
          </w:p>
        </w:tc>
        <w:tc>
          <w:tcPr>
            <w:tcW w:w="4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541,844</w:t>
            </w:r>
          </w:p>
        </w:tc>
        <w:tc>
          <w:tcPr>
            <w:tcW w:w="1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637,255</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w:t>
            </w:r>
          </w:p>
        </w:tc>
        <w:tc>
          <w:tcPr>
            <w:tcW w:w="7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195,666</w:t>
            </w:r>
          </w:p>
        </w:tc>
        <w:tc>
          <w:tcPr>
            <w:tcW w:w="1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189,415</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561,158</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545,970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16,050</w:t>
            </w:r>
          </w:p>
        </w:tc>
        <w:tc>
          <w:tcPr>
            <w:tcW w:w="1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14,253</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45,690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40,221</w:t>
            </w:r>
          </w:p>
        </w:tc>
      </w:tr>
      <w:tr>
        <w:trPr>
          <w:trHeight w:val="336"/>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Operating income (loss)</w:t>
            </w:r>
          </w:p>
        </w:tc>
        <w:tc>
          <w:tcPr>
            <w:tcW w:w="76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(27,505)</w:t>
            </w:r>
          </w:p>
        </w:tc>
        <w:tc>
          <w:tcPr>
            <w:tcW w:w="16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19,037</w:t>
            </w:r>
          </w:p>
        </w:tc>
        <w:tc>
          <w:tcPr>
            <w:tcW w:w="4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(65,004)</w:t>
            </w:r>
          </w:p>
        </w:tc>
        <w:tc>
          <w:tcPr>
            <w:tcW w:w="1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51,064</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interest income (expense),</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Parent and other divisions</w:t>
            </w:r>
          </w:p>
        </w:tc>
        <w:tc>
          <w:tcPr>
            <w:tcW w:w="7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(2,500)</w:t>
            </w:r>
          </w:p>
        </w:tc>
        <w:tc>
          <w:tcPr>
            <w:tcW w:w="1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(591)</w:t>
            </w: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(5,971)</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 third party</w:t>
            </w:r>
          </w:p>
        </w:tc>
        <w:tc>
          <w:tcPr>
            <w:tcW w:w="7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c>
          <w:tcPr>
            <w:tcW w:w="1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336"/>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Income (loss) before provision</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income taxes</w:t>
            </w:r>
          </w:p>
        </w:tc>
        <w:tc>
          <w:tcPr>
            <w:tcW w:w="7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(30,013)</w:t>
            </w:r>
          </w:p>
        </w:tc>
        <w:tc>
          <w:tcPr>
            <w:tcW w:w="1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18,423</w:t>
            </w: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(71,034)</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50,800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76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(8,770)</w:t>
            </w:r>
          </w:p>
        </w:tc>
        <w:tc>
          <w:tcPr>
            <w:tcW w:w="16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7,351</w:t>
            </w:r>
          </w:p>
        </w:tc>
        <w:tc>
          <w:tcPr>
            <w:tcW w:w="4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(28,369)</w:t>
            </w:r>
          </w:p>
        </w:tc>
        <w:tc>
          <w:tcPr>
            <w:tcW w:w="1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18,891</w:t>
            </w:r>
          </w:p>
        </w:tc>
      </w:tr>
      <w:tr>
        <w:trPr>
          <w:trHeight w:val="336"/>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(21,243)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11,072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(42,665)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31,909</w:t>
            </w:r>
          </w:p>
        </w:tc>
      </w:tr>
    </w:tbl>
    <w:p>
      <w:pPr>
        <w:spacing w:after="0" w:line="341" w:lineRule="exact"/>
        <w:rPr>
          <w:sz w:val="20"/>
          <w:szCs w:val="20"/>
          <w:color w:val="auto"/>
        </w:rPr>
      </w:pPr>
    </w:p>
    <w:p>
      <w:pPr>
        <w:ind w:left="100" w:right="3319" w:hanging="86"/>
        <w:spacing w:after="0" w:line="234" w:lineRule="auto"/>
        <w:rPr>
          <w:sz w:val="20"/>
          <w:szCs w:val="20"/>
          <w:color w:val="auto"/>
        </w:rPr>
      </w:pPr>
      <w:r>
        <w:rPr>
          <w:rFonts w:ascii="Courier New" w:cs="Courier New" w:eastAsia="Courier New" w:hAnsi="Courier New"/>
          <w:sz w:val="15"/>
          <w:szCs w:val="15"/>
          <w:color w:val="auto"/>
        </w:rPr>
        <w:t>See accompanying accountants' review report and notes to consolidated financial statements.</w:t>
      </w:r>
    </w:p>
    <w:p>
      <w:pPr>
        <w:jc w:val="center"/>
        <w:ind w:right="1559"/>
        <w:spacing w:after="0" w:line="237" w:lineRule="auto"/>
        <w:rPr>
          <w:sz w:val="20"/>
          <w:szCs w:val="20"/>
          <w:color w:val="auto"/>
        </w:rPr>
      </w:pPr>
      <w:r>
        <w:rPr>
          <w:rFonts w:ascii="Courier New" w:cs="Courier New" w:eastAsia="Courier New" w:hAnsi="Courier New"/>
          <w:sz w:val="15"/>
          <w:szCs w:val="15"/>
          <w:color w:val="auto"/>
        </w:rPr>
        <w:t>MARSHALLS OF ROSEVILLE, MINN., INC.</w:t>
      </w:r>
    </w:p>
    <w:p>
      <w:pPr>
        <w:jc w:val="center"/>
        <w:ind w:right="1559"/>
        <w:spacing w:after="0" w:line="238" w:lineRule="auto"/>
        <w:rPr>
          <w:sz w:val="20"/>
          <w:szCs w:val="20"/>
          <w:color w:val="auto"/>
        </w:rPr>
      </w:pPr>
      <w:r>
        <w:rPr>
          <w:rFonts w:ascii="Courier New" w:cs="Courier New" w:eastAsia="Courier New" w:hAnsi="Courier New"/>
          <w:sz w:val="15"/>
          <w:szCs w:val="15"/>
          <w:color w:val="auto"/>
        </w:rPr>
        <w:t>(a wholly-owned subsidiary of Melville Corporation)</w:t>
      </w:r>
    </w:p>
    <w:p>
      <w:pPr>
        <w:sectPr>
          <w:pgSz w:w="11900" w:h="16838" w:orient="portrait"/>
          <w:cols w:equalWidth="0" w:num="1">
            <w:col w:w="10239"/>
          </w:cols>
          <w:pgMar w:left="220" w:top="303" w:right="1440" w:bottom="0" w:gutter="0" w:footer="0" w:header="0"/>
        </w:sectPr>
      </w:pPr>
    </w:p>
    <w:bookmarkStart w:id="13" w:name="page14"/>
    <w:bookmarkEnd w:id="13"/>
    <w:p>
      <w:pPr>
        <w:ind w:left="228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For the nine months ended September 30, 1995 and</w:t>
      </w:r>
    </w:p>
    <w:p>
      <w:pPr>
        <w:ind w:left="100"/>
        <w:spacing w:after="0" w:line="237" w:lineRule="auto"/>
        <w:rPr>
          <w:sz w:val="20"/>
          <w:szCs w:val="20"/>
          <w:color w:val="auto"/>
        </w:rPr>
      </w:pPr>
      <w:r>
        <w:rPr>
          <w:rFonts w:ascii="Courier New" w:cs="Courier New" w:eastAsia="Courier New" w:hAnsi="Courier New"/>
          <w:sz w:val="15"/>
          <w:szCs w:val="15"/>
          <w:color w:val="auto"/>
        </w:rPr>
        <w:t>October 1, 1994</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2620" w:type="dxa"/>
            <w:vAlign w:val="bottom"/>
            <w:gridSpan w:val="2"/>
          </w:tcPr>
          <w:p>
            <w:pPr>
              <w:jc w:val="right"/>
              <w:ind w:right="787"/>
              <w:spacing w:after="0"/>
              <w:rPr>
                <w:sz w:val="20"/>
                <w:szCs w:val="20"/>
                <w:color w:val="auto"/>
              </w:rPr>
            </w:pPr>
            <w:r>
              <w:rPr>
                <w:rFonts w:ascii="Courier New" w:cs="Courier New" w:eastAsia="Courier New" w:hAnsi="Courier New"/>
                <w:sz w:val="15"/>
                <w:szCs w:val="15"/>
                <w:color w:val="auto"/>
              </w:rPr>
              <w:t>(In Thousands)</w:t>
            </w: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3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ind w:left="56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240" w:type="dxa"/>
            <w:vAlign w:val="bottom"/>
          </w:tcPr>
          <w:p>
            <w:pPr>
              <w:spacing w:after="0"/>
              <w:rPr>
                <w:sz w:val="14"/>
                <w:szCs w:val="14"/>
                <w:color w:val="auto"/>
              </w:rPr>
            </w:pP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Contributed</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Retained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3240" w:type="dxa"/>
            <w:vAlign w:val="bottom"/>
          </w:tcPr>
          <w:p>
            <w:pPr>
              <w:spacing w:after="0"/>
              <w:rPr>
                <w:sz w:val="14"/>
                <w:szCs w:val="14"/>
                <w:color w:val="auto"/>
              </w:rPr>
            </w:pP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Earnings</w:t>
            </w:r>
          </w:p>
        </w:tc>
        <w:tc>
          <w:tcPr>
            <w:tcW w:w="13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505"/>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$152,839</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$542,275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$695,466</w:t>
            </w:r>
          </w:p>
        </w:tc>
      </w:tr>
      <w:tr>
        <w:trPr>
          <w:trHeight w:val="336"/>
        </w:trPr>
        <w:tc>
          <w:tcPr>
            <w:tcW w:w="3240" w:type="dxa"/>
            <w:vAlign w:val="bottom"/>
          </w:tcPr>
          <w:p>
            <w:pPr>
              <w:ind w:left="280"/>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(42,665)</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(42,665)</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 to Parent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(32,252)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(32,252)</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as of September 30, 1995</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152,839</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467,358</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620,549</w:t>
            </w:r>
          </w:p>
        </w:tc>
      </w:tr>
      <w:tr>
        <w:trPr>
          <w:trHeight w:val="505"/>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as of December 31, 1993</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152,839</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500,697</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653,888</w:t>
            </w:r>
          </w:p>
        </w:tc>
      </w:tr>
      <w:tr>
        <w:trPr>
          <w:trHeight w:val="336"/>
        </w:trPr>
        <w:tc>
          <w:tcPr>
            <w:tcW w:w="324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31,909</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31,909</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 to Parent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(36,192)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(36,192)</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as of October 1, 1994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$152,839</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$496,414</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$649,605</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right="4199" w:hanging="86"/>
        <w:spacing w:after="0" w:line="234" w:lineRule="auto"/>
        <w:rPr>
          <w:sz w:val="20"/>
          <w:szCs w:val="20"/>
          <w:color w:val="auto"/>
        </w:rPr>
      </w:pPr>
      <w:r>
        <w:rPr>
          <w:rFonts w:ascii="Courier New" w:cs="Courier New" w:eastAsia="Courier New" w:hAnsi="Courier New"/>
          <w:sz w:val="15"/>
          <w:szCs w:val="15"/>
          <w:color w:val="auto"/>
        </w:rPr>
        <w:t>See accompanying accountants' review report and notes to consolidated financial statements.</w:t>
      </w:r>
    </w:p>
    <w:p>
      <w:pPr>
        <w:spacing w:after="0" w:line="335" w:lineRule="exact"/>
        <w:rPr>
          <w:sz w:val="20"/>
          <w:szCs w:val="20"/>
          <w:color w:val="auto"/>
        </w:rPr>
      </w:pPr>
    </w:p>
    <w:p>
      <w:pPr>
        <w:jc w:val="center"/>
        <w:ind w:right="1379"/>
        <w:spacing w:after="0"/>
        <w:rPr>
          <w:sz w:val="20"/>
          <w:szCs w:val="20"/>
          <w:color w:val="auto"/>
        </w:rPr>
      </w:pPr>
      <w:r>
        <w:rPr>
          <w:rFonts w:ascii="Courier New" w:cs="Courier New" w:eastAsia="Courier New" w:hAnsi="Courier New"/>
          <w:sz w:val="15"/>
          <w:szCs w:val="15"/>
          <w:color w:val="auto"/>
        </w:rPr>
        <w:t>MARSHALLS OF ROSEVILLE, MINN., INC.</w:t>
      </w:r>
    </w:p>
    <w:p>
      <w:pPr>
        <w:jc w:val="center"/>
        <w:ind w:right="1379"/>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3" w:lineRule="exact"/>
        <w:rPr>
          <w:sz w:val="20"/>
          <w:szCs w:val="20"/>
          <w:color w:val="auto"/>
        </w:rPr>
      </w:pPr>
    </w:p>
    <w:p>
      <w:pPr>
        <w:ind w:left="100" w:right="4019" w:firstLine="787"/>
        <w:spacing w:after="0" w:line="234" w:lineRule="auto"/>
        <w:rPr>
          <w:sz w:val="20"/>
          <w:szCs w:val="20"/>
          <w:color w:val="auto"/>
        </w:rPr>
      </w:pPr>
      <w:r>
        <w:rPr>
          <w:rFonts w:ascii="Courier New" w:cs="Courier New" w:eastAsia="Courier New" w:hAnsi="Courier New"/>
          <w:sz w:val="15"/>
          <w:szCs w:val="15"/>
          <w:color w:val="auto"/>
        </w:rPr>
        <w:t>For the three months and nine months ended September 30, 1995 and October 1, 1994</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gridSpan w:val="2"/>
          </w:tcPr>
          <w:p>
            <w:pPr>
              <w:ind w:left="3780"/>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4040" w:type="dxa"/>
            <w:vAlign w:val="bottom"/>
          </w:tcPr>
          <w:p>
            <w:pPr>
              <w:spacing w:after="0"/>
              <w:rPr>
                <w:sz w:val="24"/>
                <w:szCs w:val="24"/>
                <w:color w:val="auto"/>
              </w:rPr>
            </w:pPr>
          </w:p>
        </w:tc>
        <w:tc>
          <w:tcPr>
            <w:tcW w:w="23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Three Months ended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ended</w:t>
            </w:r>
          </w:p>
        </w:tc>
      </w:tr>
      <w:tr>
        <w:trPr>
          <w:trHeight w:val="168"/>
        </w:trPr>
        <w:tc>
          <w:tcPr>
            <w:tcW w:w="40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September 30,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October 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September 30,</w:t>
            </w:r>
          </w:p>
        </w:tc>
        <w:tc>
          <w:tcPr>
            <w:tcW w:w="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October 1,</w:t>
            </w:r>
          </w:p>
        </w:tc>
      </w:tr>
      <w:tr>
        <w:trPr>
          <w:trHeight w:val="168"/>
        </w:trPr>
        <w:tc>
          <w:tcPr>
            <w:tcW w:w="40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(21,243)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11,072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(42,665)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31,909</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(loss)</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to net cash used for operating activities:</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16,050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14,253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45,690</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40,221</w:t>
            </w: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deferred income taxes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Loss on disposal of assets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3,119</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1,469</w:t>
            </w: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(24,517)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(17,392)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(27,925)</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(25,526)</w:t>
            </w:r>
          </w:p>
        </w:tc>
      </w:tr>
      <w:tr>
        <w:trPr>
          <w:trHeight w:val="168"/>
        </w:trPr>
        <w:tc>
          <w:tcPr>
            <w:tcW w:w="4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Inventories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(107,496)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(93,991)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(135,946)</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(223,581)</w:t>
            </w:r>
          </w:p>
        </w:tc>
      </w:tr>
      <w:tr>
        <w:trPr>
          <w:trHeight w:val="168"/>
        </w:trPr>
        <w:tc>
          <w:tcPr>
            <w:tcW w:w="4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Prepaid expenses and other current</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assets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w:t>
            </w:r>
          </w:p>
        </w:tc>
      </w:tr>
      <w:tr>
        <w:trPr>
          <w:trHeight w:val="168"/>
        </w:trPr>
        <w:tc>
          <w:tcPr>
            <w:tcW w:w="4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tax receivable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(18,714)</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Deferred charges and other noncurrent</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assets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(1,655)</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w:t>
            </w:r>
          </w:p>
        </w:tc>
      </w:tr>
      <w:tr>
        <w:trPr>
          <w:trHeight w:val="168"/>
        </w:trPr>
        <w:tc>
          <w:tcPr>
            <w:tcW w:w="4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106,089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(8,643)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134,157</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68,000</w:t>
            </w:r>
          </w:p>
        </w:tc>
      </w:tr>
      <w:tr>
        <w:trPr>
          <w:trHeight w:val="168"/>
        </w:trPr>
        <w:tc>
          <w:tcPr>
            <w:tcW w:w="4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10,967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12,462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(26,277)</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(13,262)</w:t>
            </w:r>
          </w:p>
        </w:tc>
      </w:tr>
      <w:tr>
        <w:trPr>
          <w:trHeight w:val="168"/>
        </w:trPr>
        <w:tc>
          <w:tcPr>
            <w:tcW w:w="4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Accrued Federal income taxes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(5,102)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(28,745)</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(13,901)</w:t>
            </w:r>
          </w:p>
        </w:tc>
      </w:tr>
      <w:tr>
        <w:trPr>
          <w:trHeight w:val="168"/>
        </w:trPr>
        <w:tc>
          <w:tcPr>
            <w:tcW w:w="4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(1,256)</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w:t>
            </w:r>
          </w:p>
        </w:tc>
      </w:tr>
      <w:tr>
        <w:trPr>
          <w:trHeight w:val="336"/>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Net cash used for operating activities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(30,108)</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(88,752)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(100,127)</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(136,868)</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to property and equipment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(15,615)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(33,301)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(36,818)</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(68,513)</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disposal of assets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17,996</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paid in acquisition of Puerto</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Rico stores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(24,846)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(24,846)</w:t>
            </w:r>
          </w:p>
        </w:tc>
      </w:tr>
      <w:tr>
        <w:trPr>
          <w:trHeight w:val="336"/>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Net cash used for investing activities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(15,615)</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(58,147)</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(36,818)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(75,363)</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Advances from Parent and other divisions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60,883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120,455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158,914</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231,719</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book overdrafts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48,248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4,752</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27,108</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 to Parent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(10,716)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(12,076)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(32,252)</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(36,192)</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Principal payments on capital lease</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obligations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(1,698)</w:t>
            </w: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(1,498)</w:t>
            </w:r>
          </w:p>
        </w:tc>
      </w:tr>
      <w:tr>
        <w:trPr>
          <w:trHeight w:val="336"/>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w w:val="99"/>
              </w:rPr>
              <w:t>Net cash provided by financing activities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46,927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156,274</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129,716</w:t>
            </w:r>
          </w:p>
        </w:tc>
        <w:tc>
          <w:tcPr>
            <w:tcW w:w="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221,137</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9,375</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(7,229)</w:t>
            </w:r>
          </w:p>
        </w:tc>
        <w:tc>
          <w:tcPr>
            <w:tcW w:w="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8,906</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13,873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7,841</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22,306</w:t>
            </w:r>
          </w:p>
        </w:tc>
        <w:tc>
          <w:tcPr>
            <w:tcW w:w="8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8,310</w:t>
            </w:r>
          </w:p>
        </w:tc>
      </w:tr>
    </w:tbl>
    <w:p>
      <w:pPr>
        <w:sectPr>
          <w:pgSz w:w="11900" w:h="16838" w:orient="portrait"/>
          <w:cols w:equalWidth="0" w:num="1">
            <w:col w:w="10239"/>
          </w:cols>
          <w:pgMar w:left="220" w:top="303"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15,077</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17,216</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15,077</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17,216</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information:</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2,501</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591</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5,971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11,413</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31,254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34,926</w:t>
            </w:r>
          </w:p>
        </w:tc>
      </w:tr>
    </w:tbl>
    <w:p>
      <w:pPr>
        <w:spacing w:after="0" w:line="173" w:lineRule="exact"/>
        <w:rPr>
          <w:sz w:val="20"/>
          <w:szCs w:val="20"/>
          <w:color w:val="auto"/>
        </w:rPr>
      </w:pPr>
    </w:p>
    <w:p>
      <w:pPr>
        <w:ind w:left="100" w:right="3319" w:hanging="86"/>
        <w:spacing w:after="0" w:line="234" w:lineRule="auto"/>
        <w:rPr>
          <w:sz w:val="20"/>
          <w:szCs w:val="20"/>
          <w:color w:val="auto"/>
        </w:rPr>
      </w:pPr>
      <w:r>
        <w:rPr>
          <w:rFonts w:ascii="Courier New" w:cs="Courier New" w:eastAsia="Courier New" w:hAnsi="Courier New"/>
          <w:sz w:val="15"/>
          <w:szCs w:val="15"/>
          <w:color w:val="auto"/>
        </w:rPr>
        <w:t>See accompanying accountants' review report and notes to consolidated financial statements.</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MARSHALLS OF ROSEVILLE, MINN., INC.</w:t>
      </w:r>
    </w:p>
    <w:p>
      <w:pPr>
        <w:ind w:left="360"/>
        <w:spacing w:after="0" w:line="237" w:lineRule="auto"/>
        <w:rPr>
          <w:sz w:val="20"/>
          <w:szCs w:val="20"/>
          <w:color w:val="auto"/>
        </w:rPr>
      </w:pPr>
      <w:r>
        <w:rPr>
          <w:rFonts w:ascii="Courier New" w:cs="Courier New" w:eastAsia="Courier New" w:hAnsi="Courier New"/>
          <w:sz w:val="15"/>
          <w:szCs w:val="15"/>
          <w:color w:val="auto"/>
        </w:rPr>
        <w:t>(a wholly-owned subsidiary of Melville Corporation)</w:t>
      </w:r>
    </w:p>
    <w:p>
      <w:pPr>
        <w:spacing w:after="0" w:line="167"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September 30, 1995 and October 1, 1994</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3" w:lineRule="exact"/>
        <w:rPr>
          <w:sz w:val="20"/>
          <w:szCs w:val="20"/>
          <w:color w:val="auto"/>
        </w:rPr>
      </w:pPr>
    </w:p>
    <w:p>
      <w:pPr>
        <w:jc w:val="both"/>
        <w:ind w:left="360" w:right="4379" w:hanging="174"/>
        <w:spacing w:after="0" w:line="236" w:lineRule="auto"/>
        <w:rPr>
          <w:sz w:val="20"/>
          <w:szCs w:val="20"/>
          <w:color w:val="auto"/>
        </w:rPr>
      </w:pPr>
      <w:r>
        <w:rPr>
          <w:rFonts w:ascii="Courier New" w:cs="Courier New" w:eastAsia="Courier New" w:hAnsi="Courier New"/>
          <w:sz w:val="15"/>
          <w:szCs w:val="15"/>
          <w:color w:val="auto"/>
        </w:rPr>
        <w:t>The unaudited</w:t>
      </w:r>
      <w:r>
        <w:rPr>
          <w:sz w:val="20"/>
          <w:szCs w:val="20"/>
          <w:color w:val="auto"/>
        </w:rPr>
        <w:t xml:space="preserve"> </w:t>
      </w:r>
      <w:r>
        <w:rPr>
          <w:rFonts w:ascii="Courier New" w:cs="Courier New" w:eastAsia="Courier New" w:hAnsi="Courier New"/>
          <w:sz w:val="15"/>
          <w:szCs w:val="15"/>
          <w:color w:val="auto"/>
        </w:rPr>
        <w:t>consolidated financial statements include those of Marshalls of Roseville, Minn., Inc., a wholly-owned subsidiary of Melville Corporation (the "Parent") and all of its retail subsidiaries doing business as Marshalls. All intercompany balances and transactions between the consolidated entities have been eliminated.</w:t>
      </w:r>
    </w:p>
    <w:p>
      <w:pPr>
        <w:spacing w:after="0" w:line="175" w:lineRule="exact"/>
        <w:rPr>
          <w:sz w:val="20"/>
          <w:szCs w:val="20"/>
          <w:color w:val="auto"/>
        </w:rPr>
      </w:pPr>
    </w:p>
    <w:p>
      <w:pPr>
        <w:jc w:val="both"/>
        <w:ind w:left="360" w:right="4379" w:hanging="174"/>
        <w:spacing w:after="0" w:line="236" w:lineRule="auto"/>
        <w:rPr>
          <w:sz w:val="20"/>
          <w:szCs w:val="20"/>
          <w:color w:val="auto"/>
        </w:rPr>
      </w:pPr>
      <w:r>
        <w:rPr>
          <w:rFonts w:ascii="Courier New" w:cs="Courier New" w:eastAsia="Courier New" w:hAnsi="Courier New"/>
          <w:sz w:val="15"/>
          <w:szCs w:val="15"/>
          <w:color w:val="auto"/>
        </w:rPr>
        <w:t>In the</w:t>
      </w:r>
      <w:r>
        <w:rPr>
          <w:sz w:val="20"/>
          <w:szCs w:val="20"/>
          <w:color w:val="auto"/>
        </w:rPr>
        <w:t xml:space="preserve"> </w:t>
      </w:r>
      <w:r>
        <w:rPr>
          <w:rFonts w:ascii="Courier New" w:cs="Courier New" w:eastAsia="Courier New" w:hAnsi="Courier New"/>
          <w:sz w:val="15"/>
          <w:szCs w:val="15"/>
          <w:color w:val="auto"/>
        </w:rPr>
        <w:t>opinion of the Company's management, these unaudited consolidated financial statements reflect all adjustments (which include only normal and recurring adjustments) necessary to present fairly the financial position and results of operations for such periods. Results of operations for interim periods are not necessarily indicative of results that might be achieved for the entire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 of Puerto Rico Stores</w:t>
      </w:r>
    </w:p>
    <w:p>
      <w:pPr>
        <w:spacing w:after="0" w:line="173" w:lineRule="exact"/>
        <w:rPr>
          <w:sz w:val="20"/>
          <w:szCs w:val="20"/>
          <w:color w:val="auto"/>
        </w:rPr>
      </w:pPr>
    </w:p>
    <w:p>
      <w:pPr>
        <w:jc w:val="both"/>
        <w:ind w:left="360" w:right="4379" w:hanging="174"/>
        <w:spacing w:after="0" w:line="236" w:lineRule="auto"/>
        <w:rPr>
          <w:sz w:val="20"/>
          <w:szCs w:val="20"/>
          <w:color w:val="auto"/>
        </w:rPr>
      </w:pPr>
      <w:r>
        <w:rPr>
          <w:rFonts w:ascii="Courier New" w:cs="Courier New" w:eastAsia="Courier New" w:hAnsi="Courier New"/>
          <w:sz w:val="15"/>
          <w:szCs w:val="15"/>
          <w:color w:val="auto"/>
        </w:rPr>
        <w:t>During 1994,</w:t>
      </w:r>
      <w:r>
        <w:rPr>
          <w:sz w:val="20"/>
          <w:szCs w:val="20"/>
          <w:color w:val="auto"/>
        </w:rPr>
        <w:t xml:space="preserve"> </w:t>
      </w:r>
      <w:r>
        <w:rPr>
          <w:rFonts w:ascii="Courier New" w:cs="Courier New" w:eastAsia="Courier New" w:hAnsi="Courier New"/>
          <w:sz w:val="15"/>
          <w:szCs w:val="15"/>
          <w:color w:val="auto"/>
        </w:rPr>
        <w:t>the Company acquired the assets of twelve retail stores located in Puerto Rico for a cash price of $24.8 million. This acquisition was accounted for using the purchase method of accounting and resulted in goodwill of $15.5 million. Results of operations are included in the consolidated financial statements of the Company from the date of</w:t>
      </w:r>
    </w:p>
    <w:p>
      <w:pPr>
        <w:spacing w:after="0" w:line="7" w:lineRule="exact"/>
        <w:rPr>
          <w:sz w:val="20"/>
          <w:szCs w:val="20"/>
          <w:color w:val="auto"/>
        </w:rPr>
      </w:pPr>
    </w:p>
    <w:p>
      <w:pPr>
        <w:ind w:left="360" w:right="4379"/>
        <w:spacing w:after="0" w:line="235" w:lineRule="auto"/>
        <w:rPr>
          <w:sz w:val="20"/>
          <w:szCs w:val="20"/>
          <w:color w:val="auto"/>
        </w:rPr>
      </w:pPr>
      <w:r>
        <w:rPr>
          <w:rFonts w:ascii="Courier New" w:cs="Courier New" w:eastAsia="Courier New" w:hAnsi="Courier New"/>
          <w:sz w:val="15"/>
          <w:szCs w:val="15"/>
          <w:color w:val="auto"/>
        </w:rPr>
        <w:t>acquisition. Pro forma financial results have not been presented for the effect of this transaction since the operations are not material to the consolidated financial results of the Company.</w:t>
      </w:r>
    </w:p>
    <w:p>
      <w:pPr>
        <w:sectPr>
          <w:pgSz w:w="11900" w:h="16838" w:orient="portrait"/>
          <w:cols w:equalWidth="0" w:num="1">
            <w:col w:w="10239"/>
          </w:cols>
          <w:pgMar w:left="220" w:top="303" w:right="1440" w:bottom="1440" w:gutter="0" w:footer="0" w:header="0"/>
        </w:sectPr>
      </w:pPr>
    </w:p>
    <w:bookmarkStart w:id="15" w:name="page16"/>
    <w:bookmarkEnd w:id="15"/>
    <w:p>
      <w:pPr>
        <w:spacing w:after="0" w:line="159"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PRO FORMA CONDENSED CONSOLIDATED FINANCIAL STATEMENTS</w:t>
      </w:r>
    </w:p>
    <w:p>
      <w:pPr>
        <w:jc w:val="center"/>
        <w:ind w:right="437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379"/>
        <w:spacing w:after="0" w:line="474" w:lineRule="auto"/>
        <w:rPr>
          <w:sz w:val="20"/>
          <w:szCs w:val="20"/>
          <w:color w:val="auto"/>
        </w:rPr>
      </w:pPr>
      <w:r>
        <w:rPr>
          <w:rFonts w:ascii="Courier New" w:cs="Courier New" w:eastAsia="Courier New" w:hAnsi="Courier New"/>
          <w:sz w:val="15"/>
          <w:szCs w:val="15"/>
          <w:color w:val="auto"/>
        </w:rPr>
        <w:t>On November 17, 1995, The TJX Companies, Inc., (the Company) acquired the stock of Marshalls of Roseville, Minn., Inc. (Marshalls) from Melville Corporation. Marshalls and its wholly owned subsidiaries, operate the chain of Marshalls off-price apparel retail stores. On November 17, 1995, the Company paid $550 million ($375 million in cash and $175 million in junior convertible preferred stock), and assumed certain liabilities, based on an estimated October 31, 1995 balance sheet of the Marshalls division. The final purchase price, before acquisition costs, is subject to change based on the actual balance sheet of Marshalls as of November 17, 1995, but cannot exceed $600 million. The Company expects the actual purchase price, before acquisition costs, based on Marshalls actual balance sheet as of November 17 will approximate $600 million.</w:t>
      </w:r>
    </w:p>
    <w:p>
      <w:pPr>
        <w:spacing w:after="0" w:line="348" w:lineRule="exact"/>
        <w:rPr>
          <w:sz w:val="20"/>
          <w:szCs w:val="20"/>
          <w:color w:val="auto"/>
        </w:rPr>
      </w:pPr>
    </w:p>
    <w:p>
      <w:pPr>
        <w:ind w:right="4379" w:firstLine="87"/>
        <w:spacing w:after="0" w:line="473" w:lineRule="auto"/>
        <w:rPr>
          <w:sz w:val="20"/>
          <w:szCs w:val="20"/>
          <w:color w:val="auto"/>
        </w:rPr>
      </w:pPr>
      <w:r>
        <w:rPr>
          <w:rFonts w:ascii="Courier New" w:cs="Courier New" w:eastAsia="Courier New" w:hAnsi="Courier New"/>
          <w:sz w:val="15"/>
          <w:szCs w:val="15"/>
          <w:color w:val="auto"/>
        </w:rPr>
        <w:t>The pro forma condensed consolidated financial statements assume the pro forma purchase price is based on Marshalls historical balance sheet as of September 30, 1995. Marshalls net assets as of September 30, 1995 are less than those of November 17, 1995 due to seasonal working capital requirements and accordingly the pro forma condensed consolidated financial statements reflect a lower purchase price for pro forma purposes of $536 million, including acquisition costs.</w:t>
      </w:r>
    </w:p>
    <w:p>
      <w:pPr>
        <w:spacing w:after="0" w:line="180" w:lineRule="exact"/>
        <w:rPr>
          <w:sz w:val="20"/>
          <w:szCs w:val="20"/>
          <w:color w:val="auto"/>
        </w:rPr>
      </w:pPr>
    </w:p>
    <w:p>
      <w:pPr>
        <w:ind w:right="4379"/>
        <w:spacing w:after="0" w:line="474" w:lineRule="auto"/>
        <w:rPr>
          <w:sz w:val="20"/>
          <w:szCs w:val="20"/>
          <w:color w:val="auto"/>
        </w:rPr>
      </w:pPr>
      <w:r>
        <w:rPr>
          <w:rFonts w:ascii="Courier New" w:cs="Courier New" w:eastAsia="Courier New" w:hAnsi="Courier New"/>
          <w:sz w:val="15"/>
          <w:szCs w:val="15"/>
          <w:color w:val="auto"/>
        </w:rPr>
        <w:t>The pro forma condensed consolidated balance sheet as of October 28, 1995, assumes the acquisition took place on that date, and is based on the unaudited historical balance sheet of the Company as of October 28, 1995 and the unaudited historical balance sheet of Marshalls as of September 30, 1995, a copy of which is included with this filing (the Company's fiscal year ends one month later than that of Marshalls). The pro forma adjustments eliminate the Marshalls assets and liabilities not acquired, record the pro forma purchase price of $536 million and allocate the pro forma purchase price to the assets acquired and the liabilities assumed based on their fair market value on date of acquisition. The Company believes the final allocation of purchase price will not differ significantly from the estimates included in the pro forma condensed consolidated financial statements. The acquisition has been accounted for under the purchase method of accounting.</w:t>
      </w:r>
    </w:p>
    <w:p>
      <w:pPr>
        <w:spacing w:after="0" w:line="349" w:lineRule="exact"/>
        <w:rPr>
          <w:sz w:val="20"/>
          <w:szCs w:val="20"/>
          <w:color w:val="auto"/>
        </w:rPr>
      </w:pPr>
    </w:p>
    <w:p>
      <w:pPr>
        <w:ind w:right="4539"/>
        <w:spacing w:after="0" w:line="510" w:lineRule="auto"/>
        <w:rPr>
          <w:sz w:val="20"/>
          <w:szCs w:val="20"/>
          <w:color w:val="auto"/>
        </w:rPr>
      </w:pPr>
      <w:r>
        <w:rPr>
          <w:rFonts w:ascii="Courier New" w:cs="Courier New" w:eastAsia="Courier New" w:hAnsi="Courier New"/>
          <w:sz w:val="14"/>
          <w:szCs w:val="14"/>
          <w:color w:val="auto"/>
        </w:rPr>
        <w:t>The pro forma condensed consolidated statement of income for the nine months ended October 28, 1995 includes the unaudited historical statement of income of the Company as reported on Form 10Q for the quarter ended October 28, 1995 and the unaudited historical statement of operations for Marshalls for the nine months ended September 30, 1995 (copy included with this filing) adjusted for one month to present seasonal operating results</w:t>
      </w:r>
    </w:p>
    <w:p>
      <w:pPr>
        <w:sectPr>
          <w:pgSz w:w="11900" w:h="16998" w:orient="portrait"/>
          <w:cols w:equalWidth="0" w:num="1">
            <w:col w:w="10239"/>
          </w:cols>
          <w:pgMar w:left="220" w:top="135" w:right="1440" w:bottom="0" w:gutter="0" w:footer="0" w:header="0"/>
        </w:sectPr>
      </w:pPr>
    </w:p>
    <w:bookmarkStart w:id="16" w:name="page17"/>
    <w:bookmarkEnd w:id="16"/>
    <w:p>
      <w:pPr>
        <w:spacing w:after="0"/>
        <w:tabs>
          <w:tab w:leader="none" w:pos="4720" w:val="left"/>
        </w:tabs>
        <w:rPr>
          <w:sz w:val="20"/>
          <w:szCs w:val="20"/>
          <w:color w:val="auto"/>
        </w:rPr>
      </w:pPr>
      <w:r>
        <w:rPr>
          <w:rFonts w:ascii="Courier New" w:cs="Courier New" w:eastAsia="Courier New" w:hAnsi="Courier New"/>
          <w:sz w:val="15"/>
          <w:szCs w:val="15"/>
          <w:color w:val="auto"/>
        </w:rPr>
        <w:t>comparable with that of the Company (see Note 2(a)).</w:t>
      </w:r>
      <w:r>
        <w:rPr>
          <w:sz w:val="20"/>
          <w:szCs w:val="20"/>
          <w:color w:val="auto"/>
        </w:rPr>
        <w:tab/>
      </w:r>
      <w:r>
        <w:rPr>
          <w:rFonts w:ascii="Courier New" w:cs="Courier New" w:eastAsia="Courier New" w:hAnsi="Courier New"/>
          <w:sz w:val="14"/>
          <w:szCs w:val="14"/>
          <w:color w:val="auto"/>
        </w:rPr>
        <w:t>The pro forma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 of income for the year ended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26, 1995 includes the audited historical results of the</w:t>
      </w:r>
    </w:p>
    <w:p>
      <w:pPr>
        <w:spacing w:after="0" w:line="173" w:lineRule="exact"/>
        <w:rPr>
          <w:sz w:val="20"/>
          <w:szCs w:val="20"/>
          <w:color w:val="auto"/>
        </w:rPr>
      </w:pPr>
    </w:p>
    <w:p>
      <w:pPr>
        <w:ind w:right="5260"/>
        <w:spacing w:after="0" w:line="261" w:lineRule="auto"/>
        <w:rPr>
          <w:sz w:val="20"/>
          <w:szCs w:val="20"/>
          <w:color w:val="auto"/>
        </w:rPr>
      </w:pPr>
      <w:r>
        <w:rPr>
          <w:rFonts w:ascii="Courier New" w:cs="Courier New" w:eastAsia="Courier New" w:hAnsi="Courier New"/>
          <w:sz w:val="14"/>
          <w:szCs w:val="14"/>
          <w:color w:val="auto"/>
        </w:rPr>
        <w:t>Company as reported on Form 10-K for the year ended January 26, 1995, restated to reflect the Company's September 1995 sale of its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Hit or Miss division as a discontinued operation, and includes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Marshalls historical audited statement of operations for the year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1994 (copy included with this filing) adjusted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one month to present a comparable period with that of the</w:t>
      </w:r>
    </w:p>
    <w:p>
      <w:pPr>
        <w:spacing w:after="0" w:line="166"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Company (see Note 2(a)).</w:t>
      </w:r>
      <w:r>
        <w:rPr>
          <w:sz w:val="20"/>
          <w:szCs w:val="20"/>
          <w:color w:val="auto"/>
        </w:rPr>
        <w:tab/>
      </w:r>
      <w:r>
        <w:rPr>
          <w:rFonts w:ascii="Courier New" w:cs="Courier New" w:eastAsia="Courier New" w:hAnsi="Courier New"/>
          <w:sz w:val="14"/>
          <w:szCs w:val="14"/>
          <w:color w:val="auto"/>
        </w:rPr>
        <w:t>The pro forma adjustments to both income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reflect the impact of the transaction as if it occurred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January 30, 1994.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pro forma condensed consolidated financial statements have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been prepared for information purposes only and do not purport 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 what necessarily would have occurred had the entities been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since the applicable date or what results may be in the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future.</w:t>
      </w:r>
      <w:r>
        <w:rPr>
          <w:sz w:val="20"/>
          <w:szCs w:val="20"/>
          <w:color w:val="auto"/>
        </w:rPr>
        <w:tab/>
      </w:r>
      <w:r>
        <w:rPr>
          <w:rFonts w:ascii="Courier New" w:cs="Courier New" w:eastAsia="Courier New" w:hAnsi="Courier New"/>
          <w:sz w:val="14"/>
          <w:szCs w:val="14"/>
          <w:color w:val="auto"/>
        </w:rPr>
        <w:t>The accompanying pro forma condensed consolidated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should be read in conjunction with the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financial statements of the Company and the historical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of Marshalls included with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THE TJX COMPANIES, INC.</w:t>
      </w:r>
    </w:p>
    <w:p>
      <w:pPr>
        <w:ind w:left="100"/>
        <w:spacing w:after="0" w:line="237" w:lineRule="auto"/>
        <w:rPr>
          <w:sz w:val="20"/>
          <w:szCs w:val="20"/>
          <w:color w:val="auto"/>
        </w:rPr>
      </w:pPr>
      <w:r>
        <w:rPr>
          <w:rFonts w:ascii="Courier New" w:cs="Courier New" w:eastAsia="Courier New" w:hAnsi="Courier New"/>
          <w:sz w:val="15"/>
          <w:szCs w:val="15"/>
          <w:color w:val="auto"/>
        </w:rPr>
        <w:t>PRO FORMA CONDENSED CONSOLIDATED BALANCE SHEET</w:t>
      </w:r>
    </w:p>
    <w:p>
      <w:pPr>
        <w:ind w:left="3500"/>
        <w:spacing w:after="0" w:line="238" w:lineRule="auto"/>
        <w:rPr>
          <w:sz w:val="20"/>
          <w:szCs w:val="20"/>
          <w:color w:val="auto"/>
        </w:rPr>
      </w:pPr>
      <w:r>
        <w:rPr>
          <w:rFonts w:ascii="Courier New" w:cs="Courier New" w:eastAsia="Courier New" w:hAnsi="Courier New"/>
          <w:sz w:val="15"/>
          <w:szCs w:val="15"/>
          <w:color w:val="auto"/>
        </w:rPr>
        <w:t>AS OF OCTOBER 28, 1995</w:t>
      </w:r>
    </w:p>
    <w:p>
      <w:pPr>
        <w:ind w:left="39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(In Thousands)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505"/>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2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Historical</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68"/>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The TJX</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w w:val="93"/>
              </w:rPr>
              <w:t>Pro Forma</w:t>
            </w:r>
          </w:p>
        </w:tc>
      </w:tr>
      <w:tr>
        <w:trPr>
          <w:trHeight w:val="168"/>
        </w:trPr>
        <w:tc>
          <w:tcPr>
            <w:tcW w:w="2940" w:type="dxa"/>
            <w:vAlign w:val="bottom"/>
          </w:tcPr>
          <w:p>
            <w:pPr>
              <w:spacing w:after="0"/>
              <w:rPr>
                <w:sz w:val="14"/>
                <w:szCs w:val="14"/>
                <w:color w:val="auto"/>
              </w:rPr>
            </w:pPr>
          </w:p>
        </w:tc>
        <w:tc>
          <w:tcPr>
            <w:tcW w:w="1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Companies, Inc.</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Marshalls</w:t>
            </w:r>
          </w:p>
        </w:tc>
        <w:tc>
          <w:tcPr>
            <w:tcW w:w="3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Adjustments</w:t>
            </w:r>
          </w:p>
        </w:tc>
        <w:tc>
          <w:tcPr>
            <w:tcW w:w="440" w:type="dxa"/>
            <w:vAlign w:val="bottom"/>
          </w:tcPr>
          <w:p>
            <w:pPr>
              <w:spacing w:after="0"/>
              <w:rPr>
                <w:sz w:val="14"/>
                <w:szCs w:val="14"/>
                <w:color w:val="auto"/>
              </w:rPr>
            </w:pPr>
          </w:p>
        </w:tc>
        <w:tc>
          <w:tcPr>
            <w:tcW w:w="34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26,902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15,077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(13,077) (1)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28,902</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135,901</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45,058</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156,381</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Merchandise inventories</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1,111,651</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607,429</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24,381</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w w:val="93"/>
              </w:rPr>
              <w:t>1,743,461</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Prepaid expenses</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31,367</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9,004</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35,319</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receivable</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18,714</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(18,714)</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1,305,821</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695,282</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(37,040)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w w:val="93"/>
              </w:rPr>
              <w:t>1,964,063</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Property, net</w:t>
            </w:r>
          </w:p>
        </w:tc>
        <w:tc>
          <w:tcPr>
            <w:tcW w:w="66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481,885</w:t>
            </w:r>
          </w:p>
        </w:tc>
        <w:tc>
          <w:tcPr>
            <w:tcW w:w="2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444,359</w:t>
            </w:r>
          </w:p>
        </w:tc>
        <w:tc>
          <w:tcPr>
            <w:tcW w:w="30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(114,485)</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24"/>
                <w:szCs w:val="24"/>
                <w:color w:val="auto"/>
              </w:rPr>
            </w:pPr>
          </w:p>
        </w:tc>
        <w:tc>
          <w:tcPr>
            <w:tcW w:w="316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811,759</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6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27,580</w:t>
            </w:r>
          </w:p>
        </w:tc>
        <w:tc>
          <w:tcPr>
            <w:tcW w:w="2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21,354</w:t>
            </w:r>
          </w:p>
        </w:tc>
        <w:tc>
          <w:tcPr>
            <w:tcW w:w="30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(21,354)</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24"/>
                <w:szCs w:val="24"/>
                <w:color w:val="auto"/>
              </w:rPr>
            </w:pPr>
          </w:p>
        </w:tc>
        <w:tc>
          <w:tcPr>
            <w:tcW w:w="316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27,580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trademarks,</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of amortization</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87,993</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28,652</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107,608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224,253</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1,903,279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1,189,647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(65,271)</w:t>
            </w:r>
          </w:p>
        </w:tc>
        <w:tc>
          <w:tcPr>
            <w:tcW w:w="44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3"/>
              </w:rPr>
              <w:t>3,027,655</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Short-term debt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97,699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(14,388) (1)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83,311</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installments of</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56,048</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56,048</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407,778</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243,688</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651,466</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expenses and other</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308,308</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137,981</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207,095</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653,384</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Due to Parent</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154,582</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(154,582)</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869,833</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536,251</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38,125</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w w:val="93"/>
              </w:rPr>
              <w:t>1,444,209</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Long-term debt exclusive of</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installments</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410,566</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375,000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785,566</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6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34,780</w:t>
            </w:r>
          </w:p>
        </w:tc>
        <w:tc>
          <w:tcPr>
            <w:tcW w:w="22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19,259</w:t>
            </w:r>
          </w:p>
        </w:tc>
        <w:tc>
          <w:tcPr>
            <w:tcW w:w="30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(19,259)</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34,780Other long-term liabilities</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Convertible preferred stock</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face value</w:t>
            </w:r>
          </w:p>
        </w:tc>
        <w:tc>
          <w:tcPr>
            <w:tcW w:w="6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107,500</w:t>
            </w:r>
          </w:p>
        </w:tc>
        <w:tc>
          <w:tcPr>
            <w:tcW w:w="2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175,000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w:t>
            </w:r>
          </w:p>
        </w:tc>
        <w:tc>
          <w:tcPr>
            <w:tcW w:w="260" w:type="dxa"/>
            <w:vAlign w:val="bottom"/>
          </w:tcPr>
          <w:p>
            <w:pPr>
              <w:spacing w:after="0"/>
              <w:rPr>
                <w:sz w:val="14"/>
                <w:szCs w:val="14"/>
                <w:color w:val="auto"/>
              </w:rPr>
            </w:pPr>
          </w:p>
        </w:tc>
        <w:tc>
          <w:tcPr>
            <w:tcW w:w="3160" w:type="dxa"/>
            <w:vAlign w:val="bottom"/>
          </w:tcPr>
          <w:p>
            <w:pPr>
              <w:jc w:val="right"/>
              <w:ind w:right="2307"/>
              <w:spacing w:after="0" w:line="168" w:lineRule="exact"/>
              <w:rPr>
                <w:sz w:val="20"/>
                <w:szCs w:val="20"/>
                <w:color w:val="auto"/>
              </w:rPr>
            </w:pPr>
            <w:r>
              <w:rPr>
                <w:rFonts w:ascii="Courier New" w:cs="Courier New" w:eastAsia="Courier New" w:hAnsi="Courier New"/>
                <w:sz w:val="15"/>
                <w:szCs w:val="15"/>
                <w:color w:val="auto"/>
              </w:rPr>
              <w:t>282,500</w:t>
            </w:r>
          </w:p>
        </w:tc>
      </w:tr>
    </w:tbl>
    <w:p>
      <w:pPr>
        <w:sectPr>
          <w:pgSz w:w="11900" w:h="16838" w:orient="portrait"/>
          <w:cols w:equalWidth="0" w:num="1">
            <w:col w:w="11040"/>
          </w:cols>
          <w:pgMar w:left="220" w:top="303" w:right="6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72,419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72,419</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267,743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152,839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(152,839)</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267,743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140,438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467,358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(467,358)</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140,438</w:t>
            </w:r>
          </w:p>
        </w:tc>
      </w:tr>
      <w:tr>
        <w:trPr>
          <w:trHeight w:val="168"/>
        </w:trPr>
        <w:tc>
          <w:tcPr>
            <w:tcW w:w="31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588,100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620,549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(445,549)</w:t>
            </w:r>
          </w:p>
        </w:tc>
        <w:tc>
          <w:tcPr>
            <w:tcW w:w="4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763,100</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TOTAL LIABILITIES AND</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$1,903,279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$1,189,647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(65,271)</w:t>
            </w:r>
          </w:p>
        </w:tc>
        <w:tc>
          <w:tcPr>
            <w:tcW w:w="4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$3,027,655</w:t>
            </w:r>
          </w:p>
        </w:tc>
      </w:tr>
    </w:tbl>
    <w:p>
      <w:pPr>
        <w:spacing w:after="0" w:line="200" w:lineRule="exact"/>
        <w:rPr>
          <w:sz w:val="20"/>
          <w:szCs w:val="20"/>
          <w:color w:val="auto"/>
        </w:rPr>
      </w:pPr>
    </w:p>
    <w:p>
      <w:pPr>
        <w:spacing w:after="0" w:line="309" w:lineRule="exact"/>
        <w:rPr>
          <w:sz w:val="20"/>
          <w:szCs w:val="20"/>
          <w:color w:val="auto"/>
        </w:rPr>
      </w:pPr>
    </w:p>
    <w:p>
      <w:pPr>
        <w:ind w:left="100" w:right="4199" w:hanging="86"/>
        <w:spacing w:after="0" w:line="234" w:lineRule="auto"/>
        <w:rPr>
          <w:sz w:val="20"/>
          <w:szCs w:val="20"/>
          <w:color w:val="auto"/>
        </w:rPr>
      </w:pPr>
      <w:r>
        <w:rPr>
          <w:rFonts w:ascii="Courier New" w:cs="Courier New" w:eastAsia="Courier New" w:hAnsi="Courier New"/>
          <w:sz w:val="15"/>
          <w:szCs w:val="15"/>
          <w:color w:val="auto"/>
        </w:rPr>
        <w:t>See notes to the unaudited pro forma condensed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TJX COMPANIES, INC.</w:t>
      </w:r>
    </w:p>
    <w:p>
      <w:pPr>
        <w:ind w:left="100"/>
        <w:spacing w:after="0" w:line="237" w:lineRule="auto"/>
        <w:rPr>
          <w:sz w:val="20"/>
          <w:szCs w:val="20"/>
          <w:color w:val="auto"/>
        </w:rPr>
      </w:pPr>
      <w:r>
        <w:rPr>
          <w:rFonts w:ascii="Courier New" w:cs="Courier New" w:eastAsia="Courier New" w:hAnsi="Courier New"/>
          <w:sz w:val="15"/>
          <w:szCs w:val="15"/>
          <w:color w:val="auto"/>
        </w:rPr>
        <w:t>PRO FORMA CONDENSED CONSOLIDATED STATEMENT OF INCOME</w:t>
      </w:r>
    </w:p>
    <w:p>
      <w:pPr>
        <w:jc w:val="center"/>
        <w:ind w:right="1479"/>
        <w:spacing w:after="0" w:line="238" w:lineRule="auto"/>
        <w:rPr>
          <w:sz w:val="20"/>
          <w:szCs w:val="20"/>
          <w:color w:val="auto"/>
        </w:rPr>
      </w:pPr>
      <w:r>
        <w:rPr>
          <w:rFonts w:ascii="Courier New" w:cs="Courier New" w:eastAsia="Courier New" w:hAnsi="Courier New"/>
          <w:sz w:val="15"/>
          <w:szCs w:val="15"/>
          <w:color w:val="auto"/>
        </w:rPr>
        <w:t>FOR THE NINE MONTHS ENDED OCTOBER 28, 1995</w:t>
      </w:r>
    </w:p>
    <w:p>
      <w:pPr>
        <w:jc w:val="center"/>
        <w:ind w:right="155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88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Historical</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6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The TJX</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080" w:type="dxa"/>
            <w:vAlign w:val="bottom"/>
          </w:tcPr>
          <w:p>
            <w:pPr>
              <w:spacing w:after="0"/>
              <w:rPr>
                <w:sz w:val="14"/>
                <w:szCs w:val="14"/>
                <w:color w:val="auto"/>
              </w:rPr>
            </w:pPr>
          </w:p>
        </w:tc>
        <w:tc>
          <w:tcPr>
            <w:tcW w:w="1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Companies, Inc.</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Marshalls</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44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Consolidated</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$2,692,047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1,852,245</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74,164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(2a)</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$4,618,456</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Cost of sales, including</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34,641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(2a)</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buying and occupancy costs</w:t>
            </w: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2,040,124</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1,561,382</w:t>
            </w:r>
          </w:p>
        </w:tc>
        <w:tc>
          <w:tcPr>
            <w:tcW w:w="4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(7,575) (2c)</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3,628,572</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8,448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(2a)</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534,079</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355,867</w:t>
            </w:r>
          </w:p>
        </w:tc>
        <w:tc>
          <w:tcPr>
            <w:tcW w:w="4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(2d)</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900,412</w:t>
            </w:r>
          </w:p>
        </w:tc>
      </w:tr>
      <w:tr>
        <w:trPr>
          <w:trHeight w:val="336"/>
        </w:trPr>
        <w:tc>
          <w:tcPr>
            <w:tcW w:w="3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(2a)</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29,562</w:t>
            </w:r>
          </w:p>
        </w:tc>
        <w:tc>
          <w:tcPr>
            <w:tcW w:w="22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6,030</w:t>
            </w:r>
          </w:p>
        </w:tc>
        <w:tc>
          <w:tcPr>
            <w:tcW w:w="4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22,088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(2b)</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57,698</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operations before income taxes</w:t>
            </w: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88,282</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(71,034)</w:t>
            </w:r>
          </w:p>
        </w:tc>
        <w:tc>
          <w:tcPr>
            <w:tcW w:w="4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14,526</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31,774</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w:t>
            </w: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37,182</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(28,369)</w:t>
            </w:r>
          </w:p>
        </w:tc>
        <w:tc>
          <w:tcPr>
            <w:tcW w:w="4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5,810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(2e)</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14,623</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operations</w:t>
            </w: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51,100</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(42,665)</w:t>
            </w:r>
          </w:p>
        </w:tc>
        <w:tc>
          <w:tcPr>
            <w:tcW w:w="4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8,716</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17,151</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(5,367)</w:t>
            </w:r>
          </w:p>
        </w:tc>
        <w:tc>
          <w:tcPr>
            <w:tcW w:w="22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(7,875) (2f)</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(13,242)</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operations available to</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shareholders</w:t>
            </w: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45,733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(42,665)</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841</w:t>
            </w:r>
          </w:p>
        </w:tc>
        <w:tc>
          <w:tcPr>
            <w:tcW w:w="4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3,909</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operations per share</w:t>
            </w: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.63</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.05</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Number of common shares for</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 share computations</w:t>
            </w:r>
          </w:p>
        </w:tc>
        <w:tc>
          <w:tcPr>
            <w:tcW w:w="16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72,484,535</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2,024,292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(2g)</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74,508,827</w:t>
            </w:r>
          </w:p>
        </w:tc>
      </w:tr>
    </w:tbl>
    <w:p>
      <w:pPr>
        <w:spacing w:after="0" w:line="341" w:lineRule="exact"/>
        <w:rPr>
          <w:sz w:val="20"/>
          <w:szCs w:val="20"/>
          <w:color w:val="auto"/>
        </w:rPr>
      </w:pPr>
    </w:p>
    <w:p>
      <w:pPr>
        <w:ind w:left="100" w:right="4199" w:hanging="86"/>
        <w:spacing w:after="0" w:line="234" w:lineRule="auto"/>
        <w:rPr>
          <w:sz w:val="20"/>
          <w:szCs w:val="20"/>
          <w:color w:val="auto"/>
        </w:rPr>
      </w:pPr>
      <w:r>
        <w:rPr>
          <w:rFonts w:ascii="Courier New" w:cs="Courier New" w:eastAsia="Courier New" w:hAnsi="Courier New"/>
          <w:sz w:val="15"/>
          <w:szCs w:val="15"/>
          <w:color w:val="auto"/>
        </w:rPr>
        <w:t>See notes to the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THE TJX COMPANIES, INC.</w:t>
      </w:r>
    </w:p>
    <w:p>
      <w:pPr>
        <w:ind w:left="100"/>
        <w:spacing w:after="0" w:line="237" w:lineRule="auto"/>
        <w:rPr>
          <w:sz w:val="20"/>
          <w:szCs w:val="20"/>
          <w:color w:val="auto"/>
        </w:rPr>
      </w:pPr>
      <w:r>
        <w:rPr>
          <w:rFonts w:ascii="Courier New" w:cs="Courier New" w:eastAsia="Courier New" w:hAnsi="Courier New"/>
          <w:sz w:val="15"/>
          <w:szCs w:val="15"/>
          <w:color w:val="auto"/>
        </w:rPr>
        <w:t>PRO FORMA CONDENSED CONSOLIDATED STATEMENT OF INCOME</w:t>
      </w:r>
    </w:p>
    <w:p>
      <w:pPr>
        <w:ind w:left="2540"/>
        <w:spacing w:after="0" w:line="238" w:lineRule="auto"/>
        <w:rPr>
          <w:sz w:val="20"/>
          <w:szCs w:val="20"/>
          <w:color w:val="auto"/>
        </w:rPr>
      </w:pPr>
      <w:r>
        <w:rPr>
          <w:rFonts w:ascii="Courier New" w:cs="Courier New" w:eastAsia="Courier New" w:hAnsi="Courier New"/>
          <w:sz w:val="15"/>
          <w:szCs w:val="15"/>
          <w:color w:val="auto"/>
        </w:rPr>
        <w:t>FOR THE FISCAL YEAR ENDING JANUARY 28, 1995</w:t>
      </w:r>
    </w:p>
    <w:p>
      <w:pPr>
        <w:ind w:left="39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 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840" w:type="dxa"/>
            <w:vAlign w:val="bottom"/>
            <w:gridSpan w:val="2"/>
          </w:tcPr>
          <w:p>
            <w:pPr>
              <w:jc w:val="right"/>
              <w:ind w:right="747"/>
              <w:spacing w:after="0"/>
              <w:rPr>
                <w:sz w:val="20"/>
                <w:szCs w:val="20"/>
                <w:color w:val="auto"/>
              </w:rPr>
            </w:pPr>
            <w:r>
              <w:rPr>
                <w:rFonts w:ascii="Courier New" w:cs="Courier New" w:eastAsia="Courier New" w:hAnsi="Courier New"/>
                <w:sz w:val="15"/>
                <w:szCs w:val="15"/>
                <w:color w:val="auto"/>
              </w:rPr>
              <w:t>Historical</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The TJX</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980" w:type="dxa"/>
            <w:vAlign w:val="bottom"/>
          </w:tcPr>
          <w:p>
            <w:pPr>
              <w:spacing w:after="0"/>
              <w:rPr>
                <w:sz w:val="14"/>
                <w:szCs w:val="14"/>
                <w:color w:val="auto"/>
              </w:rPr>
            </w:pP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Companies, Inc.</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Marshalls</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4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$3,489,146</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$2,774,851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5,080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(2a)</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$6,269,077</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Cost of sales, including</w:t>
            </w: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19,459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(2a)</w:t>
            </w:r>
          </w:p>
        </w:tc>
        <w:tc>
          <w:tcPr>
            <w:tcW w:w="1140" w:type="dxa"/>
            <w:vAlign w:val="bottom"/>
          </w:tcPr>
          <w:p>
            <w:pPr>
              <w:spacing w:after="0"/>
              <w:rPr>
                <w:sz w:val="24"/>
                <w:szCs w:val="2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buying and occupancy costs</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2,643,323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2,139,817</w:t>
            </w:r>
          </w:p>
        </w:tc>
        <w:tc>
          <w:tcPr>
            <w:tcW w:w="22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(10,100) (2c)</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4,792,499</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2,648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(2a)</w:t>
            </w:r>
          </w:p>
        </w:tc>
        <w:tc>
          <w:tcPr>
            <w:tcW w:w="1140" w:type="dxa"/>
            <w:vAlign w:val="bottom"/>
          </w:tcPr>
          <w:p>
            <w:pPr>
              <w:spacing w:after="0"/>
              <w:rPr>
                <w:sz w:val="24"/>
                <w:szCs w:val="2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673,187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495,254</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2,690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(2d)</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1,173,779</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Realignment charge (credit)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(7,200)</w:t>
            </w:r>
          </w:p>
        </w:tc>
        <w:tc>
          <w:tcPr>
            <w:tcW w:w="22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(7,200)</w:t>
            </w:r>
          </w:p>
        </w:tc>
      </w:tr>
      <w:tr>
        <w:trPr>
          <w:trHeight w:val="336"/>
        </w:trPr>
        <w:tc>
          <w:tcPr>
            <w:tcW w:w="2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(2a)</w:t>
            </w:r>
          </w:p>
        </w:tc>
        <w:tc>
          <w:tcPr>
            <w:tcW w:w="114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24,484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1,778</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29,450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(2b)</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56,296</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operations before income taxes</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148,152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145,202</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(39,651)</w:t>
            </w:r>
          </w:p>
        </w:tc>
        <w:tc>
          <w:tcPr>
            <w:tcW w:w="4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253,703</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taxes</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61,573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55,351</w:t>
            </w:r>
          </w:p>
        </w:tc>
        <w:tc>
          <w:tcPr>
            <w:tcW w:w="22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(15,860) (2e)</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101,064</w:t>
            </w:r>
          </w:p>
        </w:tc>
      </w:tr>
    </w:tbl>
    <w:p>
      <w:pPr>
        <w:sectPr>
          <w:pgSz w:w="11900" w:h="16838" w:orient="portrait"/>
          <w:cols w:equalWidth="0" w:num="1">
            <w:col w:w="10239"/>
          </w:cols>
          <w:pgMar w:left="220" w:top="135" w:right="1440"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(loss) from continuing</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operations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82,579</w:t>
            </w:r>
          </w:p>
        </w:tc>
        <w:tc>
          <w:tcPr>
            <w:tcW w:w="3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89,851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(23,791)</w:t>
            </w:r>
          </w:p>
        </w:tc>
        <w:tc>
          <w:tcPr>
            <w:tcW w:w="5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152,639</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dividends</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(7,156)</w:t>
            </w:r>
          </w:p>
        </w:tc>
        <w:tc>
          <w:tcPr>
            <w:tcW w:w="360" w:type="dxa"/>
            <w:vAlign w:val="bottom"/>
          </w:tcPr>
          <w:p>
            <w:pPr>
              <w:spacing w:after="0"/>
              <w:rPr>
                <w:sz w:val="24"/>
                <w:szCs w:val="24"/>
                <w:color w:val="auto"/>
              </w:rPr>
            </w:pP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(10,953)</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(2f)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(18,109)</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from continuing operations</w:t>
            </w: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available to common</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shareholders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79,423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89,851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(34,744)</w:t>
            </w:r>
          </w:p>
        </w:tc>
        <w:tc>
          <w:tcPr>
            <w:tcW w:w="5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134,530</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from continuing operations</w:t>
            </w: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per share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common shares for per</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computations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73,467,003</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16,112,090</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(2g)</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89,579,093</w:t>
            </w:r>
          </w:p>
        </w:tc>
      </w:tr>
    </w:tbl>
    <w:p>
      <w:pPr>
        <w:spacing w:after="0" w:line="200" w:lineRule="exact"/>
        <w:rPr>
          <w:sz w:val="20"/>
          <w:szCs w:val="20"/>
          <w:color w:val="auto"/>
        </w:rPr>
      </w:pPr>
    </w:p>
    <w:p>
      <w:pPr>
        <w:spacing w:after="0" w:line="309" w:lineRule="exact"/>
        <w:rPr>
          <w:sz w:val="20"/>
          <w:szCs w:val="20"/>
          <w:color w:val="auto"/>
        </w:rPr>
      </w:pPr>
    </w:p>
    <w:p>
      <w:pPr>
        <w:ind w:left="100" w:right="4199" w:hanging="86"/>
        <w:spacing w:after="0" w:line="234" w:lineRule="auto"/>
        <w:rPr>
          <w:sz w:val="20"/>
          <w:szCs w:val="20"/>
          <w:color w:val="auto"/>
        </w:rPr>
      </w:pPr>
      <w:r>
        <w:rPr>
          <w:rFonts w:ascii="Courier New" w:cs="Courier New" w:eastAsia="Courier New" w:hAnsi="Courier New"/>
          <w:sz w:val="15"/>
          <w:szCs w:val="15"/>
          <w:color w:val="auto"/>
        </w:rPr>
        <w:t>See notes to the unaudited pro forma condensed consolidated financial statements.</w:t>
      </w:r>
    </w:p>
    <w:p>
      <w:pPr>
        <w:spacing w:after="0" w:line="167"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THE TJX COMPANIES, INC.</w:t>
      </w:r>
    </w:p>
    <w:p>
      <w:pPr>
        <w:jc w:val="center"/>
        <w:ind w:right="3739"/>
        <w:spacing w:after="0" w:line="237" w:lineRule="auto"/>
        <w:rPr>
          <w:sz w:val="20"/>
          <w:szCs w:val="20"/>
          <w:color w:val="auto"/>
        </w:rPr>
      </w:pPr>
      <w:r>
        <w:rPr>
          <w:rFonts w:ascii="Courier New" w:cs="Courier New" w:eastAsia="Courier New" w:hAnsi="Courier New"/>
          <w:sz w:val="15"/>
          <w:szCs w:val="15"/>
          <w:color w:val="auto"/>
        </w:rPr>
        <w:t>NOTES TO PRO FORMA CONDENSED CONSOLIDATED FINANCIAL STATEMENTS</w:t>
      </w:r>
    </w:p>
    <w:p>
      <w:pPr>
        <w:jc w:val="center"/>
        <w:ind w:right="365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 Thousands)</w:t>
      </w:r>
    </w:p>
    <w:p>
      <w:pPr>
        <w:spacing w:after="0" w:line="237" w:lineRule="auto"/>
        <w:rPr>
          <w:sz w:val="20"/>
          <w:szCs w:val="20"/>
          <w:color w:val="auto"/>
        </w:rPr>
      </w:pPr>
      <w:r>
        <w:rPr>
          <w:rFonts w:ascii="Courier New" w:cs="Courier New" w:eastAsia="Courier New" w:hAnsi="Courier New"/>
          <w:sz w:val="15"/>
          <w:szCs w:val="15"/>
          <w:color w:val="auto"/>
        </w:rPr>
        <w:t>NOTE 1</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pro forma adjustments to the condensed consolidated balance sheet reflect the purchase of Marshalls, the elimination of assets and liabilities not acquired and the allocation of the pro forma purchase price to the assets acquired and liabilities assumed based on the fair market value at date of acquisition. The pro forma adjustments include the impact of conforming Marshalls accounting policies to those of the Company.</w:t>
      </w:r>
    </w:p>
    <w:p>
      <w:pPr>
        <w:spacing w:after="0" w:line="16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3"/>
              </w:rPr>
              <w:t>Pro Forma</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Balances Not</w:t>
            </w:r>
          </w:p>
        </w:tc>
        <w:tc>
          <w:tcPr>
            <w:tcW w:w="14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Price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Acquired</w:t>
            </w:r>
          </w:p>
        </w:tc>
        <w:tc>
          <w:tcPr>
            <w:tcW w:w="14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Allocation</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Cash &amp; cash equivalents</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 (13,077)</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(13,077)</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(23,813)</w:t>
            </w:r>
          </w:p>
        </w:tc>
        <w:tc>
          <w:tcPr>
            <w:tcW w:w="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(765)(b)</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(24,578)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Merchandise inventories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3,599</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20,782</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(b)</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24,381</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(1,610)</w:t>
            </w:r>
          </w:p>
        </w:tc>
        <w:tc>
          <w:tcPr>
            <w:tcW w:w="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(3,442)(b)</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receivable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(18,714)</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(18,714)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net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(114,485)(b)</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(114,485)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(4,285)</w:t>
            </w:r>
          </w:p>
        </w:tc>
        <w:tc>
          <w:tcPr>
            <w:tcW w:w="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(17,069)(b)</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(21,354)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&amp; trademarks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107,608</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(b)</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107,608</w:t>
            </w:r>
          </w:p>
        </w:tc>
      </w:tr>
      <w:tr>
        <w:trPr>
          <w:trHeight w:val="168"/>
        </w:trPr>
        <w:tc>
          <w:tcPr>
            <w:tcW w:w="24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(57,900)</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(65,271)</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LIABILITIES &amp; EQUITY</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Short-term debt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(14,388)(a)</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(14,388)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(43,548)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250,643</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(b)</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207,095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Due to Parent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(154,582)</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(154,582)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375,000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(a)</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375,000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(19,259)</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(19,259)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long-term liabilities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(4,167)</w:t>
            </w:r>
          </w:p>
        </w:tc>
        <w:tc>
          <w:tcPr>
            <w:tcW w:w="34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(9,421)(b)</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(13,588)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175,000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(a)</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(152,839)</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(152,839)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(467,358)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(467,358)</w:t>
            </w:r>
          </w:p>
        </w:tc>
      </w:tr>
      <w:tr>
        <w:trPr>
          <w:trHeight w:val="168"/>
        </w:trPr>
        <w:tc>
          <w:tcPr>
            <w:tcW w:w="24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(842,105)</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776,834</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(65,271)</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$(784,205)</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$ 784,205</w:t>
            </w:r>
          </w:p>
        </w:tc>
        <w:tc>
          <w:tcPr>
            <w:tcW w:w="4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bl>
    <w:p>
      <w:pPr>
        <w:spacing w:after="0" w:line="173" w:lineRule="exact"/>
        <w:rPr>
          <w:sz w:val="20"/>
          <w:szCs w:val="20"/>
          <w:color w:val="auto"/>
        </w:rPr>
      </w:pPr>
    </w:p>
    <w:p>
      <w:pPr>
        <w:ind w:left="880" w:right="3679" w:hanging="433"/>
        <w:spacing w:after="0" w:line="236"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purchase price of $536 million is assumed to be paid from the proceeds of the $375 million five year bank term loan, obtained to finance the cash portion of the purchase price, and the issuance of $175 million junior convertible preferred stock. The pro forma condensed consolidated financial statements assumes the amount borrowed in excess of the cash portion of the pro forma purchase price would have been used to reduce short-term debt.</w:t>
      </w:r>
    </w:p>
    <w:p>
      <w:pPr>
        <w:spacing w:after="0" w:line="177" w:lineRule="exact"/>
        <w:rPr>
          <w:rFonts w:ascii="Courier New" w:cs="Courier New" w:eastAsia="Courier New" w:hAnsi="Courier New"/>
          <w:sz w:val="15"/>
          <w:szCs w:val="15"/>
          <w:color w:val="auto"/>
        </w:rPr>
      </w:pPr>
    </w:p>
    <w:p>
      <w:pPr>
        <w:ind w:left="880" w:right="3679" w:hanging="433"/>
        <w:spacing w:after="0" w:line="256"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the fair value of assets acquired and liabilities assumed including negative goodwill of approximately $57 million which was allocated pro rata to long-term assets. The following summarizes major balance sheet classifications.</w:t>
      </w:r>
    </w:p>
    <w:p>
      <w:pPr>
        <w:spacing w:after="0" w:line="332" w:lineRule="exact"/>
        <w:rPr>
          <w:sz w:val="20"/>
          <w:szCs w:val="20"/>
          <w:color w:val="auto"/>
        </w:rPr>
      </w:pPr>
    </w:p>
    <w:p>
      <w:pPr>
        <w:ind w:left="620" w:right="3679" w:hanging="173"/>
        <w:spacing w:after="0" w:line="234"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Merchandise inventories - Valued based on an estimate of net realizable value of inventory purchased using the retail method.</w:t>
      </w:r>
    </w:p>
    <w:p>
      <w:pPr>
        <w:spacing w:after="0" w:line="173" w:lineRule="exact"/>
        <w:rPr>
          <w:rFonts w:ascii="Courier New" w:cs="Courier New" w:eastAsia="Courier New" w:hAnsi="Courier New"/>
          <w:sz w:val="15"/>
          <w:szCs w:val="15"/>
          <w:color w:val="auto"/>
        </w:rPr>
      </w:pPr>
    </w:p>
    <w:p>
      <w:pPr>
        <w:jc w:val="both"/>
        <w:ind w:left="620" w:right="3679" w:hanging="173"/>
        <w:spacing w:after="0" w:line="254"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net - The net adjustment includes a write down of fixtures and leasehold improvements to fair value, partially offset by value</w:t>
      </w:r>
    </w:p>
    <w:p>
      <w:pPr>
        <w:jc w:val="both"/>
        <w:ind w:left="620" w:right="36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assigned to leases purchased. The adjustment reflects the anticipated closing of approximately 170 Marshalls stores and includes a reduction for a portion of negative goodwill.</w:t>
      </w:r>
    </w:p>
    <w:p>
      <w:pPr>
        <w:spacing w:after="0" w:line="173" w:lineRule="exact"/>
        <w:rPr>
          <w:rFonts w:ascii="Courier New" w:cs="Courier New" w:eastAsia="Courier New" w:hAnsi="Courier New"/>
          <w:sz w:val="14"/>
          <w:szCs w:val="14"/>
          <w:color w:val="auto"/>
        </w:rPr>
      </w:pPr>
    </w:p>
    <w:p>
      <w:pPr>
        <w:jc w:val="both"/>
        <w:ind w:left="620" w:right="3679" w:hanging="173"/>
        <w:spacing w:after="0" w:line="256"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and trademarks - Adjustment reflects the value assigned to the "Marshalls" tradename, offset by the elimination of goodwill recorded by Marshalls in a prior acquisition. The net adjustment includes a reduction for a portion of negative goodwill.</w:t>
      </w:r>
    </w:p>
    <w:p>
      <w:pPr>
        <w:spacing w:after="0" w:line="164" w:lineRule="exact"/>
        <w:rPr>
          <w:rFonts w:ascii="Courier New" w:cs="Courier New" w:eastAsia="Courier New" w:hAnsi="Courier New"/>
          <w:sz w:val="14"/>
          <w:szCs w:val="14"/>
          <w:color w:val="auto"/>
        </w:rPr>
      </w:pPr>
    </w:p>
    <w:p>
      <w:pPr>
        <w:ind w:left="620" w:right="3679" w:hanging="173"/>
        <w:spacing w:after="0" w:line="234"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 Adjustment is to eliminate deferred charges associated with leases acquired.</w:t>
      </w:r>
    </w:p>
    <w:p>
      <w:pPr>
        <w:spacing w:after="0" w:line="173" w:lineRule="exact"/>
        <w:rPr>
          <w:rFonts w:ascii="Courier New" w:cs="Courier New" w:eastAsia="Courier New" w:hAnsi="Courier New"/>
          <w:sz w:val="15"/>
          <w:szCs w:val="15"/>
          <w:color w:val="auto"/>
        </w:rPr>
      </w:pPr>
    </w:p>
    <w:p>
      <w:pPr>
        <w:jc w:val="both"/>
        <w:ind w:left="620" w:right="3679" w:hanging="173"/>
        <w:spacing w:after="0" w:line="234"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 Reflects a reserve for the anticipated closing of approximately 170 Marshalls stores, the closing of certain</w:t>
      </w:r>
    </w:p>
    <w:p>
      <w:pPr>
        <w:sectPr>
          <w:pgSz w:w="11900" w:h="16838" w:orient="portrait"/>
          <w:cols w:equalWidth="0" w:num="1">
            <w:col w:w="10239"/>
          </w:cols>
          <w:pgMar w:left="220" w:top="135" w:right="1440" w:bottom="0" w:gutter="0" w:footer="0" w:header="0"/>
        </w:sectPr>
      </w:pPr>
    </w:p>
    <w:bookmarkStart w:id="19" w:name="page20"/>
    <w:bookmarkEnd w:id="19"/>
    <w:p>
      <w:pPr>
        <w:ind w:left="620" w:right="3679"/>
        <w:spacing w:after="0" w:line="234" w:lineRule="auto"/>
        <w:rPr>
          <w:sz w:val="20"/>
          <w:szCs w:val="20"/>
          <w:color w:val="auto"/>
        </w:rPr>
      </w:pPr>
      <w:r>
        <w:rPr>
          <w:rFonts w:ascii="Courier New" w:cs="Courier New" w:eastAsia="Courier New" w:hAnsi="Courier New"/>
          <w:sz w:val="15"/>
          <w:szCs w:val="15"/>
          <w:color w:val="auto"/>
        </w:rPr>
        <w:t>facilities, a reserve for inventory markdowns and the accrual of other liabilities associated with the purchase.</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The difference between the values assigned to assets and liabilities for book purposes versus tax purposes result in offsetting deferred tax assets and liabilities at the date of acquisition.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The pro forma condensed consolidated statement of income reflects the following adjustments:</w:t>
      </w:r>
    </w:p>
    <w:p>
      <w:pPr>
        <w:spacing w:after="0" w:line="173" w:lineRule="exact"/>
        <w:rPr>
          <w:sz w:val="20"/>
          <w:szCs w:val="20"/>
          <w:color w:val="auto"/>
        </w:rPr>
      </w:pPr>
    </w:p>
    <w:p>
      <w:pPr>
        <w:ind w:left="440" w:right="3679" w:hanging="430"/>
        <w:spacing w:after="0" w:line="234"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Marshalls fiscal reporting periods to be comparable with the reporting periods of the Company.</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6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Nine Months Ended October 28, 1995</w:t>
            </w:r>
          </w:p>
        </w:tc>
      </w:tr>
      <w:tr>
        <w:trPr>
          <w:trHeight w:val="336"/>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Marshalls</w:t>
            </w:r>
          </w:p>
        </w:tc>
        <w:tc>
          <w:tcPr>
            <w:tcW w:w="100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Marshalls</w:t>
            </w:r>
          </w:p>
        </w:tc>
      </w:tr>
      <w:tr>
        <w:trPr>
          <w:trHeight w:val="168"/>
        </w:trPr>
        <w:tc>
          <w:tcPr>
            <w:tcW w:w="3600" w:type="dxa"/>
            <w:vAlign w:val="bottom"/>
            <w:gridSpan w:val="3"/>
          </w:tcPr>
          <w:p>
            <w:pPr>
              <w:jc w:val="center"/>
              <w:ind w:left="1847"/>
              <w:spacing w:after="0" w:line="168" w:lineRule="exact"/>
              <w:rPr>
                <w:sz w:val="20"/>
                <w:szCs w:val="20"/>
                <w:color w:val="auto"/>
              </w:rPr>
            </w:pPr>
            <w:r>
              <w:rPr>
                <w:rFonts w:ascii="Courier New" w:cs="Courier New" w:eastAsia="Courier New" w:hAnsi="Courier New"/>
                <w:sz w:val="15"/>
                <w:szCs w:val="15"/>
                <w:color w:val="auto"/>
                <w:w w:val="96"/>
              </w:rPr>
              <w:t>Nine Months Ended</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15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Nine Months Ended</w:t>
            </w:r>
          </w:p>
        </w:tc>
      </w:tr>
      <w:tr>
        <w:trPr>
          <w:trHeight w:val="168"/>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9/30/95*</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Adjustment</w:t>
            </w:r>
          </w:p>
        </w:tc>
        <w:tc>
          <w:tcPr>
            <w:tcW w:w="15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10/28/95</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1,852,245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$74,164</w:t>
            </w:r>
          </w:p>
        </w:tc>
        <w:tc>
          <w:tcPr>
            <w:tcW w:w="15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$1,926,409</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buying and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occupancy costs</w:t>
            </w:r>
          </w:p>
        </w:tc>
        <w:tc>
          <w:tcPr>
            <w:tcW w:w="12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1,561,382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34,641</w:t>
            </w:r>
          </w:p>
        </w:tc>
        <w:tc>
          <w:tcPr>
            <w:tcW w:w="5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1,596,023</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administrative expenses</w:t>
            </w:r>
          </w:p>
        </w:tc>
        <w:tc>
          <w:tcPr>
            <w:tcW w:w="12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355,867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8,448</w:t>
            </w:r>
          </w:p>
        </w:tc>
        <w:tc>
          <w:tcPr>
            <w:tcW w:w="5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364,315</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20" w:type="dxa"/>
            <w:vAlign w:val="bottom"/>
          </w:tcPr>
          <w:p>
            <w:pPr>
              <w:spacing w:after="0"/>
              <w:rPr>
                <w:sz w:val="24"/>
                <w:szCs w:val="2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6,030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56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6,048</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(71,034)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$31,057</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(39,977)</w:t>
            </w:r>
          </w:p>
        </w:tc>
      </w:tr>
      <w:tr>
        <w:trPr>
          <w:trHeight w:val="841"/>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Fiscal Year Ended January 28, 1995</w:t>
            </w:r>
          </w:p>
        </w:tc>
      </w:tr>
      <w:tr>
        <w:trPr>
          <w:trHeight w:val="336"/>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Marshalls</w:t>
            </w:r>
          </w:p>
        </w:tc>
        <w:tc>
          <w:tcPr>
            <w:tcW w:w="100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Marshalls</w:t>
            </w:r>
          </w:p>
        </w:tc>
      </w:tr>
      <w:tr>
        <w:trPr>
          <w:trHeight w:val="168"/>
        </w:trPr>
        <w:tc>
          <w:tcPr>
            <w:tcW w:w="3600" w:type="dxa"/>
            <w:vAlign w:val="bottom"/>
            <w:gridSpan w:val="3"/>
          </w:tcPr>
          <w:p>
            <w:pPr>
              <w:jc w:val="center"/>
              <w:ind w:left="1847"/>
              <w:spacing w:after="0" w:line="168" w:lineRule="exact"/>
              <w:rPr>
                <w:sz w:val="20"/>
                <w:szCs w:val="20"/>
                <w:color w:val="auto"/>
              </w:rPr>
            </w:pPr>
            <w:r>
              <w:rPr>
                <w:rFonts w:ascii="Courier New" w:cs="Courier New" w:eastAsia="Courier New" w:hAnsi="Courier New"/>
                <w:sz w:val="15"/>
                <w:szCs w:val="15"/>
                <w:color w:val="auto"/>
                <w:w w:val="96"/>
              </w:rPr>
              <w:t>Fiscal Year Ended</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15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Fiscal Year Ended</w:t>
            </w:r>
          </w:p>
        </w:tc>
      </w:tr>
      <w:tr>
        <w:trPr>
          <w:trHeight w:val="168"/>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12/31/94*</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Adjustment</w:t>
            </w:r>
          </w:p>
        </w:tc>
        <w:tc>
          <w:tcPr>
            <w:tcW w:w="15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1/28/95</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2,774,851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$5,080</w:t>
            </w:r>
          </w:p>
        </w:tc>
        <w:tc>
          <w:tcPr>
            <w:tcW w:w="15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$2,779,931</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buying and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occupancy costs</w:t>
            </w:r>
          </w:p>
        </w:tc>
        <w:tc>
          <w:tcPr>
            <w:tcW w:w="12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2,139,817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19,459</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2,159,276</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w:t>
            </w:r>
          </w:p>
        </w:tc>
        <w:tc>
          <w:tcPr>
            <w:tcW w:w="12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495,254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2,648</w:t>
            </w:r>
          </w:p>
        </w:tc>
        <w:tc>
          <w:tcPr>
            <w:tcW w:w="5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497,902</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Realignment credit</w:t>
            </w:r>
          </w:p>
        </w:tc>
        <w:tc>
          <w:tcPr>
            <w:tcW w:w="12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(7,200)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(7,200)</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20" w:type="dxa"/>
            <w:vAlign w:val="bottom"/>
          </w:tcPr>
          <w:p>
            <w:pPr>
              <w:spacing w:after="0"/>
              <w:rPr>
                <w:sz w:val="24"/>
                <w:szCs w:val="2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1,778</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584</w:t>
            </w:r>
          </w:p>
        </w:tc>
        <w:tc>
          <w:tcPr>
            <w:tcW w:w="5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2,362</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145,202</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$(17,611)</w:t>
            </w:r>
          </w:p>
        </w:tc>
        <w:tc>
          <w:tcPr>
            <w:tcW w:w="56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127,591</w:t>
            </w:r>
          </w:p>
        </w:tc>
      </w:tr>
    </w:tbl>
    <w:p>
      <w:pPr>
        <w:spacing w:after="0" w:line="173" w:lineRule="exact"/>
        <w:rPr>
          <w:sz w:val="20"/>
          <w:szCs w:val="20"/>
          <w:color w:val="auto"/>
        </w:rPr>
      </w:pPr>
    </w:p>
    <w:p>
      <w:pPr>
        <w:ind w:left="620" w:right="4019" w:hanging="173"/>
        <w:spacing w:after="0" w:line="234" w:lineRule="auto"/>
        <w:tabs>
          <w:tab w:leader="none" w:pos="62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reclassification of certain amounts to conform with the historical presentation of the Company.</w:t>
      </w:r>
    </w:p>
    <w:p>
      <w:pPr>
        <w:spacing w:after="0" w:line="173" w:lineRule="exact"/>
        <w:rPr>
          <w:rFonts w:ascii="Courier New" w:cs="Courier New" w:eastAsia="Courier New" w:hAnsi="Courier New"/>
          <w:sz w:val="15"/>
          <w:szCs w:val="15"/>
          <w:color w:val="auto"/>
        </w:rPr>
      </w:pPr>
    </w:p>
    <w:p>
      <w:pPr>
        <w:ind w:left="440" w:right="3759" w:hanging="430"/>
        <w:spacing w:after="0" w:line="236"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interest costs related to the new bank agreement entered into as a result of the purchase of Marshalls. The interest on the $375 million term loan is adjusted periodically in relation to Eurodollar market and currently approximates 7%. Deferred financing charges of $13 million associated with the term loan and the $500 million revolving credit facility are amortized into interest expense at $3.2 million annually.</w:t>
      </w:r>
    </w:p>
    <w:p>
      <w:pPr>
        <w:sectPr>
          <w:pgSz w:w="11900" w:h="16838" w:orient="portrait"/>
          <w:cols w:equalWidth="0" w:num="1">
            <w:col w:w="10239"/>
          </w:cols>
          <w:pgMar w:left="220" w:top="141" w:right="1440" w:bottom="0" w:gutter="0" w:footer="0" w:header="0"/>
        </w:sectPr>
      </w:pP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Nine Months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Ended 10/28/95</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5"/>
          <w:szCs w:val="15"/>
          <w:color w:val="auto"/>
        </w:rPr>
        <w:t>Fiscal Year</w:t>
      </w:r>
    </w:p>
    <w:p>
      <w:pPr>
        <w:spacing w:after="0" w:line="5"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4"/>
          <w:szCs w:val="14"/>
          <w:color w:val="auto"/>
        </w:rPr>
        <w:t>Ended 1/28/95</w:t>
      </w:r>
    </w:p>
    <w:p>
      <w:pPr>
        <w:spacing w:after="0" w:line="178" w:lineRule="exact"/>
        <w:rPr>
          <w:sz w:val="20"/>
          <w:szCs w:val="20"/>
          <w:color w:val="auto"/>
        </w:rPr>
      </w:pPr>
    </w:p>
    <w:p>
      <w:pPr>
        <w:sectPr>
          <w:pgSz w:w="11900" w:h="16838" w:orient="portrait"/>
          <w:cols w:equalWidth="0" w:num="2">
            <w:col w:w="4820" w:space="360"/>
            <w:col w:w="5059"/>
          </w:cols>
          <w:pgMar w:left="220" w:top="141"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Interest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$22,088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$ 29,450</w:t>
      </w:r>
    </w:p>
    <w:p>
      <w:pPr>
        <w:spacing w:after="0" w:line="178" w:lineRule="exact"/>
        <w:rPr>
          <w:sz w:val="20"/>
          <w:szCs w:val="20"/>
          <w:color w:val="auto"/>
        </w:rPr>
      </w:pPr>
    </w:p>
    <w:p>
      <w:pPr>
        <w:sectPr>
          <w:pgSz w:w="11900" w:h="16838" w:orient="portrait"/>
          <w:cols w:equalWidth="0" w:num="3">
            <w:col w:w="3220" w:space="720"/>
            <w:col w:w="680" w:space="720"/>
            <w:col w:w="4899"/>
          </w:cols>
          <w:pgMar w:left="220" w:top="141" w:right="1440" w:bottom="0" w:gutter="0" w:footer="0" w:header="0"/>
          <w:type w:val="continuous"/>
        </w:sectPr>
      </w:pPr>
    </w:p>
    <w:p>
      <w:pPr>
        <w:ind w:left="440" w:right="383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reduced depreciation expense due to the net write down of property to fair value.</w:t>
      </w:r>
    </w:p>
    <w:p>
      <w:pPr>
        <w:sectPr>
          <w:pgSz w:w="11900" w:h="16838" w:orient="portrait"/>
          <w:cols w:equalWidth="0" w:num="1">
            <w:col w:w="10239"/>
          </w:cols>
          <w:pgMar w:left="220" w:top="141" w:right="1440" w:bottom="0" w:gutter="0" w:footer="0" w:header="0"/>
          <w:type w:val="continuous"/>
        </w:sectPr>
      </w:pP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Nine Months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Ended 10/28/95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5"/>
          <w:szCs w:val="15"/>
          <w:color w:val="auto"/>
        </w:rPr>
        <w:t>Fiscal Year</w:t>
      </w:r>
    </w:p>
    <w:p>
      <w:pPr>
        <w:spacing w:after="0" w:line="5"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4"/>
          <w:szCs w:val="14"/>
          <w:color w:val="auto"/>
        </w:rPr>
        <w:t>Ended 1/28/95</w:t>
      </w:r>
    </w:p>
    <w:p>
      <w:pPr>
        <w:spacing w:after="0" w:line="10" w:lineRule="exact"/>
        <w:rPr>
          <w:sz w:val="20"/>
          <w:szCs w:val="20"/>
          <w:color w:val="auto"/>
        </w:rPr>
      </w:pPr>
    </w:p>
    <w:p>
      <w:pPr>
        <w:sectPr>
          <w:pgSz w:w="11900" w:h="16838" w:orient="portrait"/>
          <w:cols w:equalWidth="0" w:num="2">
            <w:col w:w="4820" w:space="360"/>
            <w:col w:w="5059"/>
          </w:cols>
          <w:pgMar w:left="220" w:top="141" w:right="1440" w:bottom="0" w:gutter="0" w:footer="0" w:header="0"/>
          <w:type w:val="continuous"/>
        </w:sectPr>
      </w:pPr>
    </w:p>
    <w:p>
      <w:pPr>
        <w:ind w:left="440"/>
        <w:spacing w:after="0"/>
        <w:tabs>
          <w:tab w:leader="none" w:pos="680" w:val="left"/>
        </w:tabs>
        <w:rPr>
          <w:sz w:val="20"/>
          <w:szCs w:val="20"/>
          <w:color w:val="auto"/>
        </w:rPr>
      </w:pPr>
      <w:r>
        <w:rPr>
          <w:rFonts w:ascii="Courier New" w:cs="Courier New" w:eastAsia="Courier New" w:hAnsi="Courier New"/>
          <w:sz w:val="14"/>
          <w:szCs w:val="14"/>
          <w:color w:val="auto"/>
        </w:rPr>
        <w:t>-</w:t>
        <w:tab/>
        <w:t>Cost of sales including</w:t>
      </w:r>
    </w:p>
    <w:p>
      <w:pPr>
        <w:sectPr>
          <w:pgSz w:w="11900" w:h="16838" w:orient="portrait"/>
          <w:cols w:equalWidth="0" w:num="1">
            <w:col w:w="10239"/>
          </w:cols>
          <w:pgMar w:left="220" w:top="141" w:right="1440" w:bottom="0" w:gutter="0" w:footer="0" w:header="0"/>
          <w:type w:val="continuous"/>
        </w:sectPr>
      </w:pP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buying and occupancy</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(7,575)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(10,100)</w:t>
      </w:r>
    </w:p>
    <w:p>
      <w:pPr>
        <w:spacing w:after="0" w:line="178" w:lineRule="exact"/>
        <w:rPr>
          <w:sz w:val="20"/>
          <w:szCs w:val="20"/>
          <w:color w:val="auto"/>
        </w:rPr>
      </w:pPr>
    </w:p>
    <w:p>
      <w:pPr>
        <w:sectPr>
          <w:pgSz w:w="11900" w:h="16838" w:orient="portrait"/>
          <w:cols w:equalWidth="0" w:num="3">
            <w:col w:w="3140" w:space="720"/>
            <w:col w:w="1020" w:space="720"/>
            <w:col w:w="4639"/>
          </w:cols>
          <w:pgMar w:left="220" w:top="141" w:right="1440" w:bottom="0" w:gutter="0" w:footer="0" w:header="0"/>
          <w:type w:val="continuous"/>
        </w:sectPr>
      </w:pPr>
    </w:p>
    <w:p>
      <w:pPr>
        <w:ind w:left="440" w:right="3839" w:hanging="430"/>
        <w:spacing w:after="0" w:line="235"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amortization of "Marshalls" trade name over estimated life of 40 years, net of reduction in amortization due to elimination of goodwill from prior acquisitions.</w:t>
      </w:r>
    </w:p>
    <w:p>
      <w:pPr>
        <w:sectPr>
          <w:pgSz w:w="11900" w:h="16838" w:orient="portrait"/>
          <w:cols w:equalWidth="0" w:num="1">
            <w:col w:w="10239"/>
          </w:cols>
          <w:pgMar w:left="220" w:top="141" w:right="1440" w:bottom="0" w:gutter="0" w:footer="0" w:header="0"/>
          <w:type w:val="continuous"/>
        </w:sectPr>
      </w:pP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Nine Months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Ended 10/28/95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5"/>
          <w:szCs w:val="15"/>
          <w:color w:val="auto"/>
        </w:rPr>
        <w:t>Fiscal Year</w:t>
      </w:r>
    </w:p>
    <w:p>
      <w:pPr>
        <w:spacing w:after="0" w:line="5"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4"/>
          <w:szCs w:val="14"/>
          <w:color w:val="auto"/>
        </w:rPr>
        <w:t>Ended 1/28/95</w:t>
      </w:r>
    </w:p>
    <w:p>
      <w:pPr>
        <w:spacing w:after="0" w:line="178" w:lineRule="exact"/>
        <w:rPr>
          <w:sz w:val="20"/>
          <w:szCs w:val="20"/>
          <w:color w:val="auto"/>
        </w:rPr>
      </w:pPr>
    </w:p>
    <w:p>
      <w:pPr>
        <w:sectPr>
          <w:pgSz w:w="11900" w:h="16838" w:orient="portrait"/>
          <w:cols w:equalWidth="0" w:num="2">
            <w:col w:w="4820" w:space="360"/>
            <w:col w:w="5059"/>
          </w:cols>
          <w:pgMar w:left="220" w:top="141" w:right="1440" w:bottom="0" w:gutter="0" w:footer="0" w:header="0"/>
          <w:type w:val="continuous"/>
        </w:sectPr>
      </w:pPr>
    </w:p>
    <w:p>
      <w:pPr>
        <w:ind w:left="440"/>
        <w:spacing w:after="0"/>
        <w:tabs>
          <w:tab w:leader="none" w:pos="680" w:val="left"/>
        </w:tabs>
        <w:rPr>
          <w:sz w:val="20"/>
          <w:szCs w:val="20"/>
          <w:color w:val="auto"/>
        </w:rPr>
      </w:pPr>
      <w:r>
        <w:rPr>
          <w:rFonts w:ascii="Courier New" w:cs="Courier New" w:eastAsia="Courier New" w:hAnsi="Courier New"/>
          <w:sz w:val="14"/>
          <w:szCs w:val="14"/>
          <w:color w:val="auto"/>
        </w:rPr>
        <w:t>-</w:t>
        <w:tab/>
        <w:t>Selling, general and</w:t>
      </w:r>
    </w:p>
    <w:p>
      <w:pPr>
        <w:sectPr>
          <w:pgSz w:w="11900" w:h="16838" w:orient="portrait"/>
          <w:cols w:equalWidth="0" w:num="1">
            <w:col w:w="10239"/>
          </w:cols>
          <w:pgMar w:left="220" w:top="141" w:right="1440" w:bottom="0" w:gutter="0" w:footer="0" w:header="0"/>
          <w:type w:val="continuous"/>
        </w:sectPr>
      </w:pPr>
    </w:p>
    <w:p>
      <w:pPr>
        <w:spacing w:after="0" w:line="10"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4"/>
          <w:szCs w:val="14"/>
          <w:color w:val="auto"/>
        </w:rPr>
        <w:t>administrative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2,690</w:t>
      </w:r>
    </w:p>
    <w:p>
      <w:pPr>
        <w:sectPr>
          <w:pgSz w:w="11900" w:h="16838" w:orient="portrait"/>
          <w:cols w:equalWidth="0" w:num="3">
            <w:col w:w="3220" w:space="720"/>
            <w:col w:w="1120" w:space="720"/>
            <w:col w:w="4459"/>
          </w:cols>
          <w:pgMar w:left="220" w:top="141" w:right="1440" w:bottom="0" w:gutter="0" w:footer="0" w:header="0"/>
          <w:type w:val="continuous"/>
        </w:sectPr>
      </w:pPr>
    </w:p>
    <w:bookmarkStart w:id="20" w:name="page21"/>
    <w:bookmarkEnd w:id="20"/>
    <w:p>
      <w:pPr>
        <w:ind w:left="440" w:right="3839" w:hanging="430"/>
        <w:spacing w:after="0" w:line="234"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income tax provision (benefit) associated with the pro forma adjustments at the marginal tax rate of 40%.</w:t>
      </w:r>
    </w:p>
    <w:p>
      <w:pPr>
        <w:sectPr>
          <w:pgSz w:w="11900" w:h="16838" w:orient="portrait"/>
          <w:cols w:equalWidth="0" w:num="1">
            <w:col w:w="10239"/>
          </w:cols>
          <w:pgMar w:left="220" w:top="646" w:right="1440" w:bottom="1440" w:gutter="0" w:footer="0" w:header="0"/>
        </w:sectPr>
      </w:pP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Nine Months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Ended 10/28/95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5"/>
          <w:szCs w:val="15"/>
          <w:color w:val="auto"/>
        </w:rPr>
        <w:t>Fiscal Year</w:t>
      </w:r>
    </w:p>
    <w:p>
      <w:pPr>
        <w:spacing w:after="0" w:line="5"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4"/>
          <w:szCs w:val="14"/>
          <w:color w:val="auto"/>
        </w:rPr>
        <w:t>Ended 1/28/95</w:t>
      </w:r>
    </w:p>
    <w:p>
      <w:pPr>
        <w:spacing w:after="0" w:line="10" w:lineRule="exact"/>
        <w:rPr>
          <w:sz w:val="20"/>
          <w:szCs w:val="20"/>
          <w:color w:val="auto"/>
        </w:rPr>
      </w:pPr>
    </w:p>
    <w:p>
      <w:pPr>
        <w:sectPr>
          <w:pgSz w:w="11900" w:h="16838" w:orient="portrait"/>
          <w:cols w:equalWidth="0" w:num="2">
            <w:col w:w="4820" w:space="360"/>
            <w:col w:w="5059"/>
          </w:cols>
          <w:pgMar w:left="220" w:top="646" w:right="1440" w:bottom="1440" w:gutter="0" w:footer="0" w:header="0"/>
          <w:type w:val="continuous"/>
        </w:sectPr>
      </w:pPr>
    </w:p>
    <w:p>
      <w:pPr>
        <w:ind w:left="440"/>
        <w:spacing w:after="0"/>
        <w:tabs>
          <w:tab w:leader="none" w:pos="680" w:val="left"/>
        </w:tabs>
        <w:rPr>
          <w:sz w:val="20"/>
          <w:szCs w:val="20"/>
          <w:color w:val="auto"/>
        </w:rPr>
      </w:pPr>
      <w:r>
        <w:rPr>
          <w:rFonts w:ascii="Courier New" w:cs="Courier New" w:eastAsia="Courier New" w:hAnsi="Courier New"/>
          <w:sz w:val="14"/>
          <w:szCs w:val="14"/>
          <w:color w:val="auto"/>
        </w:rPr>
        <w:t>-</w:t>
        <w:tab/>
        <w:t>Provision (benefit) for</w:t>
      </w:r>
    </w:p>
    <w:p>
      <w:pPr>
        <w:sectPr>
          <w:pgSz w:w="11900" w:h="16838" w:orient="portrait"/>
          <w:cols w:equalWidth="0" w:num="1">
            <w:col w:w="10239"/>
          </w:cols>
          <w:pgMar w:left="220" w:top="646" w:right="1440" w:bottom="1440" w:gutter="0" w:footer="0" w:header="0"/>
          <w:type w:val="continuous"/>
        </w:sectPr>
      </w:pP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income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(15,860)</w:t>
      </w:r>
    </w:p>
    <w:p>
      <w:pPr>
        <w:spacing w:after="0" w:line="178" w:lineRule="exact"/>
        <w:rPr>
          <w:sz w:val="20"/>
          <w:szCs w:val="20"/>
          <w:color w:val="auto"/>
        </w:rPr>
      </w:pPr>
    </w:p>
    <w:p>
      <w:pPr>
        <w:sectPr>
          <w:pgSz w:w="11900" w:h="16838" w:orient="portrait"/>
          <w:cols w:equalWidth="0" w:num="3">
            <w:col w:w="3220" w:space="720"/>
            <w:col w:w="780" w:space="720"/>
            <w:col w:w="4799"/>
          </w:cols>
          <w:pgMar w:left="220" w:top="646" w:right="1440" w:bottom="1440" w:gutter="0" w:footer="0" w:header="0"/>
          <w:type w:val="continuous"/>
        </w:sectPr>
      </w:pPr>
    </w:p>
    <w:p>
      <w:pPr>
        <w:ind w:left="440" w:right="3939" w:hanging="430"/>
        <w:spacing w:after="0" w:line="234" w:lineRule="auto"/>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preferred dividends payable on the convertible preferred stock issued in the transaction.</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Nine Months</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Fiscal Year</w:t>
            </w:r>
          </w:p>
        </w:tc>
      </w:tr>
      <w:tr>
        <w:trPr>
          <w:trHeight w:val="168"/>
        </w:trPr>
        <w:tc>
          <w:tcPr>
            <w:tcW w:w="2860" w:type="dxa"/>
            <w:vAlign w:val="bottom"/>
          </w:tcPr>
          <w:p>
            <w:pPr>
              <w:spacing w:after="0"/>
              <w:rPr>
                <w:sz w:val="14"/>
                <w:szCs w:val="14"/>
                <w:color w:val="auto"/>
              </w:rPr>
            </w:pP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Ended 10/28/95</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Ended 1/28/95</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Series D, 250,000 shares with</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face value of $25 million;</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annual dividend $1.8138/share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453</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Series E, 1,500,000 shares with</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face value of $150 million;</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annual dividend of $7.00/share</w:t>
            </w:r>
          </w:p>
        </w:tc>
        <w:tc>
          <w:tcPr>
            <w:tcW w:w="48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7,875</w:t>
            </w:r>
          </w:p>
        </w:tc>
        <w:tc>
          <w:tcPr>
            <w:tcW w:w="5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10,500</w:t>
            </w:r>
          </w:p>
        </w:tc>
      </w:tr>
      <w:tr>
        <w:trPr>
          <w:trHeight w:val="336"/>
        </w:trPr>
        <w:tc>
          <w:tcPr>
            <w:tcW w:w="2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7,875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10,953</w:t>
            </w:r>
          </w:p>
        </w:tc>
      </w:tr>
    </w:tbl>
    <w:p>
      <w:pPr>
        <w:spacing w:after="0" w:line="173" w:lineRule="exact"/>
        <w:rPr>
          <w:sz w:val="20"/>
          <w:szCs w:val="20"/>
          <w:color w:val="auto"/>
        </w:rPr>
      </w:pPr>
    </w:p>
    <w:p>
      <w:pPr>
        <w:ind w:left="440" w:right="3839"/>
        <w:spacing w:after="0" w:line="236" w:lineRule="auto"/>
        <w:rPr>
          <w:sz w:val="20"/>
          <w:szCs w:val="20"/>
          <w:color w:val="auto"/>
        </w:rPr>
      </w:pPr>
      <w:r>
        <w:rPr>
          <w:rFonts w:ascii="Courier New" w:cs="Courier New" w:eastAsia="Courier New" w:hAnsi="Courier New"/>
          <w:sz w:val="15"/>
          <w:szCs w:val="15"/>
          <w:color w:val="auto"/>
        </w:rPr>
        <w:t>The Series D is automatically convertible into common stock one year after it is issued and thus the pro forma condensed consolidated financial statements assume conversion into common stock at the maximum number of shares (see 2(g)) at the end of the fiscal year 1/28/95.</w:t>
      </w:r>
    </w:p>
    <w:p>
      <w:pPr>
        <w:spacing w:after="0" w:line="174" w:lineRule="exact"/>
        <w:rPr>
          <w:sz w:val="20"/>
          <w:szCs w:val="20"/>
          <w:color w:val="auto"/>
        </w:rPr>
      </w:pPr>
    </w:p>
    <w:p>
      <w:pPr>
        <w:ind w:left="440" w:right="3679" w:hanging="430"/>
        <w:spacing w:after="0" w:line="235"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shares outstanding for dilutive impact of assumed conversion of the Company's Series A and Series C preferred stock and for the pro forma impact of the preferred stock issued for the purchase of Marshalls (Series D and E).</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2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Nine Months</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Fiscal Year</w:t>
            </w:r>
          </w:p>
        </w:tc>
      </w:tr>
      <w:tr>
        <w:trPr>
          <w:trHeight w:val="168"/>
        </w:trPr>
        <w:tc>
          <w:tcPr>
            <w:tcW w:w="1940" w:type="dxa"/>
            <w:vAlign w:val="bottom"/>
          </w:tcPr>
          <w:p>
            <w:pPr>
              <w:spacing w:after="0"/>
              <w:rPr>
                <w:sz w:val="14"/>
                <w:szCs w:val="14"/>
                <w:color w:val="auto"/>
              </w:rPr>
            </w:pPr>
          </w:p>
        </w:tc>
        <w:tc>
          <w:tcPr>
            <w:tcW w:w="2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 10/28/95</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1/28/95</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2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1,190,476</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C</w:t>
            </w:r>
          </w:p>
        </w:tc>
        <w:tc>
          <w:tcPr>
            <w:tcW w:w="2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3,180,723</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D</w:t>
            </w:r>
          </w:p>
        </w:tc>
        <w:tc>
          <w:tcPr>
            <w:tcW w:w="2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2,024,292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2,024,292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E</w:t>
            </w:r>
          </w:p>
        </w:tc>
        <w:tc>
          <w:tcPr>
            <w:tcW w:w="2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9,716,599</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2,024,292</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16,112,090</w:t>
            </w:r>
          </w:p>
        </w:tc>
      </w:tr>
    </w:tbl>
    <w:p>
      <w:pPr>
        <w:spacing w:after="0" w:line="173" w:lineRule="exact"/>
        <w:rPr>
          <w:sz w:val="20"/>
          <w:szCs w:val="20"/>
          <w:color w:val="auto"/>
        </w:rPr>
      </w:pPr>
    </w:p>
    <w:p>
      <w:pPr>
        <w:ind w:left="440" w:right="3759"/>
        <w:spacing w:after="0" w:line="256" w:lineRule="auto"/>
        <w:rPr>
          <w:sz w:val="20"/>
          <w:szCs w:val="20"/>
          <w:color w:val="auto"/>
        </w:rPr>
      </w:pPr>
      <w:r>
        <w:rPr>
          <w:rFonts w:ascii="Courier New" w:cs="Courier New" w:eastAsia="Courier New" w:hAnsi="Courier New"/>
          <w:sz w:val="14"/>
          <w:szCs w:val="14"/>
          <w:color w:val="auto"/>
        </w:rPr>
        <w:t>The Series D and Series E preferred stock are convertible into an aggregate of 9.4 million to 11.7 million shares of common stock, depending on the market value of the common stock at time of conversion. The pro forma adjustments with regard to Series D and Series E above assume the maximum number of common shares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w:t>
      </w:r>
    </w:p>
    <w:p>
      <w:pPr>
        <w:spacing w:after="0" w:line="173" w:lineRule="exact"/>
        <w:rPr>
          <w:sz w:val="20"/>
          <w:szCs w:val="20"/>
          <w:color w:val="auto"/>
        </w:rPr>
      </w:pPr>
    </w:p>
    <w:p>
      <w:pPr>
        <w:ind w:right="4459"/>
        <w:spacing w:after="0" w:line="234" w:lineRule="auto"/>
        <w:rPr>
          <w:sz w:val="20"/>
          <w:szCs w:val="20"/>
          <w:color w:val="auto"/>
        </w:rPr>
      </w:pPr>
      <w:r>
        <w:rPr>
          <w:rFonts w:ascii="Courier New" w:cs="Courier New" w:eastAsia="Courier New" w:hAnsi="Courier New"/>
          <w:sz w:val="15"/>
          <w:szCs w:val="15"/>
          <w:color w:val="auto"/>
        </w:rPr>
        <w:t>The following should be noted in reviewing the pro forma condensed consolidated income statements.</w:t>
      </w:r>
    </w:p>
    <w:p>
      <w:pPr>
        <w:spacing w:after="0" w:line="173" w:lineRule="exact"/>
        <w:rPr>
          <w:sz w:val="20"/>
          <w:szCs w:val="20"/>
          <w:color w:val="auto"/>
        </w:rPr>
      </w:pPr>
    </w:p>
    <w:p>
      <w:pPr>
        <w:ind w:left="440" w:right="3759" w:hanging="430"/>
        <w:spacing w:after="0" w:line="236" w:lineRule="auto"/>
        <w:tabs>
          <w:tab w:leader="none" w:pos="1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anticipates closing approximately 170 Marshalls stores, certain costs of which have been reserved for in the pro forma condensed consolidated balance sheet. The pro forma condensed consolidated income statement has not been adjusted to reflect the impact the closing of these stores will have on ongoing operations.</w:t>
      </w:r>
    </w:p>
    <w:p>
      <w:pPr>
        <w:spacing w:after="0" w:line="173" w:lineRule="exact"/>
        <w:rPr>
          <w:rFonts w:ascii="Courier New" w:cs="Courier New" w:eastAsia="Courier New" w:hAnsi="Courier New"/>
          <w:sz w:val="15"/>
          <w:szCs w:val="15"/>
          <w:color w:val="auto"/>
        </w:rPr>
      </w:pPr>
    </w:p>
    <w:p>
      <w:pPr>
        <w:ind w:left="440" w:right="3579" w:hanging="430"/>
        <w:spacing w:after="0" w:line="236" w:lineRule="auto"/>
        <w:tabs>
          <w:tab w:leader="none" w:pos="1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anticipates closing approximately 30 T.J. Maxx stores and expects to record a pre-tax charge of $35 million in the fourth quarter of its fiscal year ending January 27, 1996. This charge will reduce income from continuing operations by approximately $.29 per share. Neither the T.J. Maxx closing reserve, nor the impact the closings will have on ongoing operations, have been reflected in the pro forma condensed consolidated financial statements.</w:t>
      </w:r>
    </w:p>
    <w:p>
      <w:pPr>
        <w:spacing w:after="0" w:line="169"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Savings the Company may generate by consolidating responsibilities and</w:t>
      </w:r>
    </w:p>
    <w:p>
      <w:pPr>
        <w:spacing w:after="0" w:line="4" w:lineRule="exact"/>
        <w:rPr>
          <w:rFonts w:ascii="Courier New" w:cs="Courier New" w:eastAsia="Courier New" w:hAnsi="Courier New"/>
          <w:sz w:val="15"/>
          <w:szCs w:val="15"/>
          <w:color w:val="auto"/>
        </w:rPr>
      </w:pPr>
    </w:p>
    <w:p>
      <w:pPr>
        <w:ind w:left="440"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reducing overhead have not been factored into the pro forma condensed consolidated financial statements.</w:t>
      </w:r>
    </w:p>
    <w:p>
      <w:pPr>
        <w:sectPr>
          <w:pgSz w:w="11900" w:h="16838" w:orient="portrait"/>
          <w:cols w:equalWidth="0" w:num="1">
            <w:col w:w="10239"/>
          </w:cols>
          <w:pgMar w:left="220" w:top="646" w:right="1440"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4560" w:type="dxa"/>
            <w:vAlign w:val="bottom"/>
          </w:tcPr>
          <w:p>
            <w:pPr>
              <w:ind w:left="2540"/>
              <w:spacing w:after="0"/>
              <w:rPr>
                <w:sz w:val="20"/>
                <w:szCs w:val="20"/>
                <w:color w:val="auto"/>
              </w:rPr>
            </w:pPr>
            <w:r>
              <w:rPr>
                <w:rFonts w:ascii="Courier New" w:cs="Courier New" w:eastAsia="Courier New" w:hAnsi="Courier New"/>
                <w:sz w:val="15"/>
                <w:szCs w:val="15"/>
                <w:color w:val="auto"/>
              </w:rPr>
              <w:t>EXHIBIT 99.3</w:t>
            </w:r>
          </w:p>
        </w:tc>
      </w:tr>
      <w:tr>
        <w:trPr>
          <w:trHeight w:val="168"/>
        </w:trPr>
        <w:tc>
          <w:tcPr>
            <w:tcW w:w="1140" w:type="dxa"/>
            <w:vAlign w:val="bottom"/>
          </w:tcPr>
          <w:p>
            <w:pPr>
              <w:spacing w:after="0"/>
              <w:rPr>
                <w:sz w:val="14"/>
                <w:szCs w:val="14"/>
                <w:color w:val="auto"/>
              </w:rPr>
            </w:pPr>
          </w:p>
        </w:tc>
        <w:tc>
          <w:tcPr>
            <w:tcW w:w="45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EXHIBIT INDEX</w:t>
            </w:r>
          </w:p>
        </w:tc>
      </w:tr>
      <w:tr>
        <w:trPr>
          <w:trHeight w:val="336"/>
        </w:trPr>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Exhibit No.</w:t>
            </w:r>
          </w:p>
        </w:tc>
        <w:tc>
          <w:tcPr>
            <w:tcW w:w="4560" w:type="dxa"/>
            <w:vAlign w:val="bottom"/>
          </w:tcPr>
          <w:p>
            <w:pPr>
              <w:ind w:left="1060"/>
              <w:spacing w:after="0"/>
              <w:rPr>
                <w:sz w:val="20"/>
                <w:szCs w:val="20"/>
                <w:color w:val="auto"/>
              </w:rPr>
            </w:pPr>
            <w:r>
              <w:rPr>
                <w:rFonts w:ascii="Courier New" w:cs="Courier New" w:eastAsia="Courier New" w:hAnsi="Courier New"/>
                <w:sz w:val="15"/>
                <w:szCs w:val="15"/>
                <w:color w:val="auto"/>
              </w:rPr>
              <w:t>Description of Exhibits</w:t>
            </w:r>
          </w:p>
        </w:tc>
      </w:tr>
      <w:tr>
        <w:trPr>
          <w:trHeight w:val="336"/>
        </w:trPr>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w:t>
            </w:r>
          </w:p>
        </w:tc>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Amendment No. 1 dated as of November 17, 1995 to</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Purchase Agreement dated as of October 14,</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1995 between the Registrant and Melville</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w:t>
            </w:r>
          </w:p>
        </w:tc>
      </w:tr>
      <w:tr>
        <w:trPr>
          <w:trHeight w:val="336"/>
        </w:trPr>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10.1*</w:t>
            </w:r>
          </w:p>
        </w:tc>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Certificates of Designations, Rights and</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Preferences for the Registrant's Series D</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Convertible Preferred Stock.</w:t>
            </w:r>
          </w:p>
        </w:tc>
      </w:tr>
      <w:tr>
        <w:trPr>
          <w:trHeight w:val="336"/>
        </w:trPr>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10.2*</w:t>
            </w:r>
          </w:p>
        </w:tc>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Certificates of Designations, Rights and</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Preferences for the Registrant's Series E</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Convertible Preferred Stock.</w:t>
            </w:r>
          </w:p>
        </w:tc>
      </w:tr>
      <w:tr>
        <w:trPr>
          <w:trHeight w:val="336"/>
        </w:trPr>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w:t>
            </w:r>
          </w:p>
        </w:tc>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Transitional Services Agreement dated as of</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17, 1995 between the Registrant and</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Melville Corporation.</w:t>
            </w:r>
          </w:p>
        </w:tc>
      </w:tr>
      <w:tr>
        <w:trPr>
          <w:trHeight w:val="336"/>
        </w:trPr>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10.4*</w:t>
            </w:r>
          </w:p>
        </w:tc>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Credit Agreement dated as of November 17, 1995</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among The First National Bank of Chicago, Bank of</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America Illinois, The Bank of New York, and Pearl</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Street L.P., as co-arrangers, the other financial</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institution parties thereto, and the Registrant.</w:t>
            </w:r>
          </w:p>
        </w:tc>
      </w:tr>
      <w:tr>
        <w:trPr>
          <w:trHeight w:val="336"/>
        </w:trPr>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99.1*</w:t>
            </w:r>
          </w:p>
        </w:tc>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w w:val="96"/>
              </w:rPr>
              <w:t>Press Release issued by the Registrant on November</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20, 1995.</w:t>
            </w:r>
          </w:p>
        </w:tc>
      </w:tr>
      <w:tr>
        <w:trPr>
          <w:trHeight w:val="336"/>
        </w:trPr>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99.2(i)</w:t>
            </w:r>
          </w:p>
        </w:tc>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 Audited Consolidated</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Statements of Marshalls of Roseville,</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Minn., Inc. for the Years Ended December 31, 1994,</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1993 and 1992.</w:t>
            </w:r>
          </w:p>
        </w:tc>
      </w:tr>
      <w:tr>
        <w:trPr>
          <w:trHeight w:val="336"/>
        </w:trPr>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99.2(ii)</w:t>
            </w:r>
          </w:p>
        </w:tc>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 Unaudited Consolidated</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Statements of Marshalls of Roseville,</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Minn., Inc. for the Nine Months Ended September</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30, 1995 and October 1, 1994.</w:t>
            </w:r>
          </w:p>
        </w:tc>
      </w:tr>
      <w:tr>
        <w:trPr>
          <w:trHeight w:val="336"/>
        </w:trPr>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99.2(iii)</w:t>
            </w:r>
          </w:p>
        </w:tc>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 Unaudited Pro Forma</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Condensed Consolidated Financial Statements for</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The TJX Companies, Inc. as of October 28, 1995 and</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for the periods ended October 28, 1995 and January</w:t>
            </w:r>
          </w:p>
        </w:tc>
      </w:tr>
      <w:tr>
        <w:trPr>
          <w:trHeight w:val="168"/>
        </w:trPr>
        <w:tc>
          <w:tcPr>
            <w:tcW w:w="1140" w:type="dxa"/>
            <w:vAlign w:val="bottom"/>
          </w:tcPr>
          <w:p>
            <w:pPr>
              <w:spacing w:after="0"/>
              <w:rPr>
                <w:sz w:val="14"/>
                <w:szCs w:val="14"/>
                <w:color w:val="auto"/>
              </w:rPr>
            </w:pPr>
          </w:p>
        </w:tc>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28, 1995.</w:t>
            </w:r>
          </w:p>
        </w:tc>
      </w:tr>
      <w:tr>
        <w:trPr>
          <w:trHeight w:val="336"/>
        </w:trPr>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99.3</w:t>
            </w:r>
          </w:p>
        </w:tc>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Exhibit Index</w:t>
            </w:r>
          </w:p>
        </w:tc>
      </w:tr>
    </w:tbl>
    <w:p>
      <w:pPr>
        <w:spacing w:after="0" w:line="341" w:lineRule="exact"/>
        <w:rPr>
          <w:sz w:val="20"/>
          <w:szCs w:val="20"/>
          <w:color w:val="auto"/>
        </w:rPr>
      </w:pPr>
    </w:p>
    <w:p>
      <w:pPr>
        <w:ind w:left="280" w:right="4799" w:hanging="270"/>
        <w:spacing w:after="0" w:line="235" w:lineRule="auto"/>
        <w:tabs>
          <w:tab w:leader="none" w:pos="2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with, and incorporated herein by reference to, the Registrant's Current Report on Form 8-K dated November 17, 1995.</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lowerLetter"/>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2"/>
    </w:lvl>
  </w:abstractNum>
  <w:abstractNum w:abstractNumId="4">
    <w:nsid w:val="3F2DBA31"/>
    <w:multiLevelType w:val="hybridMultilevel"/>
    <w:lvl w:ilvl="0">
      <w:lvlJc w:val="left"/>
      <w:lvlText w:val="(%1)"/>
      <w:numFmt w:val="lowerLetter"/>
      <w:start w:val="3"/>
    </w:lvl>
  </w:abstractNum>
  <w:abstractNum w:abstractNumId="5">
    <w:nsid w:val="7C83E458"/>
    <w:multiLevelType w:val="hybridMultilevel"/>
    <w:lvl w:ilvl="0">
      <w:lvlJc w:val="left"/>
      <w:lvlText w:val="(%1)"/>
      <w:numFmt w:val="lowerLetter"/>
      <w:start w:val="4"/>
    </w:lvl>
  </w:abstractNum>
  <w:abstractNum w:abstractNumId="6">
    <w:nsid w:val="257130A3"/>
    <w:multiLevelType w:val="hybridMultilevel"/>
    <w:lvl w:ilvl="0">
      <w:lvlJc w:val="left"/>
      <w:lvlText w:val="(%1)"/>
      <w:numFmt w:val="lowerLetter"/>
      <w:start w:val="5"/>
    </w:lvl>
  </w:abstractNum>
  <w:abstractNum w:abstractNumId="7">
    <w:nsid w:val="62BBD95A"/>
    <w:multiLevelType w:val="hybridMultilevel"/>
    <w:lvl w:ilvl="0">
      <w:lvlJc w:val="left"/>
      <w:lvlText w:val="(%1)"/>
      <w:numFmt w:val="lowerLetter"/>
      <w:start w:val="6"/>
    </w:lvl>
  </w:abstractNum>
  <w:abstractNum w:abstractNumId="8">
    <w:nsid w:val="436C6125"/>
    <w:multiLevelType w:val="hybridMultilevel"/>
    <w:lvl w:ilvl="0">
      <w:lvlJc w:val="left"/>
      <w:lvlText w:val="(%1)"/>
      <w:numFmt w:val="lowerLetter"/>
      <w:start w:val="8"/>
    </w:lvl>
  </w:abstractNum>
  <w:abstractNum w:abstractNumId="9">
    <w:nsid w:val="628C895D"/>
    <w:multiLevelType w:val="hybridMultilevel"/>
    <w:lvl w:ilvl="0">
      <w:lvlJc w:val="left"/>
      <w:lvlText w:val="(%1)"/>
      <w:numFmt w:val="lowerRoman"/>
      <w:start w:val="1"/>
    </w:lvl>
  </w:abstractNum>
  <w:abstractNum w:abstractNumId="10">
    <w:nsid w:val="333AB105"/>
    <w:multiLevelType w:val="hybridMultilevel"/>
    <w:lvl w:ilvl="0">
      <w:lvlJc w:val="left"/>
      <w:lvlText w:val="(%1)"/>
      <w:numFmt w:val="lowerLetter"/>
      <w:start w:val="10"/>
    </w:lvl>
  </w:abstractNum>
  <w:abstractNum w:abstractNumId="11">
    <w:nsid w:val="721DA317"/>
    <w:multiLevelType w:val="hybridMultilevel"/>
    <w:lvl w:ilvl="0">
      <w:lvlJc w:val="left"/>
      <w:lvlText w:val="(%1)"/>
      <w:numFmt w:val="lowerLetter"/>
      <w:start w:val="11"/>
    </w:lvl>
  </w:abstractNum>
  <w:abstractNum w:abstractNumId="12">
    <w:nsid w:val="2443A858"/>
    <w:multiLevelType w:val="hybridMultilevel"/>
    <w:lvl w:ilvl="0">
      <w:lvlJc w:val="left"/>
      <w:lvlText w:val="(%1)"/>
      <w:numFmt w:val="decimal"/>
      <w:start w:val="2"/>
    </w:lvl>
  </w:abstractNum>
  <w:abstractNum w:abstractNumId="13">
    <w:nsid w:val="2D1D5AE9"/>
    <w:multiLevelType w:val="hybridMultilevel"/>
    <w:lvl w:ilvl="0">
      <w:lvlJc w:val="left"/>
      <w:lvlText w:val="(%1)"/>
      <w:numFmt w:val="decimal"/>
      <w:start w:val="4"/>
    </w:lvl>
  </w:abstractNum>
  <w:abstractNum w:abstractNumId="14">
    <w:nsid w:val="6763845E"/>
    <w:multiLevelType w:val="hybridMultilevel"/>
    <w:lvl w:ilvl="0">
      <w:lvlJc w:val="left"/>
      <w:lvlText w:val="(%1)"/>
      <w:numFmt w:val="decimal"/>
      <w:start w:val="5"/>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1)"/>
      <w:numFmt w:val="decimal"/>
      <w:start w:val="8"/>
    </w:lvl>
  </w:abstractNum>
  <w:abstractNum w:abstractNumId="17">
    <w:nsid w:val="79838CB2"/>
    <w:multiLevelType w:val="hybridMultilevel"/>
    <w:lvl w:ilvl="0">
      <w:lvlJc w:val="left"/>
      <w:lvlText w:val="(%1)"/>
      <w:numFmt w:val="decimal"/>
      <w:start w:val="9"/>
    </w:lvl>
  </w:abstractNum>
  <w:abstractNum w:abstractNumId="18">
    <w:nsid w:val="4353D0CD"/>
    <w:multiLevelType w:val="hybridMultilevel"/>
    <w:lvl w:ilvl="0">
      <w:lvlJc w:val="left"/>
      <w:lvlText w:val="(%1)"/>
      <w:numFmt w:val="decimal"/>
      <w:start w:val="10"/>
    </w:lvl>
  </w:abstractNum>
  <w:abstractNum w:abstractNumId="19">
    <w:nsid w:val="B03E0C6"/>
    <w:multiLevelType w:val="hybridMultilevel"/>
    <w:lvl w:ilvl="0">
      <w:lvlJc w:val="left"/>
      <w:lvlText w:val="(%1)"/>
      <w:numFmt w:val="decimal"/>
      <w:start w:val="11"/>
    </w:lvl>
  </w:abstractNum>
  <w:abstractNum w:abstractNumId="20">
    <w:nsid w:val="189A769B"/>
    <w:multiLevelType w:val="hybridMultilevel"/>
    <w:lvl w:ilvl="0">
      <w:lvlJc w:val="left"/>
      <w:lvlText w:val="(%1)"/>
      <w:numFmt w:val="decimal"/>
      <w:start w:val="12"/>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lvl w:ilvl="1">
      <w:lvlJc w:val="left"/>
      <w:lvlText w:val="*"/>
      <w:numFmt w:val="bullet"/>
      <w:start w:val="1"/>
    </w:lvl>
  </w:abstractNum>
  <w:abstractNum w:abstractNumId="25">
    <w:nsid w:val="2901D82"/>
    <w:multiLevelType w:val="hybridMultilevel"/>
    <w:lvl w:ilvl="0">
      <w:lvlJc w:val="left"/>
      <w:lvlText w:val="(%1)"/>
      <w:numFmt w:val="lowerLetter"/>
      <w:start w:val="3"/>
    </w:lvl>
  </w:abstractNum>
  <w:abstractNum w:abstractNumId="26">
    <w:nsid w:val="3A95F874"/>
    <w:multiLevelType w:val="hybridMultilevel"/>
    <w:lvl w:ilvl="0">
      <w:lvlJc w:val="left"/>
      <w:lvlText w:val="(%1)"/>
      <w:numFmt w:val="lowerLetter"/>
      <w:start w:val="4"/>
    </w:lvl>
  </w:abstractNum>
  <w:abstractNum w:abstractNumId="27">
    <w:nsid w:val="8138641"/>
    <w:multiLevelType w:val="hybridMultilevel"/>
    <w:lvl w:ilvl="0">
      <w:lvlJc w:val="left"/>
      <w:lvlText w:val="(%1)"/>
      <w:numFmt w:val="lowerLetter"/>
      <w:start w:val="5"/>
    </w:lvl>
  </w:abstractNum>
  <w:abstractNum w:abstractNumId="28">
    <w:nsid w:val="1E7FF521"/>
    <w:multiLevelType w:val="hybridMultilevel"/>
    <w:lvl w:ilvl="0">
      <w:lvlJc w:val="left"/>
      <w:lvlText w:val="(%1)"/>
      <w:numFmt w:val="lowerLetter"/>
      <w:start w:val="6"/>
    </w:lvl>
  </w:abstractNum>
  <w:abstractNum w:abstractNumId="29">
    <w:nsid w:val="7C3DBD3D"/>
    <w:multiLevelType w:val="hybridMultilevel"/>
    <w:lvl w:ilvl="0">
      <w:lvlJc w:val="left"/>
      <w:lvlText w:val="(%1)"/>
      <w:numFmt w:val="lowerLetter"/>
      <w:start w:val="7"/>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2019-12-13T08:41:17Z</dcterms:created>
  <dcterms:modified xsi:type="dcterms:W3CDTF">2019-12-13T08:41:17Z</dcterms:modified>
</cp:coreProperties>
</file>