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SECURITIES AND EXCHANGE COMMISSION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40" w:type="dxa"/>
            <w:vAlign w:val="bottom"/>
            <w:gridSpan w:val="2"/>
          </w:tcPr>
          <w:p>
            <w:pPr>
              <w:jc w:val="center"/>
              <w:ind w:left="660"/>
              <w:spacing w:after="0"/>
              <w:rPr>
                <w:sz w:val="20"/>
                <w:szCs w:val="20"/>
                <w:color w:val="auto"/>
              </w:rPr>
            </w:pPr>
            <w:r>
              <w:rPr>
                <w:rFonts w:ascii="Arial" w:cs="Arial" w:eastAsia="Arial" w:hAnsi="Arial"/>
                <w:sz w:val="18"/>
                <w:szCs w:val="18"/>
                <w:color w:val="auto"/>
                <w:w w:val="90"/>
              </w:rPr>
              <w:t>Washington, DC 20549</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84"/>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40" w:type="dxa"/>
            <w:vAlign w:val="bottom"/>
            <w:gridSpan w:val="2"/>
          </w:tcPr>
          <w:p>
            <w:pPr>
              <w:jc w:val="center"/>
              <w:ind w:left="640"/>
              <w:spacing w:after="0"/>
              <w:rPr>
                <w:sz w:val="20"/>
                <w:szCs w:val="20"/>
                <w:color w:val="auto"/>
              </w:rPr>
            </w:pPr>
            <w:r>
              <w:rPr>
                <w:rFonts w:ascii="Arial" w:cs="Arial" w:eastAsia="Arial" w:hAnsi="Arial"/>
                <w:sz w:val="27"/>
                <w:szCs w:val="27"/>
                <w:color w:val="auto"/>
                <w:w w:val="95"/>
              </w:rPr>
              <w:t>FORM 10-K</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46"/>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40" w:type="dxa"/>
            <w:vAlign w:val="bottom"/>
            <w:gridSpan w:val="2"/>
          </w:tcPr>
          <w:p>
            <w:pPr>
              <w:jc w:val="center"/>
              <w:ind w:left="640"/>
              <w:spacing w:after="0"/>
              <w:rPr>
                <w:sz w:val="20"/>
                <w:szCs w:val="20"/>
                <w:color w:val="auto"/>
              </w:rPr>
            </w:pPr>
            <w:r>
              <w:rPr>
                <w:rFonts w:ascii="Arial" w:cs="Arial" w:eastAsia="Arial" w:hAnsi="Arial"/>
                <w:sz w:val="18"/>
                <w:szCs w:val="18"/>
                <w:color w:val="auto"/>
                <w:w w:val="90"/>
              </w:rPr>
              <w:t>/X/Annual Report Pursuant to Section 13 or 15(d) of</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0"/>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40" w:type="dxa"/>
            <w:vAlign w:val="bottom"/>
            <w:gridSpan w:val="2"/>
          </w:tcPr>
          <w:p>
            <w:pPr>
              <w:jc w:val="center"/>
              <w:ind w:left="660"/>
              <w:spacing w:after="0" w:line="201" w:lineRule="exact"/>
              <w:rPr>
                <w:sz w:val="20"/>
                <w:szCs w:val="20"/>
                <w:color w:val="auto"/>
              </w:rPr>
            </w:pPr>
            <w:r>
              <w:rPr>
                <w:rFonts w:ascii="Arial" w:cs="Arial" w:eastAsia="Arial" w:hAnsi="Arial"/>
                <w:sz w:val="18"/>
                <w:szCs w:val="18"/>
                <w:color w:val="auto"/>
                <w:w w:val="89"/>
              </w:rPr>
              <w:t>the Securities Exchange Act of 1934</w:t>
            </w: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0"/>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60" w:type="dxa"/>
            <w:vAlign w:val="bottom"/>
          </w:tcPr>
          <w:p>
            <w:pPr>
              <w:jc w:val="center"/>
              <w:ind w:right="1759"/>
              <w:spacing w:after="0" w:line="201" w:lineRule="exact"/>
              <w:rPr>
                <w:sz w:val="20"/>
                <w:szCs w:val="20"/>
                <w:color w:val="auto"/>
              </w:rPr>
            </w:pPr>
            <w:r>
              <w:rPr>
                <w:rFonts w:ascii="Arial" w:cs="Arial" w:eastAsia="Arial" w:hAnsi="Arial"/>
                <w:sz w:val="18"/>
                <w:szCs w:val="18"/>
                <w:color w:val="auto"/>
                <w:w w:val="87"/>
              </w:rPr>
              <w:t>or</w:t>
            </w: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0"/>
        </w:trPr>
        <w:tc>
          <w:tcPr>
            <w:tcW w:w="1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40" w:type="dxa"/>
            <w:vAlign w:val="bottom"/>
            <w:gridSpan w:val="2"/>
          </w:tcPr>
          <w:p>
            <w:pPr>
              <w:jc w:val="center"/>
              <w:ind w:left="640"/>
              <w:spacing w:after="0" w:line="201" w:lineRule="exact"/>
              <w:rPr>
                <w:sz w:val="20"/>
                <w:szCs w:val="20"/>
                <w:color w:val="auto"/>
              </w:rPr>
            </w:pPr>
            <w:r>
              <w:rPr>
                <w:rFonts w:ascii="Arial" w:cs="Arial" w:eastAsia="Arial" w:hAnsi="Arial"/>
                <w:sz w:val="18"/>
                <w:szCs w:val="18"/>
                <w:color w:val="auto"/>
                <w:w w:val="90"/>
              </w:rPr>
              <w:t>/ /Transition Report Pursuant to Section 13 or 15(d) of</w:t>
            </w: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7"/>
        </w:trPr>
        <w:tc>
          <w:tcPr>
            <w:tcW w:w="1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840" w:type="dxa"/>
            <w:vAlign w:val="bottom"/>
            <w:gridSpan w:val="2"/>
          </w:tcPr>
          <w:p>
            <w:pPr>
              <w:jc w:val="center"/>
              <w:ind w:left="660"/>
              <w:spacing w:after="0"/>
              <w:rPr>
                <w:sz w:val="20"/>
                <w:szCs w:val="20"/>
                <w:color w:val="auto"/>
              </w:rPr>
            </w:pPr>
            <w:r>
              <w:rPr>
                <w:rFonts w:ascii="Arial" w:cs="Arial" w:eastAsia="Arial" w:hAnsi="Arial"/>
                <w:sz w:val="18"/>
                <w:szCs w:val="18"/>
                <w:color w:val="auto"/>
                <w:w w:val="89"/>
              </w:rPr>
              <w:t>the Securities Exchange Act of 1934</w:t>
            </w:r>
          </w:p>
        </w:tc>
        <w:tc>
          <w:tcPr>
            <w:tcW w:w="7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63"/>
        </w:trPr>
        <w:tc>
          <w:tcPr>
            <w:tcW w:w="7780" w:type="dxa"/>
            <w:vAlign w:val="bottom"/>
            <w:gridSpan w:val="4"/>
          </w:tcPr>
          <w:p>
            <w:pPr>
              <w:spacing w:after="0"/>
              <w:rPr>
                <w:sz w:val="20"/>
                <w:szCs w:val="20"/>
                <w:color w:val="auto"/>
              </w:rPr>
            </w:pPr>
            <w:r>
              <w:rPr>
                <w:rFonts w:ascii="Arial" w:cs="Arial" w:eastAsia="Arial" w:hAnsi="Arial"/>
                <w:sz w:val="14"/>
                <w:szCs w:val="14"/>
                <w:color w:val="auto"/>
              </w:rPr>
              <w:t>For the fiscal year ended</w:t>
            </w:r>
          </w:p>
        </w:tc>
        <w:tc>
          <w:tcPr>
            <w:tcW w:w="2140" w:type="dxa"/>
            <w:vAlign w:val="bottom"/>
            <w:gridSpan w:val="3"/>
          </w:tcPr>
          <w:p>
            <w:pPr>
              <w:jc w:val="center"/>
              <w:ind w:left="108"/>
              <w:spacing w:after="0"/>
              <w:rPr>
                <w:sz w:val="20"/>
                <w:szCs w:val="20"/>
                <w:color w:val="auto"/>
              </w:rPr>
            </w:pPr>
            <w:r>
              <w:rPr>
                <w:rFonts w:ascii="Arial" w:cs="Arial" w:eastAsia="Arial" w:hAnsi="Arial"/>
                <w:sz w:val="14"/>
                <w:szCs w:val="14"/>
                <w:color w:val="auto"/>
                <w:w w:val="95"/>
              </w:rPr>
              <w:t>Commission file number</w:t>
            </w:r>
          </w:p>
        </w:tc>
      </w:tr>
      <w:tr>
        <w:trPr>
          <w:trHeight w:val="183"/>
        </w:trPr>
        <w:tc>
          <w:tcPr>
            <w:tcW w:w="7780" w:type="dxa"/>
            <w:vAlign w:val="bottom"/>
            <w:gridSpan w:val="4"/>
          </w:tcPr>
          <w:p>
            <w:pPr>
              <w:spacing w:after="0"/>
              <w:rPr>
                <w:sz w:val="20"/>
                <w:szCs w:val="20"/>
                <w:color w:val="auto"/>
              </w:rPr>
            </w:pPr>
            <w:r>
              <w:rPr>
                <w:rFonts w:ascii="Arial" w:cs="Arial" w:eastAsia="Arial" w:hAnsi="Arial"/>
                <w:sz w:val="14"/>
                <w:szCs w:val="14"/>
                <w:color w:val="auto"/>
              </w:rPr>
              <w:t>January 25, 2003</w:t>
            </w:r>
          </w:p>
        </w:tc>
        <w:tc>
          <w:tcPr>
            <w:tcW w:w="1960" w:type="dxa"/>
            <w:vAlign w:val="bottom"/>
            <w:gridSpan w:val="2"/>
          </w:tcPr>
          <w:p>
            <w:pPr>
              <w:jc w:val="right"/>
              <w:ind w:right="508"/>
              <w:spacing w:after="0"/>
              <w:rPr>
                <w:sz w:val="20"/>
                <w:szCs w:val="20"/>
                <w:color w:val="auto"/>
              </w:rPr>
            </w:pPr>
            <w:r>
              <w:rPr>
                <w:rFonts w:ascii="Arial" w:cs="Arial" w:eastAsia="Arial" w:hAnsi="Arial"/>
                <w:sz w:val="14"/>
                <w:szCs w:val="14"/>
                <w:color w:val="auto"/>
              </w:rPr>
              <w:t>1- 4908</w:t>
            </w:r>
          </w:p>
        </w:tc>
        <w:tc>
          <w:tcPr>
            <w:tcW w:w="180" w:type="dxa"/>
            <w:vAlign w:val="bottom"/>
          </w:tcPr>
          <w:p>
            <w:pPr>
              <w:spacing w:after="0"/>
              <w:rPr>
                <w:sz w:val="15"/>
                <w:szCs w:val="15"/>
                <w:color w:val="auto"/>
              </w:rPr>
            </w:pPr>
          </w:p>
        </w:tc>
      </w:tr>
      <w:tr>
        <w:trPr>
          <w:trHeight w:val="609"/>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40" w:type="dxa"/>
            <w:vAlign w:val="bottom"/>
            <w:gridSpan w:val="2"/>
          </w:tcPr>
          <w:p>
            <w:pPr>
              <w:jc w:val="center"/>
              <w:ind w:left="640"/>
              <w:spacing w:after="0"/>
              <w:rPr>
                <w:sz w:val="20"/>
                <w:szCs w:val="20"/>
                <w:color w:val="auto"/>
              </w:rPr>
            </w:pPr>
            <w:r>
              <w:rPr>
                <w:rFonts w:ascii="Arial" w:cs="Arial" w:eastAsia="Arial" w:hAnsi="Arial"/>
                <w:sz w:val="36"/>
                <w:szCs w:val="36"/>
                <w:b w:val="1"/>
                <w:bCs w:val="1"/>
                <w:color w:val="auto"/>
                <w:w w:val="91"/>
              </w:rPr>
              <w:t>The TJX Companies, Inc.</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37"/>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40" w:type="dxa"/>
            <w:vAlign w:val="bottom"/>
            <w:gridSpan w:val="2"/>
          </w:tcPr>
          <w:p>
            <w:pPr>
              <w:jc w:val="center"/>
              <w:ind w:left="640"/>
              <w:spacing w:after="0"/>
              <w:rPr>
                <w:sz w:val="20"/>
                <w:szCs w:val="20"/>
                <w:color w:val="auto"/>
              </w:rPr>
            </w:pPr>
            <w:r>
              <w:rPr>
                <w:rFonts w:ascii="Arial" w:cs="Arial" w:eastAsia="Arial" w:hAnsi="Arial"/>
                <w:sz w:val="14"/>
                <w:szCs w:val="14"/>
                <w:color w:val="auto"/>
                <w:w w:val="93"/>
              </w:rPr>
              <w:t>(Exact name of registrant as specified in its charter)</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73"/>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40" w:type="dxa"/>
            <w:vAlign w:val="bottom"/>
            <w:gridSpan w:val="2"/>
          </w:tcPr>
          <w:p>
            <w:pPr>
              <w:jc w:val="center"/>
              <w:ind w:right="4019"/>
              <w:spacing w:after="0"/>
              <w:rPr>
                <w:sz w:val="20"/>
                <w:szCs w:val="20"/>
                <w:color w:val="auto"/>
              </w:rPr>
            </w:pPr>
            <w:r>
              <w:rPr>
                <w:rFonts w:ascii="Arial" w:cs="Arial" w:eastAsia="Arial" w:hAnsi="Arial"/>
                <w:sz w:val="14"/>
                <w:szCs w:val="14"/>
                <w:color w:val="auto"/>
                <w:w w:val="91"/>
              </w:rPr>
              <w:t>Delaware</w:t>
            </w:r>
          </w:p>
        </w:tc>
        <w:tc>
          <w:tcPr>
            <w:tcW w:w="1960" w:type="dxa"/>
            <w:vAlign w:val="bottom"/>
            <w:gridSpan w:val="2"/>
          </w:tcPr>
          <w:p>
            <w:pPr>
              <w:jc w:val="center"/>
              <w:ind w:right="628"/>
              <w:spacing w:after="0"/>
              <w:rPr>
                <w:sz w:val="20"/>
                <w:szCs w:val="20"/>
                <w:color w:val="auto"/>
              </w:rPr>
            </w:pPr>
            <w:r>
              <w:rPr>
                <w:rFonts w:ascii="Arial" w:cs="Arial" w:eastAsia="Arial" w:hAnsi="Arial"/>
                <w:sz w:val="14"/>
                <w:szCs w:val="14"/>
                <w:color w:val="auto"/>
                <w:w w:val="93"/>
              </w:rPr>
              <w:t>04-2207613</w:t>
            </w:r>
          </w:p>
        </w:tc>
        <w:tc>
          <w:tcPr>
            <w:tcW w:w="180" w:type="dxa"/>
            <w:vAlign w:val="bottom"/>
          </w:tcPr>
          <w:p>
            <w:pPr>
              <w:spacing w:after="0"/>
              <w:rPr>
                <w:sz w:val="24"/>
                <w:szCs w:val="24"/>
                <w:color w:val="auto"/>
              </w:rPr>
            </w:pPr>
          </w:p>
        </w:tc>
      </w:tr>
      <w:tr>
        <w:trPr>
          <w:trHeight w:val="178"/>
        </w:trPr>
        <w:tc>
          <w:tcPr>
            <w:tcW w:w="1740" w:type="dxa"/>
            <w:vAlign w:val="bottom"/>
          </w:tcPr>
          <w:p>
            <w:pPr>
              <w:spacing w:after="0"/>
              <w:rPr>
                <w:sz w:val="15"/>
                <w:szCs w:val="15"/>
                <w:color w:val="auto"/>
              </w:rPr>
            </w:pPr>
          </w:p>
        </w:tc>
        <w:tc>
          <w:tcPr>
            <w:tcW w:w="6040" w:type="dxa"/>
            <w:vAlign w:val="bottom"/>
            <w:gridSpan w:val="3"/>
          </w:tcPr>
          <w:p>
            <w:pPr>
              <w:jc w:val="center"/>
              <w:ind w:right="2839"/>
              <w:spacing w:after="0"/>
              <w:rPr>
                <w:sz w:val="20"/>
                <w:szCs w:val="20"/>
                <w:color w:val="auto"/>
              </w:rPr>
            </w:pPr>
            <w:r>
              <w:rPr>
                <w:rFonts w:ascii="Arial" w:cs="Arial" w:eastAsia="Arial" w:hAnsi="Arial"/>
                <w:sz w:val="14"/>
                <w:szCs w:val="14"/>
                <w:color w:val="auto"/>
                <w:w w:val="95"/>
              </w:rPr>
              <w:t>(State or other jurisdiction of</w:t>
            </w:r>
          </w:p>
        </w:tc>
        <w:tc>
          <w:tcPr>
            <w:tcW w:w="2140" w:type="dxa"/>
            <w:vAlign w:val="bottom"/>
            <w:gridSpan w:val="3"/>
          </w:tcPr>
          <w:p>
            <w:pPr>
              <w:jc w:val="center"/>
              <w:ind w:right="860"/>
              <w:spacing w:after="0"/>
              <w:rPr>
                <w:sz w:val="20"/>
                <w:szCs w:val="20"/>
                <w:color w:val="auto"/>
              </w:rPr>
            </w:pPr>
            <w:r>
              <w:rPr>
                <w:rFonts w:ascii="Arial" w:cs="Arial" w:eastAsia="Arial" w:hAnsi="Arial"/>
                <w:sz w:val="14"/>
                <w:szCs w:val="14"/>
                <w:color w:val="auto"/>
                <w:w w:val="96"/>
              </w:rPr>
              <w:t>(IRS Employer</w:t>
            </w:r>
          </w:p>
        </w:tc>
      </w:tr>
      <w:tr>
        <w:trPr>
          <w:trHeight w:val="183"/>
        </w:trPr>
        <w:tc>
          <w:tcPr>
            <w:tcW w:w="1740" w:type="dxa"/>
            <w:vAlign w:val="bottom"/>
          </w:tcPr>
          <w:p>
            <w:pPr>
              <w:spacing w:after="0"/>
              <w:rPr>
                <w:sz w:val="15"/>
                <w:szCs w:val="15"/>
                <w:color w:val="auto"/>
              </w:rPr>
            </w:pPr>
          </w:p>
        </w:tc>
        <w:tc>
          <w:tcPr>
            <w:tcW w:w="6040" w:type="dxa"/>
            <w:vAlign w:val="bottom"/>
            <w:gridSpan w:val="3"/>
          </w:tcPr>
          <w:p>
            <w:pPr>
              <w:jc w:val="center"/>
              <w:ind w:right="2819"/>
              <w:spacing w:after="0"/>
              <w:rPr>
                <w:sz w:val="20"/>
                <w:szCs w:val="20"/>
                <w:color w:val="auto"/>
              </w:rPr>
            </w:pPr>
            <w:r>
              <w:rPr>
                <w:rFonts w:ascii="Arial" w:cs="Arial" w:eastAsia="Arial" w:hAnsi="Arial"/>
                <w:sz w:val="14"/>
                <w:szCs w:val="14"/>
                <w:color w:val="auto"/>
                <w:w w:val="95"/>
              </w:rPr>
              <w:t>incorporation or organization)</w:t>
            </w:r>
          </w:p>
        </w:tc>
        <w:tc>
          <w:tcPr>
            <w:tcW w:w="2140" w:type="dxa"/>
            <w:vAlign w:val="bottom"/>
            <w:gridSpan w:val="3"/>
          </w:tcPr>
          <w:p>
            <w:pPr>
              <w:jc w:val="center"/>
              <w:ind w:right="880"/>
              <w:spacing w:after="0"/>
              <w:rPr>
                <w:sz w:val="20"/>
                <w:szCs w:val="20"/>
                <w:color w:val="auto"/>
              </w:rPr>
            </w:pPr>
            <w:r>
              <w:rPr>
                <w:rFonts w:ascii="Arial" w:cs="Arial" w:eastAsia="Arial" w:hAnsi="Arial"/>
                <w:sz w:val="14"/>
                <w:szCs w:val="14"/>
                <w:color w:val="auto"/>
                <w:w w:val="97"/>
              </w:rPr>
              <w:t>Identification No.)</w:t>
            </w:r>
          </w:p>
        </w:tc>
      </w:tr>
      <w:tr>
        <w:trPr>
          <w:trHeight w:val="351"/>
        </w:trPr>
        <w:tc>
          <w:tcPr>
            <w:tcW w:w="1740" w:type="dxa"/>
            <w:vAlign w:val="bottom"/>
          </w:tcPr>
          <w:p>
            <w:pPr>
              <w:spacing w:after="0"/>
              <w:rPr>
                <w:sz w:val="24"/>
                <w:szCs w:val="24"/>
                <w:color w:val="auto"/>
              </w:rPr>
            </w:pPr>
          </w:p>
        </w:tc>
        <w:tc>
          <w:tcPr>
            <w:tcW w:w="6040" w:type="dxa"/>
            <w:vAlign w:val="bottom"/>
            <w:gridSpan w:val="3"/>
          </w:tcPr>
          <w:p>
            <w:pPr>
              <w:jc w:val="center"/>
              <w:ind w:right="2819"/>
              <w:spacing w:after="0"/>
              <w:rPr>
                <w:sz w:val="20"/>
                <w:szCs w:val="20"/>
                <w:color w:val="auto"/>
              </w:rPr>
            </w:pPr>
            <w:r>
              <w:rPr>
                <w:rFonts w:ascii="Arial" w:cs="Arial" w:eastAsia="Arial" w:hAnsi="Arial"/>
                <w:sz w:val="14"/>
                <w:szCs w:val="14"/>
                <w:color w:val="auto"/>
                <w:w w:val="92"/>
              </w:rPr>
              <w:t>770 Cochituate Road</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8"/>
        </w:trPr>
        <w:tc>
          <w:tcPr>
            <w:tcW w:w="1740" w:type="dxa"/>
            <w:vAlign w:val="bottom"/>
          </w:tcPr>
          <w:p>
            <w:pPr>
              <w:spacing w:after="0"/>
              <w:rPr>
                <w:sz w:val="15"/>
                <w:szCs w:val="15"/>
                <w:color w:val="auto"/>
              </w:rPr>
            </w:pPr>
          </w:p>
        </w:tc>
        <w:tc>
          <w:tcPr>
            <w:tcW w:w="6040" w:type="dxa"/>
            <w:vAlign w:val="bottom"/>
            <w:gridSpan w:val="3"/>
          </w:tcPr>
          <w:p>
            <w:pPr>
              <w:jc w:val="center"/>
              <w:ind w:right="2819"/>
              <w:spacing w:after="0"/>
              <w:rPr>
                <w:sz w:val="20"/>
                <w:szCs w:val="20"/>
                <w:color w:val="auto"/>
              </w:rPr>
            </w:pPr>
            <w:r>
              <w:rPr>
                <w:rFonts w:ascii="Arial" w:cs="Arial" w:eastAsia="Arial" w:hAnsi="Arial"/>
                <w:sz w:val="14"/>
                <w:szCs w:val="14"/>
                <w:color w:val="auto"/>
                <w:w w:val="92"/>
              </w:rPr>
              <w:t>Framingham, Massachusetts</w:t>
            </w:r>
          </w:p>
        </w:tc>
        <w:tc>
          <w:tcPr>
            <w:tcW w:w="1960" w:type="dxa"/>
            <w:vAlign w:val="bottom"/>
            <w:gridSpan w:val="2"/>
          </w:tcPr>
          <w:p>
            <w:pPr>
              <w:jc w:val="center"/>
              <w:ind w:right="608"/>
              <w:spacing w:after="0"/>
              <w:rPr>
                <w:sz w:val="20"/>
                <w:szCs w:val="20"/>
                <w:color w:val="auto"/>
              </w:rPr>
            </w:pPr>
            <w:r>
              <w:rPr>
                <w:rFonts w:ascii="Arial" w:cs="Arial" w:eastAsia="Arial" w:hAnsi="Arial"/>
                <w:sz w:val="14"/>
                <w:szCs w:val="14"/>
                <w:color w:val="auto"/>
                <w:w w:val="92"/>
              </w:rPr>
              <w:t>01701</w:t>
            </w:r>
          </w:p>
        </w:tc>
        <w:tc>
          <w:tcPr>
            <w:tcW w:w="180" w:type="dxa"/>
            <w:vAlign w:val="bottom"/>
          </w:tcPr>
          <w:p>
            <w:pPr>
              <w:spacing w:after="0"/>
              <w:rPr>
                <w:sz w:val="15"/>
                <w:szCs w:val="15"/>
                <w:color w:val="auto"/>
              </w:rPr>
            </w:pPr>
          </w:p>
        </w:tc>
      </w:tr>
      <w:tr>
        <w:trPr>
          <w:trHeight w:val="183"/>
        </w:trPr>
        <w:tc>
          <w:tcPr>
            <w:tcW w:w="1740" w:type="dxa"/>
            <w:vAlign w:val="bottom"/>
          </w:tcPr>
          <w:p>
            <w:pPr>
              <w:spacing w:after="0"/>
              <w:rPr>
                <w:sz w:val="15"/>
                <w:szCs w:val="15"/>
                <w:color w:val="auto"/>
              </w:rPr>
            </w:pPr>
          </w:p>
        </w:tc>
        <w:tc>
          <w:tcPr>
            <w:tcW w:w="6040" w:type="dxa"/>
            <w:vAlign w:val="bottom"/>
            <w:gridSpan w:val="3"/>
          </w:tcPr>
          <w:p>
            <w:pPr>
              <w:jc w:val="center"/>
              <w:ind w:right="2819"/>
              <w:spacing w:after="0"/>
              <w:rPr>
                <w:sz w:val="20"/>
                <w:szCs w:val="20"/>
                <w:color w:val="auto"/>
              </w:rPr>
            </w:pPr>
            <w:r>
              <w:rPr>
                <w:rFonts w:ascii="Arial" w:cs="Arial" w:eastAsia="Arial" w:hAnsi="Arial"/>
                <w:sz w:val="14"/>
                <w:szCs w:val="14"/>
                <w:color w:val="auto"/>
                <w:w w:val="95"/>
              </w:rPr>
              <w:t>(Address of principal executive offices)</w:t>
            </w:r>
          </w:p>
        </w:tc>
        <w:tc>
          <w:tcPr>
            <w:tcW w:w="2140" w:type="dxa"/>
            <w:vAlign w:val="bottom"/>
            <w:gridSpan w:val="3"/>
          </w:tcPr>
          <w:p>
            <w:pPr>
              <w:jc w:val="center"/>
              <w:ind w:right="880"/>
              <w:spacing w:after="0"/>
              <w:rPr>
                <w:sz w:val="20"/>
                <w:szCs w:val="20"/>
                <w:color w:val="auto"/>
              </w:rPr>
            </w:pPr>
            <w:r>
              <w:rPr>
                <w:rFonts w:ascii="Arial" w:cs="Arial" w:eastAsia="Arial" w:hAnsi="Arial"/>
                <w:sz w:val="14"/>
                <w:szCs w:val="14"/>
                <w:color w:val="auto"/>
                <w:w w:val="93"/>
              </w:rPr>
              <w:t>(Zip Code)</w:t>
            </w:r>
          </w:p>
        </w:tc>
      </w:tr>
      <w:tr>
        <w:trPr>
          <w:trHeight w:val="356"/>
        </w:trPr>
        <w:tc>
          <w:tcPr>
            <w:tcW w:w="7780" w:type="dxa"/>
            <w:vAlign w:val="bottom"/>
            <w:gridSpan w:val="4"/>
          </w:tcPr>
          <w:p>
            <w:pPr>
              <w:spacing w:after="0"/>
              <w:rPr>
                <w:sz w:val="20"/>
                <w:szCs w:val="20"/>
                <w:color w:val="auto"/>
              </w:rPr>
            </w:pPr>
            <w:r>
              <w:rPr>
                <w:rFonts w:ascii="Arial" w:cs="Arial" w:eastAsia="Arial" w:hAnsi="Arial"/>
                <w:sz w:val="14"/>
                <w:szCs w:val="14"/>
                <w:color w:val="auto"/>
              </w:rPr>
              <w:t>Registrant’s telephone number, including area code (508) 390-1000</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81"/>
        </w:trPr>
        <w:tc>
          <w:tcPr>
            <w:tcW w:w="17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2580" w:type="dxa"/>
            <w:vAlign w:val="bottom"/>
            <w:tcBorders>
              <w:bottom w:val="single" w:sz="8" w:color="9A9A9A"/>
            </w:tcBorders>
          </w:tcPr>
          <w:p>
            <w:pPr>
              <w:spacing w:after="0"/>
              <w:rPr>
                <w:sz w:val="15"/>
                <w:szCs w:val="15"/>
                <w:color w:val="auto"/>
              </w:rPr>
            </w:pPr>
          </w:p>
        </w:tc>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345"/>
        </w:trPr>
        <w:tc>
          <w:tcPr>
            <w:tcW w:w="77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52"/>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40" w:type="dxa"/>
            <w:vAlign w:val="bottom"/>
            <w:gridSpan w:val="3"/>
          </w:tcPr>
          <w:p>
            <w:pPr>
              <w:jc w:val="center"/>
              <w:ind w:left="508"/>
              <w:spacing w:after="0"/>
              <w:rPr>
                <w:sz w:val="20"/>
                <w:szCs w:val="20"/>
                <w:color w:val="auto"/>
              </w:rPr>
            </w:pPr>
            <w:r>
              <w:rPr>
                <w:rFonts w:ascii="Arial" w:cs="Arial" w:eastAsia="Arial" w:hAnsi="Arial"/>
                <w:sz w:val="14"/>
                <w:szCs w:val="14"/>
                <w:color w:val="auto"/>
                <w:w w:val="92"/>
              </w:rPr>
              <w:t>Name of each exchange</w:t>
            </w:r>
          </w:p>
        </w:tc>
      </w:tr>
      <w:tr>
        <w:trPr>
          <w:trHeight w:val="183"/>
        </w:trPr>
        <w:tc>
          <w:tcPr>
            <w:tcW w:w="1740" w:type="dxa"/>
            <w:vAlign w:val="bottom"/>
          </w:tcPr>
          <w:p>
            <w:pPr>
              <w:spacing w:after="0"/>
              <w:rPr>
                <w:sz w:val="15"/>
                <w:szCs w:val="15"/>
                <w:color w:val="auto"/>
              </w:rPr>
            </w:pPr>
          </w:p>
        </w:tc>
        <w:tc>
          <w:tcPr>
            <w:tcW w:w="6040" w:type="dxa"/>
            <w:vAlign w:val="bottom"/>
            <w:gridSpan w:val="3"/>
          </w:tcPr>
          <w:p>
            <w:pPr>
              <w:jc w:val="center"/>
              <w:ind w:right="4759"/>
              <w:spacing w:after="0"/>
              <w:rPr>
                <w:sz w:val="20"/>
                <w:szCs w:val="20"/>
                <w:color w:val="auto"/>
              </w:rPr>
            </w:pPr>
            <w:r>
              <w:rPr>
                <w:rFonts w:ascii="Arial" w:cs="Arial" w:eastAsia="Arial" w:hAnsi="Arial"/>
                <w:sz w:val="14"/>
                <w:szCs w:val="14"/>
                <w:color w:val="auto"/>
                <w:w w:val="92"/>
              </w:rPr>
              <w:t>Title of each class</w:t>
            </w:r>
          </w:p>
        </w:tc>
        <w:tc>
          <w:tcPr>
            <w:tcW w:w="76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on which registered</w:t>
            </w:r>
          </w:p>
        </w:tc>
      </w:tr>
      <w:tr>
        <w:trPr>
          <w:trHeight w:val="83"/>
        </w:trPr>
        <w:tc>
          <w:tcPr>
            <w:tcW w:w="1740" w:type="dxa"/>
            <w:vAlign w:val="bottom"/>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4840" w:type="dxa"/>
            <w:vAlign w:val="bottom"/>
            <w:gridSpan w:val="2"/>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r>
      <w:tr>
        <w:trPr>
          <w:trHeight w:val="265"/>
        </w:trPr>
        <w:tc>
          <w:tcPr>
            <w:tcW w:w="7780" w:type="dxa"/>
            <w:vAlign w:val="bottom"/>
            <w:gridSpan w:val="4"/>
          </w:tcPr>
          <w:p>
            <w:pPr>
              <w:jc w:val="center"/>
              <w:ind w:right="3019"/>
              <w:spacing w:after="0"/>
              <w:rPr>
                <w:sz w:val="20"/>
                <w:szCs w:val="20"/>
                <w:color w:val="auto"/>
              </w:rPr>
            </w:pPr>
            <w:r>
              <w:rPr>
                <w:rFonts w:ascii="Arial" w:cs="Arial" w:eastAsia="Arial" w:hAnsi="Arial"/>
                <w:sz w:val="14"/>
                <w:szCs w:val="14"/>
                <w:color w:val="auto"/>
                <w:w w:val="93"/>
              </w:rPr>
              <w:t>Common Stock, par value $1.00</w:t>
            </w:r>
          </w:p>
        </w:tc>
        <w:tc>
          <w:tcPr>
            <w:tcW w:w="2140" w:type="dxa"/>
            <w:vAlign w:val="bottom"/>
            <w:gridSpan w:val="3"/>
          </w:tcPr>
          <w:p>
            <w:pPr>
              <w:jc w:val="center"/>
              <w:ind w:left="508"/>
              <w:spacing w:after="0"/>
              <w:rPr>
                <w:sz w:val="20"/>
                <w:szCs w:val="20"/>
                <w:color w:val="auto"/>
              </w:rPr>
            </w:pPr>
            <w:r>
              <w:rPr>
                <w:rFonts w:ascii="Arial" w:cs="Arial" w:eastAsia="Arial" w:hAnsi="Arial"/>
                <w:sz w:val="14"/>
                <w:szCs w:val="14"/>
                <w:color w:val="auto"/>
                <w:w w:val="94"/>
              </w:rPr>
              <w:t>New York Stock Exchange</w:t>
            </w:r>
          </w:p>
        </w:tc>
      </w:tr>
      <w:tr>
        <w:trPr>
          <w:trHeight w:val="356"/>
        </w:trPr>
        <w:tc>
          <w:tcPr>
            <w:tcW w:w="778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12(g) of the Act:</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6"/>
        </w:trPr>
        <w:tc>
          <w:tcPr>
            <w:tcW w:w="1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60" w:type="dxa"/>
            <w:vAlign w:val="bottom"/>
          </w:tcPr>
          <w:p>
            <w:pPr>
              <w:jc w:val="center"/>
              <w:ind w:right="1739"/>
              <w:spacing w:after="0"/>
              <w:rPr>
                <w:sz w:val="20"/>
                <w:szCs w:val="20"/>
                <w:color w:val="auto"/>
              </w:rPr>
            </w:pPr>
            <w:r>
              <w:rPr>
                <w:rFonts w:ascii="Arial" w:cs="Arial" w:eastAsia="Arial" w:hAnsi="Arial"/>
                <w:sz w:val="14"/>
                <w:szCs w:val="14"/>
                <w:color w:val="auto"/>
                <w:w w:val="98"/>
              </w:rPr>
              <w:t>NONE</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-1395095</wp:posOffset>
            </wp:positionV>
            <wp:extent cx="3238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32385"/>
                    </a:xfrm>
                    <a:prstGeom prst="rect">
                      <a:avLst/>
                    </a:prstGeom>
                    <a:noFill/>
                  </pic:spPr>
                </pic:pic>
              </a:graphicData>
            </a:graphic>
          </wp:anchor>
        </w:drawing>
      </w:r>
    </w:p>
    <w:p>
      <w:pPr>
        <w:spacing w:after="0" w:line="153" w:lineRule="exact"/>
        <w:rPr>
          <w:sz w:val="20"/>
          <w:szCs w:val="20"/>
          <w:color w:val="auto"/>
        </w:rPr>
      </w:pPr>
    </w:p>
    <w:p>
      <w:pPr>
        <w:ind w:firstLine="181"/>
        <w:spacing w:after="0" w:line="29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316" w:lineRule="exact"/>
        <w:rPr>
          <w:sz w:val="20"/>
          <w:szCs w:val="20"/>
          <w:color w:val="auto"/>
        </w:rPr>
      </w:pPr>
    </w:p>
    <w:p>
      <w:pPr>
        <w:ind w:right="300" w:firstLine="181"/>
        <w:spacing w:after="0" w:line="298"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Indicate by check mark whether the registrant is an accelerated filer (as defined by Rule 12b-2 of the Act).</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YES [X] NO:[  ]</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aggregate market value of the voting common stock held by non-affiliates of the Registrant on July 27, 2002 was $9,409,463,718.</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There were 514,458,723 shares of the Registrant’s common stock, $1.00 par value, outstanding as of March 29, 2003.</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DOCUMENTS INCORPORATED BY REFERENCE</w:t>
      </w:r>
    </w:p>
    <w:p>
      <w:pPr>
        <w:spacing w:after="0" w:line="195" w:lineRule="exact"/>
        <w:rPr>
          <w:sz w:val="20"/>
          <w:szCs w:val="20"/>
          <w:color w:val="auto"/>
        </w:rPr>
      </w:pPr>
    </w:p>
    <w:p>
      <w:pPr>
        <w:ind w:right="320" w:firstLine="181"/>
        <w:spacing w:after="0" w:line="298" w:lineRule="auto"/>
        <w:rPr>
          <w:sz w:val="20"/>
          <w:szCs w:val="20"/>
          <w:color w:val="auto"/>
        </w:rPr>
      </w:pPr>
      <w:r>
        <w:rPr>
          <w:rFonts w:ascii="Arial" w:cs="Arial" w:eastAsia="Arial" w:hAnsi="Arial"/>
          <w:sz w:val="14"/>
          <w:szCs w:val="14"/>
          <w:color w:val="auto"/>
        </w:rPr>
        <w:t>Portions of the Annual Report to Stockholders for the fiscal year ended January 25, 2003 (certain parts as indicated herein) (Parts I and II). Portions of the Proxy Statement for the Annual Meeting of Stockholders to be held on June 3, 2003 (Part III).</w:t>
      </w:r>
    </w:p>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300"/>
          </w:cols>
          <w:pgMar w:left="220" w:top="125" w:right="379" w:bottom="1440" w:gutter="0" w:footer="0" w:header="0"/>
        </w:sectPr>
      </w:pPr>
    </w:p>
    <w:bookmarkStart w:id="2" w:name="page3"/>
    <w:bookmarkEnd w:id="2"/>
    <w:p>
      <w:pPr>
        <w:ind w:left="420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174"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w:t>
        </w:r>
      </w:hyperlink>
    </w:p>
    <w:p>
      <w:pPr>
        <w:spacing w:after="0" w:line="3" w:lineRule="exact"/>
        <w:rPr>
          <w:sz w:val="20"/>
          <w:szCs w:val="20"/>
          <w:color w:val="auto"/>
        </w:rPr>
      </w:pPr>
    </w:p>
    <w:p>
      <w:pPr>
        <w:ind w:left="3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Business</w:t>
        </w:r>
      </w:hyperlink>
    </w:p>
    <w:p>
      <w:pPr>
        <w:spacing w:after="0" w:line="232"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T.J. MAXX AND MARSHALLS</w:t>
        </w:r>
      </w:hyperlink>
    </w:p>
    <w:p>
      <w:pPr>
        <w:spacing w:after="0" w:line="232"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WINNERS</w:t>
        </w:r>
      </w:hyperlink>
    </w:p>
    <w:p>
      <w:pPr>
        <w:spacing w:after="0" w:line="232"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T.K. MAXX</w:t>
        </w:r>
      </w:hyperlink>
    </w:p>
    <w:p>
      <w:pPr>
        <w:spacing w:after="0" w:line="232"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HOMEGOODS</w:t>
        </w:r>
      </w:hyperlink>
    </w:p>
    <w:p>
      <w:pPr>
        <w:spacing w:after="0" w:line="233"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A.J. WRIGHT</w:t>
        </w:r>
      </w:hyperlink>
    </w:p>
    <w:p>
      <w:pPr>
        <w:spacing w:after="0" w:line="232"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EMPLOYEES</w:t>
        </w:r>
      </w:hyperlink>
    </w:p>
    <w:p>
      <w:pPr>
        <w:spacing w:after="0" w:line="232"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COMPETITION</w:t>
        </w:r>
      </w:hyperlink>
    </w:p>
    <w:p>
      <w:pPr>
        <w:spacing w:after="0" w:line="232"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CREDIT</w:t>
        </w:r>
      </w:hyperlink>
    </w:p>
    <w:p>
      <w:pPr>
        <w:spacing w:after="0" w:line="233"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BUYING AND DISTRIBUTION</w:t>
        </w:r>
      </w:hyperlink>
    </w:p>
    <w:p>
      <w:pPr>
        <w:spacing w:after="0" w:line="232"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TRADEMARKS</w:t>
        </w:r>
      </w:hyperlink>
    </w:p>
    <w:p>
      <w:pPr>
        <w:ind w:right="1519"/>
        <w:spacing w:after="0" w:line="232"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SAFE HARBOR STATEMENTS UNDER THE PRIVATE SECURITIES LITIGATION REFORM ACT OF 1995</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SEC FILINGS</w:t>
        </w:r>
      </w:hyperlink>
    </w:p>
    <w:p>
      <w:pPr>
        <w:ind w:left="320"/>
        <w:spacing w:after="0" w:line="232" w:lineRule="auto"/>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ITEM 2. Properties</w:t>
        </w:r>
      </w:hyperlink>
    </w:p>
    <w:p>
      <w:pPr>
        <w:ind w:left="320"/>
        <w:spacing w:after="0" w:line="232" w:lineRule="auto"/>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3. Legal Proceedings</w:t>
        </w:r>
      </w:hyperlink>
    </w:p>
    <w:p>
      <w:pPr>
        <w:ind w:left="320"/>
        <w:spacing w:after="0" w:line="233" w:lineRule="auto"/>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4. Submission of Matters to a Vote of Security Holders</w:t>
        </w:r>
      </w:hyperlink>
    </w:p>
    <w:p>
      <w:pPr>
        <w:ind w:left="320"/>
        <w:spacing w:after="0" w:line="232" w:lineRule="auto"/>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4A. Executive Officers of the Registrant</w:t>
        </w:r>
      </w:hyperlink>
    </w:p>
    <w:p>
      <w:pPr>
        <w:spacing w:after="0" w:line="232" w:lineRule="auto"/>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PART II</w:t>
        </w:r>
      </w:hyperlink>
    </w:p>
    <w:p>
      <w:pPr>
        <w:spacing w:after="0" w:line="1" w:lineRule="exact"/>
        <w:rPr>
          <w:sz w:val="20"/>
          <w:szCs w:val="20"/>
          <w:color w:val="auto"/>
        </w:rPr>
      </w:pPr>
    </w:p>
    <w:p>
      <w:pPr>
        <w:ind w:left="320" w:right="2959"/>
        <w:spacing w:after="0" w:line="232" w:lineRule="auto"/>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5. Market for the Registrant’s Common Stock and Related Security Holder Matters</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ITEM 6. Selected Financial Data</w:t>
        </w:r>
      </w:hyperlink>
    </w:p>
    <w:p>
      <w:pPr>
        <w:ind w:left="320" w:right="2299"/>
        <w:spacing w:after="0" w:line="232" w:lineRule="auto"/>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7. 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ITEM 7A. Quantitative and Qualitative Disclosure about Market Risk</w:t>
        </w:r>
      </w:hyperlink>
      <w:r>
        <w:rPr>
          <w:rFonts w:ascii="Arial" w:cs="Arial" w:eastAsia="Arial" w:hAnsi="Arial"/>
          <w:sz w:val="18"/>
          <w:szCs w:val="18"/>
          <w:u w:val="single" w:color="auto"/>
          <w:color w:val="0000EE"/>
        </w:rPr>
        <w:t xml:space="preserve"> </w:t>
      </w:r>
      <w:hyperlink w:anchor="page15">
        <w:r>
          <w:rPr>
            <w:rFonts w:ascii="Arial" w:cs="Arial" w:eastAsia="Arial" w:hAnsi="Arial"/>
            <w:sz w:val="18"/>
            <w:szCs w:val="18"/>
            <w:u w:val="single" w:color="auto"/>
            <w:color w:val="0000EE"/>
          </w:rPr>
          <w:t>ITEM 8. Financial Statements and Supplementary Data</w:t>
        </w:r>
      </w:hyperlink>
    </w:p>
    <w:p>
      <w:pPr>
        <w:ind w:left="320"/>
        <w:spacing w:after="0" w:line="232" w:lineRule="auto"/>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9. Disagreements on Accounting and Financial Disclosure</w:t>
        </w:r>
      </w:hyperlink>
    </w:p>
    <w:p>
      <w:pPr>
        <w:spacing w:after="0" w:line="233" w:lineRule="auto"/>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PART III</w:t>
        </w:r>
      </w:hyperlink>
    </w:p>
    <w:p>
      <w:pPr>
        <w:ind w:left="320"/>
        <w:spacing w:after="0" w:line="232" w:lineRule="auto"/>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10. Directors and Executive Officers of the Registrant</w:t>
        </w:r>
      </w:hyperlink>
    </w:p>
    <w:p>
      <w:pPr>
        <w:ind w:left="320"/>
        <w:spacing w:after="0" w:line="232" w:lineRule="auto"/>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11. Executive Compensation</w:t>
        </w:r>
      </w:hyperlink>
    </w:p>
    <w:p>
      <w:pPr>
        <w:spacing w:after="0" w:line="1" w:lineRule="exact"/>
        <w:rPr>
          <w:rFonts w:ascii="Arial" w:cs="Arial" w:eastAsia="Arial" w:hAnsi="Arial"/>
          <w:sz w:val="18"/>
          <w:szCs w:val="18"/>
          <w:u w:val="single" w:color="auto"/>
          <w:color w:val="0000EE"/>
        </w:rPr>
      </w:pPr>
    </w:p>
    <w:p>
      <w:pPr>
        <w:ind w:left="320" w:right="3759"/>
        <w:spacing w:after="0" w:line="232" w:lineRule="auto"/>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12. Security Ownership of Certain Beneficial Owners and Management</w:t>
        </w:r>
      </w:hyperlink>
      <w:r>
        <w:rPr>
          <w:rFonts w:ascii="Arial" w:cs="Arial" w:eastAsia="Arial" w:hAnsi="Arial"/>
          <w:sz w:val="18"/>
          <w:szCs w:val="18"/>
          <w:u w:val="single" w:color="auto"/>
          <w:color w:val="0000EE"/>
        </w:rPr>
        <w:t xml:space="preserve"> </w:t>
      </w:r>
      <w:hyperlink w:anchor="page16">
        <w:r>
          <w:rPr>
            <w:rFonts w:ascii="Arial" w:cs="Arial" w:eastAsia="Arial" w:hAnsi="Arial"/>
            <w:sz w:val="18"/>
            <w:szCs w:val="18"/>
            <w:u w:val="single" w:color="auto"/>
            <w:color w:val="0000EE"/>
          </w:rPr>
          <w:t>ITEM 13. Certain Relationships and Related Transactions</w:t>
        </w:r>
      </w:hyperlink>
      <w:r>
        <w:rPr>
          <w:rFonts w:ascii="Arial" w:cs="Arial" w:eastAsia="Arial" w:hAnsi="Arial"/>
          <w:sz w:val="18"/>
          <w:szCs w:val="18"/>
          <w:u w:val="single" w:color="auto"/>
          <w:color w:val="0000EE"/>
        </w:rPr>
        <w:t xml:space="preserve"> </w:t>
      </w:r>
      <w:hyperlink w:anchor="page16">
        <w:r>
          <w:rPr>
            <w:rFonts w:ascii="Arial" w:cs="Arial" w:eastAsia="Arial" w:hAnsi="Arial"/>
            <w:sz w:val="18"/>
            <w:szCs w:val="18"/>
            <w:u w:val="single" w:color="auto"/>
            <w:color w:val="0000EE"/>
          </w:rPr>
          <w:t>ITEM 14. Controls and Procedures</w:t>
        </w:r>
      </w:hyperlink>
    </w:p>
    <w:p>
      <w:pPr>
        <w:ind w:left="320"/>
        <w:spacing w:after="0" w:line="232" w:lineRule="auto"/>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15. Principal Accountant Fees and Services.</w:t>
        </w:r>
      </w:hyperlink>
    </w:p>
    <w:p>
      <w:pPr>
        <w:spacing w:after="0" w:line="233" w:lineRule="auto"/>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PART IV</w:t>
        </w:r>
      </w:hyperlink>
    </w:p>
    <w:p>
      <w:pPr>
        <w:ind w:left="320"/>
        <w:spacing w:after="0" w:line="232" w:lineRule="auto"/>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16 Exhibits, Financial Statement Schedules, and Reports on Form 8-K</w:t>
        </w:r>
      </w:hyperlink>
    </w:p>
    <w:p>
      <w:pPr>
        <w:spacing w:after="0" w:line="232" w:lineRule="auto"/>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SIGNATURES</w:t>
        </w:r>
      </w:hyperlink>
    </w:p>
    <w:p>
      <w:pPr>
        <w:spacing w:after="0" w:line="232" w:lineRule="auto"/>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CERTIFICATIONS</w:t>
        </w:r>
      </w:hyperlink>
    </w:p>
    <w:p>
      <w:pPr>
        <w:spacing w:after="0" w:line="233"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INDEX TO CONSOLIDATED FINANCIAL STATEMENTS</w:t>
        </w:r>
      </w:hyperlink>
    </w:p>
    <w:p>
      <w:pPr>
        <w:spacing w:after="0" w:line="232"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CONSENT OF INDEPENDENT ACCOUNTANTS</w:t>
        </w:r>
      </w:hyperlink>
    </w:p>
    <w:p>
      <w:pPr>
        <w:spacing w:after="0" w:line="232" w:lineRule="auto"/>
        <w:rPr>
          <w:sz w:val="20"/>
          <w:szCs w:val="20"/>
          <w:color w:val="auto"/>
        </w:rPr>
      </w:pPr>
      <w:r>
        <w:rPr>
          <w:rFonts w:ascii="Arial" w:cs="Arial" w:eastAsia="Arial" w:hAnsi="Arial"/>
          <w:sz w:val="18"/>
          <w:szCs w:val="18"/>
          <w:u w:val="single" w:color="auto"/>
          <w:color w:val="0000EE"/>
        </w:rPr>
        <w:t>Ex-10.2 Amend No. 3 to the 364 Day Rev Credit Agmt</w:t>
      </w:r>
    </w:p>
    <w:p>
      <w:pPr>
        <w:spacing w:after="0" w:line="232" w:lineRule="auto"/>
        <w:rPr>
          <w:sz w:val="20"/>
          <w:szCs w:val="20"/>
          <w:color w:val="auto"/>
        </w:rPr>
      </w:pPr>
      <w:r>
        <w:rPr>
          <w:rFonts w:ascii="Arial" w:cs="Arial" w:eastAsia="Arial" w:hAnsi="Arial"/>
          <w:sz w:val="18"/>
          <w:szCs w:val="18"/>
          <w:u w:val="single" w:color="auto"/>
          <w:color w:val="0000EE"/>
        </w:rPr>
        <w:t>Ex-10.17 The Restoration Agreement 12/31/02</w:t>
      </w:r>
    </w:p>
    <w:p>
      <w:pPr>
        <w:spacing w:after="0" w:line="233" w:lineRule="auto"/>
        <w:rPr>
          <w:sz w:val="20"/>
          <w:szCs w:val="20"/>
          <w:color w:val="auto"/>
        </w:rPr>
      </w:pPr>
      <w:r>
        <w:rPr>
          <w:rFonts w:ascii="Arial" w:cs="Arial" w:eastAsia="Arial" w:hAnsi="Arial"/>
          <w:sz w:val="18"/>
          <w:szCs w:val="18"/>
          <w:u w:val="single" w:color="auto"/>
          <w:color w:val="0000EE"/>
        </w:rPr>
        <w:t>Ex-10.19 The Restoration Agreement 1/20/03</w:t>
      </w:r>
    </w:p>
    <w:p>
      <w:pPr>
        <w:spacing w:after="0" w:line="232" w:lineRule="auto"/>
        <w:rPr>
          <w:sz w:val="20"/>
          <w:szCs w:val="20"/>
          <w:color w:val="auto"/>
        </w:rPr>
      </w:pPr>
      <w:r>
        <w:rPr>
          <w:rFonts w:ascii="Arial" w:cs="Arial" w:eastAsia="Arial" w:hAnsi="Arial"/>
          <w:sz w:val="18"/>
          <w:szCs w:val="18"/>
          <w:u w:val="single" w:color="auto"/>
          <w:color w:val="0000EE"/>
        </w:rPr>
        <w:t>Ex-10.20 Modification Agreement 1/20/03</w:t>
      </w:r>
    </w:p>
    <w:p>
      <w:pPr>
        <w:spacing w:after="0" w:line="232" w:lineRule="auto"/>
        <w:rPr>
          <w:sz w:val="20"/>
          <w:szCs w:val="20"/>
          <w:color w:val="auto"/>
        </w:rPr>
      </w:pPr>
      <w:r>
        <w:rPr>
          <w:rFonts w:ascii="Arial" w:cs="Arial" w:eastAsia="Arial" w:hAnsi="Arial"/>
          <w:sz w:val="18"/>
          <w:szCs w:val="18"/>
          <w:u w:val="single" w:color="auto"/>
          <w:color w:val="0000EE"/>
        </w:rPr>
        <w:t>Ex-13 Portions of the Annual Report</w:t>
      </w:r>
    </w:p>
    <w:p>
      <w:pPr>
        <w:spacing w:after="0" w:line="232" w:lineRule="auto"/>
        <w:rPr>
          <w:sz w:val="20"/>
          <w:szCs w:val="20"/>
          <w:color w:val="auto"/>
        </w:rPr>
      </w:pPr>
      <w:r>
        <w:rPr>
          <w:rFonts w:ascii="Arial" w:cs="Arial" w:eastAsia="Arial" w:hAnsi="Arial"/>
          <w:sz w:val="18"/>
          <w:szCs w:val="18"/>
          <w:u w:val="single" w:color="auto"/>
          <w:color w:val="0000EE"/>
        </w:rPr>
        <w:t>Ex-14 TJX's Code of Ethics</w:t>
      </w:r>
    </w:p>
    <w:p>
      <w:pPr>
        <w:spacing w:after="0" w:line="233" w:lineRule="auto"/>
        <w:rPr>
          <w:sz w:val="20"/>
          <w:szCs w:val="20"/>
          <w:color w:val="auto"/>
        </w:rPr>
      </w:pPr>
      <w:r>
        <w:rPr>
          <w:rFonts w:ascii="Arial" w:cs="Arial" w:eastAsia="Arial" w:hAnsi="Arial"/>
          <w:sz w:val="18"/>
          <w:szCs w:val="18"/>
          <w:u w:val="single" w:color="auto"/>
          <w:color w:val="0000EE"/>
        </w:rPr>
        <w:t>Ex-21 List of Subsidiaries</w:t>
      </w:r>
    </w:p>
    <w:p>
      <w:pPr>
        <w:spacing w:after="0" w:line="232" w:lineRule="auto"/>
        <w:rPr>
          <w:sz w:val="20"/>
          <w:szCs w:val="20"/>
          <w:color w:val="auto"/>
        </w:rPr>
      </w:pPr>
      <w:r>
        <w:rPr>
          <w:rFonts w:ascii="Arial" w:cs="Arial" w:eastAsia="Arial" w:hAnsi="Arial"/>
          <w:sz w:val="18"/>
          <w:szCs w:val="18"/>
          <w:u w:val="single" w:color="auto"/>
          <w:color w:val="0000EE"/>
        </w:rPr>
        <w:t>Ex-24 Power of Attorney</w:t>
      </w:r>
    </w:p>
    <w:p>
      <w:pPr>
        <w:spacing w:after="0" w:line="232" w:lineRule="auto"/>
        <w:rPr>
          <w:sz w:val="20"/>
          <w:szCs w:val="20"/>
          <w:color w:val="auto"/>
        </w:rPr>
      </w:pPr>
      <w:r>
        <w:rPr>
          <w:rFonts w:ascii="Arial" w:cs="Arial" w:eastAsia="Arial" w:hAnsi="Arial"/>
          <w:sz w:val="18"/>
          <w:szCs w:val="18"/>
          <w:u w:val="single" w:color="auto"/>
          <w:color w:val="0000EE"/>
        </w:rPr>
        <w:t>Ex-99.1 Certification of Chief Executive Officer</w:t>
      </w:r>
    </w:p>
    <w:p>
      <w:pPr>
        <w:spacing w:after="0"/>
        <w:rPr>
          <w:sz w:val="20"/>
          <w:szCs w:val="20"/>
          <w:color w:val="auto"/>
        </w:rPr>
      </w:pPr>
      <w:r>
        <w:rPr>
          <w:rFonts w:ascii="Arial" w:cs="Arial" w:eastAsia="Arial" w:hAnsi="Arial"/>
          <w:sz w:val="18"/>
          <w:szCs w:val="18"/>
          <w:u w:val="single" w:color="auto"/>
          <w:color w:val="0000EE"/>
        </w:rPr>
        <w:t>Ex-99.2 Certification of Chief Financial Officer</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107950</wp:posOffset>
            </wp:positionV>
            <wp:extent cx="7276465" cy="19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9659"/>
          </w:cols>
          <w:pgMar w:left="800" w:top="118"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PART I</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ITEM 1. Business</w:t>
      </w:r>
    </w:p>
    <w:p>
      <w:pPr>
        <w:spacing w:after="0" w:line="195" w:lineRule="exact"/>
        <w:rPr>
          <w:sz w:val="20"/>
          <w:szCs w:val="20"/>
          <w:color w:val="auto"/>
        </w:rPr>
      </w:pPr>
    </w:p>
    <w:p>
      <w:pPr>
        <w:ind w:right="40" w:firstLine="178"/>
        <w:spacing w:after="0" w:line="273" w:lineRule="auto"/>
        <w:rPr>
          <w:sz w:val="20"/>
          <w:szCs w:val="20"/>
          <w:color w:val="auto"/>
        </w:rPr>
      </w:pPr>
      <w:r>
        <w:rPr>
          <w:rFonts w:ascii="Arial" w:cs="Arial" w:eastAsia="Arial" w:hAnsi="Arial"/>
          <w:sz w:val="14"/>
          <w:szCs w:val="14"/>
          <w:color w:val="auto"/>
        </w:rPr>
        <w:t>We are the leading off-price retailer of apparel and home fashions in the United States and worldwide. We have positioned ourselves as a synergistic group of off-price businesses. We offer off-price family apparel and home fashions through our T.J. Maxx, Marshalls and A.J. Wright chains in the United States, our Winners chain in Canada and our T.K. Maxx chain in the United Kingdom and Ireland. We also operate HomeGoods in the United States, a chain that focuses exclusively on off-price home fashions, and we launched a Canadian home fashions chain called HomeSense in fiscal 2002. The target customer for all of our chains, except A.J. Wright, is the middle to upper-middle income shopper with the same profile as a department or specialty store customer. A.J. Wright targets a more moderate income customer.</w:t>
      </w:r>
    </w:p>
    <w:p>
      <w:pPr>
        <w:spacing w:after="0" w:line="153" w:lineRule="exact"/>
        <w:rPr>
          <w:sz w:val="20"/>
          <w:szCs w:val="20"/>
          <w:color w:val="auto"/>
        </w:rPr>
      </w:pPr>
    </w:p>
    <w:p>
      <w:pPr>
        <w:ind w:right="360" w:firstLine="181"/>
        <w:spacing w:after="0" w:line="339" w:lineRule="auto"/>
        <w:rPr>
          <w:sz w:val="20"/>
          <w:szCs w:val="20"/>
          <w:color w:val="auto"/>
        </w:rPr>
      </w:pPr>
      <w:r>
        <w:rPr>
          <w:rFonts w:ascii="Arial" w:cs="Arial" w:eastAsia="Arial" w:hAnsi="Arial"/>
          <w:sz w:val="13"/>
          <w:szCs w:val="13"/>
          <w:color w:val="auto"/>
        </w:rPr>
        <w:t>Our mission is to deliver an exciting, fresh and rapidly changing assortment of brand-name merchandise at excellent values to our customers. We define value as the combination of quality, fashion and price. With approximately 300 buyers worldwide and about 9,000 vendors, we believe we are well positioned to continue accomplishing this goal. Our key strengths include:</w:t>
      </w:r>
    </w:p>
    <w:p>
      <w:pPr>
        <w:spacing w:after="0" w:line="112" w:lineRule="exact"/>
        <w:rPr>
          <w:sz w:val="20"/>
          <w:szCs w:val="20"/>
          <w:color w:val="auto"/>
        </w:rPr>
      </w:pPr>
    </w:p>
    <w:p>
      <w:pPr>
        <w:ind w:left="480" w:hanging="471"/>
        <w:spacing w:after="0"/>
        <w:tabs>
          <w:tab w:leader="none" w:pos="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expertise in off-price buying;</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substantial buying power;</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solid relationships with many manufacturers and other merchandise suppliers;</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deep organization with decades of experience in off-price retailing, and</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off-price inventory management systems and distribution networks.</w:t>
      </w:r>
    </w:p>
    <w:p>
      <w:pPr>
        <w:spacing w:after="0" w:line="195" w:lineRule="exact"/>
        <w:rPr>
          <w:sz w:val="20"/>
          <w:szCs w:val="20"/>
          <w:color w:val="auto"/>
        </w:rPr>
      </w:pPr>
    </w:p>
    <w:p>
      <w:pPr>
        <w:ind w:right="40" w:firstLine="173"/>
        <w:spacing w:after="0" w:line="298" w:lineRule="auto"/>
        <w:rPr>
          <w:sz w:val="20"/>
          <w:szCs w:val="20"/>
          <w:color w:val="auto"/>
        </w:rPr>
      </w:pPr>
      <w:r>
        <w:rPr>
          <w:rFonts w:ascii="Arial" w:cs="Arial" w:eastAsia="Arial" w:hAnsi="Arial"/>
          <w:sz w:val="14"/>
          <w:szCs w:val="14"/>
          <w:color w:val="auto"/>
        </w:rPr>
        <w:t>As an off-price retailer, we offer fine-quality, name brand and designer family apparel and home fashions every day at substantial savings from comparable department and specialty store regular prices. We can offer these every day savings as a result of our opportunistic buying strategies, rapid inventory turns and low expense structure.</w:t>
      </w:r>
    </w:p>
    <w:p>
      <w:pPr>
        <w:spacing w:after="0" w:line="134" w:lineRule="exact"/>
        <w:rPr>
          <w:sz w:val="20"/>
          <w:szCs w:val="20"/>
          <w:color w:val="auto"/>
        </w:rPr>
      </w:pPr>
    </w:p>
    <w:p>
      <w:pPr>
        <w:ind w:firstLine="178"/>
        <w:spacing w:after="0" w:line="269" w:lineRule="auto"/>
        <w:rPr>
          <w:sz w:val="20"/>
          <w:szCs w:val="20"/>
          <w:color w:val="auto"/>
        </w:rPr>
      </w:pPr>
      <w:r>
        <w:rPr>
          <w:rFonts w:ascii="Arial" w:cs="Arial" w:eastAsia="Arial" w:hAnsi="Arial"/>
          <w:sz w:val="14"/>
          <w:szCs w:val="14"/>
          <w:color w:val="auto"/>
        </w:rPr>
        <w:t>We purchase much of our inventory opportunistically. Different from traditional retailers which order goods far in advance of the time they will appear on the selling floor, TJX buyers are in the marketplace virtually every week. By maintaining a liquid inventory position, our buyers can buy close to need, enabling them to buy into current market trends and take advantage of the opportunities in the marketplace. As a result, we can offer our customers rapidly changing inventory at every-day prices substantially lower than regular department and specialty store prices. Due to the unpredictable nature of consumer demand in the marketplace, we are regularly able to buy the vast portion of our inventory directly from manufacturers, with some merchandise coming from retailers and others. Virtually all of our buys are made at significant discounts from initial wholesale prices. TJX sources its merchandise from approximately 9,000 vendors. We generally purchase merchandise to sell in the current selling season as well as a limited quantity of packaway merchandise that we buy specifically to store and sell in a future selling season. We are willing to purchase less than a full assortment of styles and sizes. We pay promptly and do not ask for typical retail concessions such as promotional and markdown allowances or return privileges or delivery concessions such as drop shipments to stores or delayed deliveries. Our financial strength, strong reputation and ability to sell large quantities of merchandise through a geographically diverse network of stores gives us excellent access to leading branded merchandise.</w:t>
      </w:r>
    </w:p>
    <w:p>
      <w:pPr>
        <w:spacing w:after="0" w:line="156" w:lineRule="exact"/>
        <w:rPr>
          <w:sz w:val="20"/>
          <w:szCs w:val="20"/>
          <w:color w:val="auto"/>
        </w:rPr>
      </w:pPr>
    </w:p>
    <w:p>
      <w:pPr>
        <w:ind w:right="400" w:firstLine="178"/>
        <w:spacing w:after="0" w:line="298" w:lineRule="auto"/>
        <w:rPr>
          <w:sz w:val="20"/>
          <w:szCs w:val="20"/>
          <w:color w:val="auto"/>
        </w:rPr>
      </w:pPr>
      <w:r>
        <w:rPr>
          <w:rFonts w:ascii="Arial" w:cs="Arial" w:eastAsia="Arial" w:hAnsi="Arial"/>
          <w:sz w:val="14"/>
          <w:szCs w:val="14"/>
          <w:color w:val="auto"/>
        </w:rPr>
        <w:t>We rely heavily on sophisticated, internally developed inventory controls that permit a virtually continuous flow of merchandise into our stores. For example, highly automated storage and distribution systems track, allocate and deliver an average of 12,000 items per week to each</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20"/>
        <w:spacing w:after="0" w:line="276" w:lineRule="auto"/>
        <w:rPr>
          <w:sz w:val="20"/>
          <w:szCs w:val="20"/>
          <w:color w:val="auto"/>
        </w:rPr>
      </w:pPr>
      <w:r>
        <w:rPr>
          <w:rFonts w:ascii="Arial" w:cs="Arial" w:eastAsia="Arial" w:hAnsi="Arial"/>
          <w:sz w:val="14"/>
          <w:szCs w:val="14"/>
          <w:color w:val="auto"/>
        </w:rPr>
        <w:t>T.J. Maxx and Marshalls store. In addition, specialized computer inventory planning, purchasing and monitoring systems, coupled with warehouse storage, processing, handling and shipping systems, permit a continuous evaluation and rapid replenishment of store inventory. Pricing, markdown decisions and store inventory replenishment requirements are determined centrally, using satellite-transmitted information provided by point-of-sale computer terminals. This process allows us to achieve rapid in-store inventory turnover on a vast array of product and sell substantially all merchandise within targeted selling periods.</w:t>
      </w:r>
    </w:p>
    <w:p>
      <w:pPr>
        <w:spacing w:after="0" w:line="150" w:lineRule="exact"/>
        <w:rPr>
          <w:sz w:val="20"/>
          <w:szCs w:val="20"/>
          <w:color w:val="auto"/>
        </w:rPr>
      </w:pPr>
    </w:p>
    <w:p>
      <w:pPr>
        <w:ind w:right="120" w:firstLine="178"/>
        <w:spacing w:after="0" w:line="281" w:lineRule="auto"/>
        <w:rPr>
          <w:sz w:val="20"/>
          <w:szCs w:val="20"/>
          <w:color w:val="auto"/>
        </w:rPr>
      </w:pPr>
      <w:r>
        <w:rPr>
          <w:rFonts w:ascii="Arial" w:cs="Arial" w:eastAsia="Arial" w:hAnsi="Arial"/>
          <w:sz w:val="14"/>
          <w:szCs w:val="14"/>
          <w:color w:val="auto"/>
        </w:rPr>
        <w:t>We operate with a low cost structure relative to many other retailers. While we seek to provide a pleasant, easy shopping environment with emphasis on customer convenience, we do not spend large sums on store fixtures. Similarly, our advertising budget as a percent of sales is low with our advertising focused on awareness of shopping at our stores rather than promoting particular merchandise. Our high sales per square foot productivity and rapid inventory turnover also provides expense efficiencies.</w:t>
      </w:r>
    </w:p>
    <w:p>
      <w:pPr>
        <w:spacing w:after="0" w:line="147" w:lineRule="exact"/>
        <w:rPr>
          <w:sz w:val="20"/>
          <w:szCs w:val="20"/>
          <w:color w:val="auto"/>
        </w:rPr>
      </w:pPr>
    </w:p>
    <w:p>
      <w:pPr>
        <w:ind w:right="220" w:firstLine="181"/>
        <w:spacing w:after="0" w:line="298" w:lineRule="auto"/>
        <w:rPr>
          <w:sz w:val="20"/>
          <w:szCs w:val="20"/>
          <w:color w:val="auto"/>
        </w:rPr>
      </w:pPr>
      <w:r>
        <w:rPr>
          <w:rFonts w:ascii="Arial" w:cs="Arial" w:eastAsia="Arial" w:hAnsi="Arial"/>
          <w:sz w:val="14"/>
          <w:szCs w:val="14"/>
          <w:color w:val="auto"/>
        </w:rPr>
        <w:t>Because all of our chains operate with the same off-price strategies and systems, we are able to capitalize upon expertise and best practices in all our chains, develop associates by transferring them from one chain to another and grow our various businesses efficiently and effectively.</w:t>
      </w:r>
    </w:p>
    <w:p>
      <w:pPr>
        <w:spacing w:after="0" w:line="134" w:lineRule="exact"/>
        <w:rPr>
          <w:sz w:val="20"/>
          <w:szCs w:val="20"/>
          <w:color w:val="auto"/>
        </w:rPr>
      </w:pPr>
    </w:p>
    <w:p>
      <w:pPr>
        <w:ind w:right="60" w:firstLine="181"/>
        <w:spacing w:after="0" w:line="298" w:lineRule="auto"/>
        <w:rPr>
          <w:sz w:val="20"/>
          <w:szCs w:val="20"/>
          <w:color w:val="auto"/>
        </w:rPr>
      </w:pPr>
      <w:r>
        <w:rPr>
          <w:rFonts w:ascii="Arial" w:cs="Arial" w:eastAsia="Arial" w:hAnsi="Arial"/>
          <w:sz w:val="14"/>
          <w:szCs w:val="14"/>
          <w:color w:val="auto"/>
        </w:rPr>
        <w:t>During the fiscal year ended January 25, 2003, we derived 87.4% of our sales from the United States (30.8% from the Northeast, 16.0% from the Midwest, 26.7% from the South, 0.9% from the Central Plains, 13.0% from the West), 6.6% from Canada and 6.0% from Europe (specifically in the United Kingdom and Ireland).</w:t>
      </w:r>
    </w:p>
    <w:p>
      <w:pPr>
        <w:spacing w:after="0" w:line="134" w:lineRule="exact"/>
        <w:rPr>
          <w:sz w:val="20"/>
          <w:szCs w:val="20"/>
          <w:color w:val="auto"/>
        </w:rPr>
      </w:pPr>
    </w:p>
    <w:p>
      <w:pPr>
        <w:ind w:right="140" w:firstLine="181"/>
        <w:spacing w:after="0" w:line="276" w:lineRule="auto"/>
        <w:rPr>
          <w:sz w:val="20"/>
          <w:szCs w:val="20"/>
          <w:color w:val="auto"/>
        </w:rPr>
      </w:pPr>
      <w:r>
        <w:rPr>
          <w:rFonts w:ascii="Arial" w:cs="Arial" w:eastAsia="Arial" w:hAnsi="Arial"/>
          <w:sz w:val="14"/>
          <w:szCs w:val="14"/>
          <w:color w:val="auto"/>
        </w:rPr>
        <w:t>Unless otherwise indicated, all store information is as of January 25, 2003. All references to store square footage are to gross square feet. Fiscal 2002 means the fiscal year ended January 26, 2002, fiscal 2003 means the fiscal year ended January 25, 2003 and fiscal 2004 means the fiscal year ending January 31, 2004. Our business is subject to seasonal influences, which causes us generally to realize higher levels of sales and income in the second half of the year. This is common in the apparel retail business. We are incorporating by reference our segment information from pages 40 and 41 of the Annual Report under the caption “Segment Information.”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T.J. MAXX AND MARSHALLS</w:t>
      </w:r>
    </w:p>
    <w:p>
      <w:pPr>
        <w:spacing w:after="0" w:line="195" w:lineRule="exact"/>
        <w:rPr>
          <w:sz w:val="20"/>
          <w:szCs w:val="20"/>
          <w:color w:val="auto"/>
        </w:rPr>
      </w:pPr>
    </w:p>
    <w:p>
      <w:pPr>
        <w:jc w:val="both"/>
        <w:ind w:firstLine="178"/>
        <w:spacing w:after="0" w:line="281" w:lineRule="auto"/>
        <w:rPr>
          <w:sz w:val="20"/>
          <w:szCs w:val="20"/>
          <w:color w:val="auto"/>
        </w:rPr>
      </w:pPr>
      <w:r>
        <w:rPr>
          <w:rFonts w:ascii="Arial" w:cs="Arial" w:eastAsia="Arial" w:hAnsi="Arial"/>
          <w:sz w:val="14"/>
          <w:szCs w:val="14"/>
          <w:color w:val="auto"/>
        </w:rPr>
        <w:t>T.J. Maxx is the largest off-price retail chain in the United States, with 713 stores in 47 states. Marshalls is the second-largest off-price retailer in the United States, with 615 stores in 42 states as well as 14 stores in Puerto Rico. We maintain the separate identities of the T.J. Maxx and Marshalls stores through merchandising, marketing and store appearance. This encourages our customers to shop at both chains.</w:t>
      </w:r>
    </w:p>
    <w:p>
      <w:pPr>
        <w:spacing w:after="0" w:line="147" w:lineRule="exact"/>
        <w:rPr>
          <w:sz w:val="20"/>
          <w:szCs w:val="20"/>
          <w:color w:val="auto"/>
        </w:rPr>
      </w:pPr>
    </w:p>
    <w:p>
      <w:pPr>
        <w:ind w:right="220" w:firstLine="178"/>
        <w:spacing w:after="0" w:line="312" w:lineRule="auto"/>
        <w:rPr>
          <w:sz w:val="20"/>
          <w:szCs w:val="20"/>
          <w:color w:val="auto"/>
        </w:rPr>
      </w:pPr>
      <w:r>
        <w:rPr>
          <w:rFonts w:ascii="Arial" w:cs="Arial" w:eastAsia="Arial" w:hAnsi="Arial"/>
          <w:sz w:val="13"/>
          <w:szCs w:val="13"/>
          <w:color w:val="auto"/>
        </w:rPr>
        <w:t>T.J. Maxx and Marshalls sell quality brand name merchandise at prices generally 20%-60% below department and specialty store regular prices. Both chains offer family apparel, accessories, giftware and domestics. T.J. Maxx also offers women’s shoes and fine jewelry, while Marshalls also offers a full-line shoe department and a larger men’s department. T.J. Maxx and Marshalls primarily target female customers who have families with middle to upper-middle incomes and who generally fit the profile of a department or specialty store shopper.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120" w:firstLine="178"/>
        <w:spacing w:after="0" w:line="281" w:lineRule="auto"/>
        <w:rPr>
          <w:sz w:val="20"/>
          <w:szCs w:val="20"/>
          <w:color w:val="auto"/>
        </w:rPr>
      </w:pPr>
      <w:r>
        <w:rPr>
          <w:rFonts w:ascii="Arial" w:cs="Arial" w:eastAsia="Arial" w:hAnsi="Arial"/>
          <w:sz w:val="14"/>
          <w:szCs w:val="14"/>
          <w:color w:val="auto"/>
        </w:rPr>
        <w:t>T.J. Maxx and Marshalls operate with a common buying and merchandising organization and have consolidated administrative functions, including finance and human resources. The combined organization, known internally as The Marmaxx Group, offers us increased leverage to purchase merchandise at favorable prices and allows us to operate with a lower cost structure. These advantages are key to our ability to sell quality, brand name merchandise at substantial discounts from department and specialty store regular prices.</w:t>
      </w:r>
    </w:p>
    <w:p>
      <w:pPr>
        <w:spacing w:after="0" w:line="147" w:lineRule="exact"/>
        <w:rPr>
          <w:sz w:val="20"/>
          <w:szCs w:val="20"/>
          <w:color w:val="auto"/>
        </w:rPr>
      </w:pPr>
    </w:p>
    <w:p>
      <w:pPr>
        <w:ind w:right="120" w:firstLine="178"/>
        <w:spacing w:after="0" w:line="281" w:lineRule="auto"/>
        <w:rPr>
          <w:sz w:val="20"/>
          <w:szCs w:val="20"/>
          <w:color w:val="auto"/>
        </w:rPr>
      </w:pPr>
      <w:r>
        <w:rPr>
          <w:rFonts w:ascii="Arial" w:cs="Arial" w:eastAsia="Arial" w:hAnsi="Arial"/>
          <w:sz w:val="14"/>
          <w:szCs w:val="14"/>
          <w:color w:val="auto"/>
        </w:rPr>
        <w:t>T.J. Maxx and Marshalls stores are generally located in suburban community shopping centers. T.J. Maxx stores average approximately 30,000 square feet. Marshalls stores average approximately 31,000 square feet. We currently expect to add a net of 79 stores in fiscal 2004. Ultimately, we believe that T.J. Maxx and Marshalls together can operate approximately 1,800 stores in the United States and Puerto Rico.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WINNERS</w:t>
      </w:r>
    </w:p>
    <w:p>
      <w:pPr>
        <w:spacing w:after="0" w:line="195" w:lineRule="exact"/>
        <w:rPr>
          <w:sz w:val="20"/>
          <w:szCs w:val="20"/>
          <w:color w:val="auto"/>
        </w:rPr>
      </w:pPr>
    </w:p>
    <w:p>
      <w:pPr>
        <w:ind w:right="60" w:firstLine="178"/>
        <w:spacing w:after="0" w:line="281" w:lineRule="auto"/>
        <w:rPr>
          <w:sz w:val="20"/>
          <w:szCs w:val="20"/>
          <w:color w:val="auto"/>
        </w:rPr>
      </w:pPr>
      <w:r>
        <w:rPr>
          <w:rFonts w:ascii="Arial" w:cs="Arial" w:eastAsia="Arial" w:hAnsi="Arial"/>
          <w:sz w:val="14"/>
          <w:szCs w:val="14"/>
          <w:color w:val="auto"/>
        </w:rPr>
        <w:t>Winners is the leading off-price retailer in Canada, offering off-price designer and brand name women’s apparel and shoes, lingerie, accessories, domestics, giftware, menswear and children’s clothing. We currently operate a total of 146 Winners stores which average approximately 28,000 square feet. Beginning in fiscal 2001, selected stores added fine jewelry departments. We expect to add 13 Winners stores in fiscal 2004. Ultimately, we believe the Canadian market can support approximately 200 Winners stores.</w:t>
      </w:r>
    </w:p>
    <w:p>
      <w:pPr>
        <w:spacing w:after="0" w:line="147" w:lineRule="exact"/>
        <w:rPr>
          <w:sz w:val="20"/>
          <w:szCs w:val="20"/>
          <w:color w:val="auto"/>
        </w:rPr>
      </w:pPr>
    </w:p>
    <w:p>
      <w:pPr>
        <w:jc w:val="both"/>
        <w:ind w:right="220" w:firstLine="178"/>
        <w:spacing w:after="0" w:line="281" w:lineRule="auto"/>
        <w:rPr>
          <w:sz w:val="20"/>
          <w:szCs w:val="20"/>
          <w:color w:val="auto"/>
        </w:rPr>
      </w:pPr>
      <w:r>
        <w:rPr>
          <w:rFonts w:ascii="Arial" w:cs="Arial" w:eastAsia="Arial" w:hAnsi="Arial"/>
          <w:sz w:val="14"/>
          <w:szCs w:val="14"/>
          <w:color w:val="auto"/>
        </w:rPr>
        <w:t>Winners opened our first seven HomeSense stores, in Canada, in fiscal 2002 and added 8 stores in fiscal 2003 to finish the year with 15 stores. Like our HomeGoods chain, HomeSense offers off-price home fashions. HomeSense stores average approximately 25,000 square feet. We currently expect to add 8 stores in fiscal 2004. We believe that Canada could support approximately 80 HomeSense stores in the long-term.</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T.K. MAXX</w:t>
      </w:r>
    </w:p>
    <w:p>
      <w:pPr>
        <w:spacing w:after="0" w:line="195" w:lineRule="exact"/>
        <w:rPr>
          <w:sz w:val="20"/>
          <w:szCs w:val="20"/>
          <w:color w:val="auto"/>
        </w:rPr>
      </w:pPr>
    </w:p>
    <w:p>
      <w:pPr>
        <w:ind w:firstLine="178"/>
        <w:spacing w:after="0" w:line="273" w:lineRule="auto"/>
        <w:rPr>
          <w:sz w:val="20"/>
          <w:szCs w:val="20"/>
          <w:color w:val="auto"/>
        </w:rPr>
      </w:pPr>
      <w:r>
        <w:rPr>
          <w:rFonts w:ascii="Arial" w:cs="Arial" w:eastAsia="Arial" w:hAnsi="Arial"/>
          <w:sz w:val="14"/>
          <w:szCs w:val="14"/>
          <w:color w:val="auto"/>
        </w:rPr>
        <w:t>T.K. Maxx is the only major off-price retailer in any European country. T.K. Maxx utilizes the same off-price strategies employed by T.J. Maxx, Marshalls and Winners and offers the same type of merchandise. We currently operate 123 T.K. Maxx stores in the United Kingdom and Ireland. T.K. Maxx stores average approximately 26,000 square feet. T.K. Maxx opened 22 stores in the United Kingdom in fiscal 2003. We currently expect to add a total of 30 stores in the United Kingdom and Ireland in fiscal 2004. We believe that the U.K. and Ireland can support approximately 300 to 350 stores in the long-term. We also continue to see the European continent as a viable longer-term growth opportunity for T.K. Maxx and we believe that the European continent could ultimately support approximately 250 additional stores.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HOMEGOODS</w:t>
      </w:r>
    </w:p>
    <w:p>
      <w:pPr>
        <w:spacing w:after="0" w:line="195" w:lineRule="exact"/>
        <w:rPr>
          <w:sz w:val="20"/>
          <w:szCs w:val="20"/>
          <w:color w:val="auto"/>
        </w:rPr>
      </w:pPr>
    </w:p>
    <w:p>
      <w:pPr>
        <w:ind w:right="60" w:firstLine="181"/>
        <w:spacing w:after="0" w:line="303" w:lineRule="auto"/>
        <w:rPr>
          <w:sz w:val="20"/>
          <w:szCs w:val="20"/>
          <w:color w:val="auto"/>
        </w:rPr>
      </w:pPr>
      <w:r>
        <w:rPr>
          <w:rFonts w:ascii="Arial" w:cs="Arial" w:eastAsia="Arial" w:hAnsi="Arial"/>
          <w:sz w:val="13"/>
          <w:szCs w:val="13"/>
          <w:color w:val="auto"/>
        </w:rPr>
        <w:t>HomeGoods was the first off-price retail chain to focus exclusively on the home fashions market. HomeGoods offers a broad array of giftware, accent furniture, lamps, rugs, accessories and seasonal merchandise for the home. Many of the HomeGoods stores are stand-alone stores; however, we also combine HomeGoods stores with a T.J. Maxx or Marshalls store in a superstore format that we call T.J. Maxx ‘N More or Marshalls Mega-Store. Stand-alone HomeGoods stores average approximately 28,000 square feet. In superstores, which average approximately 53,000 square feet, we dedicate an average of 21,000 square feet to HomeGoods. The 142 stores open at year-end include 87 stand-alone stores and 55 superstores. In fiscal 2004,</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60"/>
        <w:spacing w:after="0" w:line="298" w:lineRule="auto"/>
        <w:rPr>
          <w:sz w:val="20"/>
          <w:szCs w:val="20"/>
          <w:color w:val="auto"/>
        </w:rPr>
      </w:pPr>
      <w:r>
        <w:rPr>
          <w:rFonts w:ascii="Arial" w:cs="Arial" w:eastAsia="Arial" w:hAnsi="Arial"/>
          <w:sz w:val="14"/>
          <w:szCs w:val="14"/>
          <w:color w:val="auto"/>
        </w:rPr>
        <w:t>we anticipate adding a net of 37 HomeGoods stores, including superstores. We believe that the U.S. market could support approximately 500 freestanding HomeGoods stores and 150 superstores in the long-term.</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A.J. WRIGHT</w:t>
      </w:r>
    </w:p>
    <w:p>
      <w:pPr>
        <w:spacing w:after="0" w:line="195" w:lineRule="exact"/>
        <w:rPr>
          <w:sz w:val="20"/>
          <w:szCs w:val="20"/>
          <w:color w:val="auto"/>
        </w:rPr>
      </w:pPr>
    </w:p>
    <w:p>
      <w:pPr>
        <w:ind w:firstLine="173"/>
        <w:spacing w:after="0" w:line="276" w:lineRule="auto"/>
        <w:rPr>
          <w:sz w:val="20"/>
          <w:szCs w:val="20"/>
          <w:color w:val="auto"/>
        </w:rPr>
      </w:pPr>
      <w:r>
        <w:rPr>
          <w:rFonts w:ascii="Arial" w:cs="Arial" w:eastAsia="Arial" w:hAnsi="Arial"/>
          <w:sz w:val="14"/>
          <w:szCs w:val="14"/>
          <w:color w:val="auto"/>
        </w:rPr>
        <w:t>A.J. Wright, a relatively young chain launched in fiscal 1999, brings our off-price concept to a different demographic customer, the moderate income shopper. A.J. Wright stores offer branded family apparel, accessories, shoes, domestics, giftware and special situation purchases. A.J. Wright stores average approximately 26,000 square feet. We added 30 A.J. Wright stores in fiscal 2003 and operated 75 stores at fiscal year end. We currently expect to open 25 A.J. Wright stores in fiscal 2004. We believe this developing business offers us the long-term opportunity to open over 1,000 A.J. Wright stores throughout the United States.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 operated stores in the following locations as of January 25, 2003:</w:t>
      </w:r>
    </w:p>
    <w:p>
      <w:pPr>
        <w:spacing w:after="0" w:line="392" w:lineRule="exact"/>
        <w:rPr>
          <w:sz w:val="20"/>
          <w:szCs w:val="20"/>
          <w:color w:val="auto"/>
        </w:rPr>
      </w:pPr>
    </w:p>
    <w:tbl>
      <w:tblPr>
        <w:tblLayout w:type="fixed"/>
        <w:tblInd w:w="2600" w:type="dxa"/>
        <w:tblCellMar>
          <w:top w:w="0" w:type="dxa"/>
          <w:left w:w="0" w:type="dxa"/>
          <w:bottom w:w="0" w:type="dxa"/>
          <w:right w:w="0" w:type="dxa"/>
        </w:tblCellMar>
      </w:tblPr>
      <w:tr>
        <w:trPr>
          <w:trHeight w:val="143"/>
        </w:trPr>
        <w:tc>
          <w:tcPr>
            <w:tcW w:w="310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b w:val="1"/>
                <w:bCs w:val="1"/>
                <w:color w:val="auto"/>
              </w:rPr>
              <w:t>T.J. Maxx</w:t>
            </w:r>
          </w:p>
        </w:tc>
        <w:tc>
          <w:tcPr>
            <w:tcW w:w="24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b w:val="1"/>
                <w:bCs w:val="1"/>
                <w:color w:val="auto"/>
              </w:rPr>
              <w:t>Marshalls</w:t>
            </w:r>
          </w:p>
        </w:tc>
        <w:tc>
          <w:tcPr>
            <w:tcW w:w="240" w:type="dxa"/>
            <w:vAlign w:val="bottom"/>
          </w:tcPr>
          <w:p>
            <w:pPr>
              <w:spacing w:after="0"/>
              <w:rPr>
                <w:sz w:val="12"/>
                <w:szCs w:val="12"/>
                <w:color w:val="auto"/>
              </w:rPr>
            </w:pPr>
          </w:p>
        </w:tc>
        <w:tc>
          <w:tcPr>
            <w:tcW w:w="720" w:type="dxa"/>
            <w:vAlign w:val="bottom"/>
            <w:gridSpan w:val="4"/>
          </w:tcPr>
          <w:p>
            <w:pPr>
              <w:ind w:left="40"/>
              <w:spacing w:after="0"/>
              <w:rPr>
                <w:sz w:val="20"/>
                <w:szCs w:val="20"/>
                <w:color w:val="auto"/>
              </w:rPr>
            </w:pPr>
            <w:r>
              <w:rPr>
                <w:rFonts w:ascii="Arial" w:cs="Arial" w:eastAsia="Arial" w:hAnsi="Arial"/>
                <w:sz w:val="11"/>
                <w:szCs w:val="11"/>
                <w:b w:val="1"/>
                <w:bCs w:val="1"/>
                <w:color w:val="auto"/>
                <w:w w:val="94"/>
              </w:rPr>
              <w:t>HomeGoods*</w:t>
            </w:r>
          </w:p>
        </w:tc>
        <w:tc>
          <w:tcPr>
            <w:tcW w:w="240" w:type="dxa"/>
            <w:vAlign w:val="bottom"/>
          </w:tcPr>
          <w:p>
            <w:pPr>
              <w:spacing w:after="0"/>
              <w:rPr>
                <w:sz w:val="12"/>
                <w:szCs w:val="12"/>
                <w:color w:val="auto"/>
              </w:rPr>
            </w:pPr>
          </w:p>
        </w:tc>
        <w:tc>
          <w:tcPr>
            <w:tcW w:w="560" w:type="dxa"/>
            <w:vAlign w:val="bottom"/>
            <w:gridSpan w:val="4"/>
          </w:tcPr>
          <w:p>
            <w:pPr>
              <w:spacing w:after="0"/>
              <w:rPr>
                <w:sz w:val="20"/>
                <w:szCs w:val="20"/>
                <w:color w:val="auto"/>
              </w:rPr>
            </w:pPr>
            <w:r>
              <w:rPr>
                <w:rFonts w:ascii="Arial" w:cs="Arial" w:eastAsia="Arial" w:hAnsi="Arial"/>
                <w:sz w:val="11"/>
                <w:szCs w:val="11"/>
                <w:b w:val="1"/>
                <w:bCs w:val="1"/>
                <w:color w:val="auto"/>
                <w:w w:val="98"/>
              </w:rPr>
              <w:t>A.J.Wright</w:t>
            </w:r>
          </w:p>
        </w:tc>
        <w:tc>
          <w:tcPr>
            <w:tcW w:w="0" w:type="dxa"/>
            <w:vAlign w:val="bottom"/>
          </w:tcPr>
          <w:p>
            <w:pPr>
              <w:spacing w:after="0"/>
              <w:rPr>
                <w:sz w:val="1"/>
                <w:szCs w:val="1"/>
                <w:color w:val="auto"/>
              </w:rPr>
            </w:pPr>
          </w:p>
        </w:tc>
      </w:tr>
      <w:tr>
        <w:trPr>
          <w:trHeight w:val="79"/>
        </w:trPr>
        <w:tc>
          <w:tcPr>
            <w:tcW w:w="310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Alabama</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12</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EEEEEE"/>
          </w:tcPr>
          <w:p>
            <w:pPr>
              <w:spacing w:after="0"/>
              <w:rPr>
                <w:sz w:val="15"/>
                <w:szCs w:val="15"/>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Arizona</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Arkansas</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California</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79</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Colorado</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Connecticut</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Delaware</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EEEEEE"/>
          </w:tcPr>
          <w:p>
            <w:pPr>
              <w:spacing w:after="0"/>
              <w:rPr>
                <w:sz w:val="15"/>
                <w:szCs w:val="15"/>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District of Columbia</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Florida</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52</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49</w:t>
            </w:r>
          </w:p>
        </w:tc>
        <w:tc>
          <w:tcPr>
            <w:tcW w:w="180" w:type="dxa"/>
            <w:vAlign w:val="bottom"/>
            <w:shd w:val="clear" w:color="auto" w:fill="EEEEEE"/>
          </w:tcPr>
          <w:p>
            <w:pPr>
              <w:spacing w:after="0"/>
              <w:rPr>
                <w:sz w:val="15"/>
                <w:szCs w:val="15"/>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12</w:t>
            </w: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Georgia</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26</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Idaho</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EEEEEE"/>
          </w:tcPr>
          <w:p>
            <w:pPr>
              <w:spacing w:after="0"/>
              <w:rPr>
                <w:sz w:val="15"/>
                <w:szCs w:val="15"/>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Illinois</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38</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Indiana</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11</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Iowa</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Kansas</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Kentucky</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Louisiana</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Maine</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Maryland</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9</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16</w:t>
            </w:r>
          </w:p>
        </w:tc>
        <w:tc>
          <w:tcPr>
            <w:tcW w:w="180" w:type="dxa"/>
            <w:vAlign w:val="bottom"/>
            <w:shd w:val="clear" w:color="auto" w:fill="EEEEEE"/>
          </w:tcPr>
          <w:p>
            <w:pPr>
              <w:spacing w:after="0"/>
              <w:rPr>
                <w:sz w:val="15"/>
                <w:szCs w:val="15"/>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EEEEEE"/>
          </w:tcPr>
          <w:p>
            <w:pPr>
              <w:spacing w:after="0"/>
              <w:rPr>
                <w:sz w:val="15"/>
                <w:szCs w:val="15"/>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Massachusetts</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44</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Michigan</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30</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18</w:t>
            </w:r>
          </w:p>
        </w:tc>
        <w:tc>
          <w:tcPr>
            <w:tcW w:w="180" w:type="dxa"/>
            <w:vAlign w:val="bottom"/>
            <w:shd w:val="clear" w:color="auto" w:fill="EEEEEE"/>
          </w:tcPr>
          <w:p>
            <w:pPr>
              <w:spacing w:after="0"/>
              <w:rPr>
                <w:sz w:val="15"/>
                <w:szCs w:val="15"/>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5</w:t>
            </w:r>
          </w:p>
        </w:tc>
        <w:tc>
          <w:tcPr>
            <w:tcW w:w="240" w:type="dxa"/>
            <w:vAlign w:val="bottom"/>
            <w:shd w:val="clear" w:color="auto" w:fill="EEEEEE"/>
          </w:tcPr>
          <w:p>
            <w:pPr>
              <w:spacing w:after="0"/>
              <w:rPr>
                <w:sz w:val="15"/>
                <w:szCs w:val="15"/>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Minnesota</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Mississippi</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Missouri</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Montana</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Nebraska</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Nevada</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New Hampshire</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New Jersey</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21</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33</w:t>
            </w:r>
          </w:p>
        </w:tc>
        <w:tc>
          <w:tcPr>
            <w:tcW w:w="180" w:type="dxa"/>
            <w:vAlign w:val="bottom"/>
            <w:shd w:val="clear" w:color="auto" w:fill="EEEEEE"/>
          </w:tcPr>
          <w:p>
            <w:pPr>
              <w:spacing w:after="0"/>
              <w:rPr>
                <w:sz w:val="15"/>
                <w:szCs w:val="15"/>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11</w:t>
            </w:r>
          </w:p>
        </w:tc>
        <w:tc>
          <w:tcPr>
            <w:tcW w:w="240" w:type="dxa"/>
            <w:vAlign w:val="bottom"/>
            <w:shd w:val="clear" w:color="auto" w:fill="EEEEEE"/>
          </w:tcPr>
          <w:p>
            <w:pPr>
              <w:spacing w:after="0"/>
              <w:rPr>
                <w:sz w:val="15"/>
                <w:szCs w:val="15"/>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New Mexico</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New York</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44</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48</w:t>
            </w:r>
          </w:p>
        </w:tc>
        <w:tc>
          <w:tcPr>
            <w:tcW w:w="180" w:type="dxa"/>
            <w:vAlign w:val="bottom"/>
            <w:shd w:val="clear" w:color="auto" w:fill="EEEEEE"/>
          </w:tcPr>
          <w:p>
            <w:pPr>
              <w:spacing w:after="0"/>
              <w:rPr>
                <w:sz w:val="15"/>
                <w:szCs w:val="15"/>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14</w:t>
            </w:r>
          </w:p>
        </w:tc>
        <w:tc>
          <w:tcPr>
            <w:tcW w:w="240" w:type="dxa"/>
            <w:vAlign w:val="bottom"/>
            <w:shd w:val="clear" w:color="auto" w:fill="EEEEEE"/>
          </w:tcPr>
          <w:p>
            <w:pPr>
              <w:spacing w:after="0"/>
              <w:rPr>
                <w:sz w:val="15"/>
                <w:szCs w:val="15"/>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North Carolina</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15</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North Dakota</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Ohio</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Oklahoma</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Oregon</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Pennsylvania</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37</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26</w:t>
            </w:r>
          </w:p>
        </w:tc>
        <w:tc>
          <w:tcPr>
            <w:tcW w:w="180" w:type="dxa"/>
            <w:vAlign w:val="bottom"/>
            <w:shd w:val="clear" w:color="auto" w:fill="EEEEEE"/>
          </w:tcPr>
          <w:p>
            <w:pPr>
              <w:spacing w:after="0"/>
              <w:rPr>
                <w:sz w:val="15"/>
                <w:szCs w:val="15"/>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EEEEEE"/>
          </w:tcPr>
          <w:p>
            <w:pPr>
              <w:spacing w:after="0"/>
              <w:rPr>
                <w:sz w:val="15"/>
                <w:szCs w:val="15"/>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4</w:t>
            </w:r>
          </w:p>
        </w:tc>
        <w:tc>
          <w:tcPr>
            <w:tcW w:w="18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Puerto Rico</w:t>
            </w:r>
          </w:p>
        </w:tc>
        <w:tc>
          <w:tcPr>
            <w:tcW w:w="20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Rhode Island</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EEEEEE"/>
          </w:tcPr>
          <w:p>
            <w:pPr>
              <w:spacing w:after="0"/>
              <w:rPr>
                <w:sz w:val="15"/>
                <w:szCs w:val="15"/>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3</w:t>
            </w:r>
          </w:p>
        </w:tc>
        <w:tc>
          <w:tcPr>
            <w:tcW w:w="240" w:type="dxa"/>
            <w:vAlign w:val="bottom"/>
            <w:shd w:val="clear" w:color="auto" w:fill="EEEEEE"/>
          </w:tcPr>
          <w:p>
            <w:pPr>
              <w:spacing w:after="0"/>
              <w:rPr>
                <w:sz w:val="15"/>
                <w:szCs w:val="15"/>
                <w:color w:val="auto"/>
              </w:rPr>
            </w:pPr>
          </w:p>
        </w:tc>
        <w:tc>
          <w:tcPr>
            <w:tcW w:w="60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3</w:t>
            </w:r>
          </w:p>
        </w:tc>
        <w:tc>
          <w:tcPr>
            <w:tcW w:w="180" w:type="dxa"/>
            <w:vAlign w:val="bottom"/>
            <w:shd w:val="clear" w:color="auto" w:fill="EEEEE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South Carolina</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South Dakota</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Tennessee</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Texas</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30</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46</w:t>
            </w:r>
          </w:p>
        </w:tc>
        <w:tc>
          <w:tcPr>
            <w:tcW w:w="180" w:type="dxa"/>
            <w:vAlign w:val="bottom"/>
            <w:shd w:val="clear" w:color="auto" w:fill="EEEEEE"/>
          </w:tcPr>
          <w:p>
            <w:pPr>
              <w:spacing w:after="0"/>
              <w:rPr>
                <w:sz w:val="15"/>
                <w:szCs w:val="15"/>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Utah</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Vermont</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2</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EEEEEE"/>
          </w:tcPr>
          <w:p>
            <w:pPr>
              <w:spacing w:after="0"/>
              <w:rPr>
                <w:sz w:val="15"/>
                <w:szCs w:val="15"/>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Virginia</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20</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Washington</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12</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6</w:t>
            </w:r>
          </w:p>
        </w:tc>
        <w:tc>
          <w:tcPr>
            <w:tcW w:w="18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 w:type="dxa"/>
            <w:vAlign w:val="bottom"/>
            <w:shd w:val="clear" w:color="auto" w:fill="EEEEEE"/>
          </w:tcPr>
          <w:p>
            <w:pPr>
              <w:spacing w:after="0"/>
              <w:rPr>
                <w:sz w:val="15"/>
                <w:szCs w:val="15"/>
                <w:color w:val="auto"/>
              </w:rPr>
            </w:pPr>
          </w:p>
        </w:tc>
        <w:tc>
          <w:tcPr>
            <w:tcW w:w="460" w:type="dxa"/>
            <w:vAlign w:val="bottom"/>
            <w:gridSpan w:val="2"/>
            <w:shd w:val="clear" w:color="auto" w:fill="EEEEEE"/>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tcPr>
          <w:p>
            <w:pPr>
              <w:spacing w:after="0"/>
              <w:rPr>
                <w:sz w:val="20"/>
                <w:szCs w:val="20"/>
                <w:color w:val="auto"/>
              </w:rPr>
            </w:pPr>
            <w:r>
              <w:rPr>
                <w:rFonts w:ascii="Arial" w:cs="Arial" w:eastAsia="Arial" w:hAnsi="Arial"/>
                <w:sz w:val="14"/>
                <w:szCs w:val="14"/>
                <w:color w:val="auto"/>
              </w:rPr>
              <w:t>West Virginia</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5"/>
                <w:szCs w:val="15"/>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00" w:type="dxa"/>
            <w:vAlign w:val="bottom"/>
            <w:shd w:val="clear" w:color="auto" w:fill="EEEEEE"/>
          </w:tcPr>
          <w:p>
            <w:pPr>
              <w:spacing w:after="0"/>
              <w:rPr>
                <w:sz w:val="20"/>
                <w:szCs w:val="20"/>
                <w:color w:val="auto"/>
              </w:rPr>
            </w:pPr>
            <w:r>
              <w:rPr>
                <w:rFonts w:ascii="Arial" w:cs="Arial" w:eastAsia="Arial" w:hAnsi="Arial"/>
                <w:sz w:val="14"/>
                <w:szCs w:val="14"/>
                <w:color w:val="auto"/>
              </w:rPr>
              <w:t>Wisconsin</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12</w:t>
            </w:r>
          </w:p>
        </w:tc>
        <w:tc>
          <w:tcPr>
            <w:tcW w:w="180" w:type="dxa"/>
            <w:vAlign w:val="bottom"/>
            <w:shd w:val="clear" w:color="auto" w:fill="EEEEEE"/>
          </w:tcPr>
          <w:p>
            <w:pPr>
              <w:spacing w:after="0"/>
              <w:rPr>
                <w:sz w:val="15"/>
                <w:szCs w:val="15"/>
                <w:color w:val="auto"/>
              </w:rPr>
            </w:pPr>
          </w:p>
        </w:tc>
        <w:tc>
          <w:tcPr>
            <w:tcW w:w="660" w:type="dxa"/>
            <w:vAlign w:val="bottom"/>
            <w:gridSpan w:val="3"/>
            <w:shd w:val="clear" w:color="auto" w:fill="EEEEEE"/>
          </w:tcPr>
          <w:p>
            <w:pPr>
              <w:jc w:val="right"/>
              <w:spacing w:after="0"/>
              <w:rPr>
                <w:sz w:val="20"/>
                <w:szCs w:val="20"/>
                <w:color w:val="auto"/>
              </w:rPr>
            </w:pPr>
            <w:r>
              <w:rPr>
                <w:rFonts w:ascii="Arial" w:cs="Arial" w:eastAsia="Arial" w:hAnsi="Arial"/>
                <w:sz w:val="14"/>
                <w:szCs w:val="14"/>
                <w:color w:val="auto"/>
              </w:rPr>
              <w:t>5</w:t>
            </w:r>
          </w:p>
        </w:tc>
        <w:tc>
          <w:tcPr>
            <w:tcW w:w="180" w:type="dxa"/>
            <w:vAlign w:val="bottom"/>
            <w:shd w:val="clear" w:color="auto" w:fill="EEEEEE"/>
          </w:tcPr>
          <w:p>
            <w:pPr>
              <w:spacing w:after="0"/>
              <w:rPr>
                <w:sz w:val="15"/>
                <w:szCs w:val="15"/>
                <w:color w:val="auto"/>
              </w:rPr>
            </w:pPr>
          </w:p>
        </w:tc>
        <w:tc>
          <w:tcPr>
            <w:tcW w:w="7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3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gridSpan w:val="2"/>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gridSpan w:val="2"/>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3100" w:type="dxa"/>
            <w:vAlign w:val="bottom"/>
          </w:tcPr>
          <w:p>
            <w:pPr>
              <w:ind w:left="440"/>
              <w:spacing w:after="0"/>
              <w:rPr>
                <w:sz w:val="20"/>
                <w:szCs w:val="20"/>
                <w:color w:val="auto"/>
              </w:rPr>
            </w:pPr>
            <w:r>
              <w:rPr>
                <w:rFonts w:ascii="Arial" w:cs="Arial" w:eastAsia="Arial" w:hAnsi="Arial"/>
                <w:sz w:val="14"/>
                <w:szCs w:val="14"/>
                <w:color w:val="auto"/>
              </w:rPr>
              <w:t>Total Stores</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713</w:t>
            </w:r>
          </w:p>
        </w:tc>
        <w:tc>
          <w:tcPr>
            <w:tcW w:w="18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629</w:t>
            </w:r>
          </w:p>
        </w:tc>
        <w:tc>
          <w:tcPr>
            <w:tcW w:w="180" w:type="dxa"/>
            <w:vAlign w:val="bottom"/>
          </w:tcPr>
          <w:p>
            <w:pPr>
              <w:spacing w:after="0"/>
              <w:rPr>
                <w:sz w:val="22"/>
                <w:szCs w:val="22"/>
                <w:color w:val="auto"/>
              </w:rPr>
            </w:pPr>
          </w:p>
        </w:tc>
        <w:tc>
          <w:tcPr>
            <w:tcW w:w="720" w:type="dxa"/>
            <w:vAlign w:val="bottom"/>
            <w:gridSpan w:val="4"/>
          </w:tcPr>
          <w:p>
            <w:pPr>
              <w:jc w:val="right"/>
              <w:spacing w:after="0"/>
              <w:rPr>
                <w:sz w:val="20"/>
                <w:szCs w:val="20"/>
                <w:color w:val="auto"/>
              </w:rPr>
            </w:pPr>
            <w:r>
              <w:rPr>
                <w:rFonts w:ascii="Arial" w:cs="Arial" w:eastAsia="Arial" w:hAnsi="Arial"/>
                <w:sz w:val="14"/>
                <w:szCs w:val="14"/>
                <w:color w:val="auto"/>
              </w:rPr>
              <w:t>142</w:t>
            </w:r>
          </w:p>
        </w:tc>
        <w:tc>
          <w:tcPr>
            <w:tcW w:w="240" w:type="dxa"/>
            <w:vAlign w:val="bottom"/>
          </w:tcPr>
          <w:p>
            <w:pPr>
              <w:spacing w:after="0"/>
              <w:rPr>
                <w:sz w:val="22"/>
                <w:szCs w:val="22"/>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75</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3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-33020</wp:posOffset>
            </wp:positionV>
            <wp:extent cx="12700"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3740785</wp:posOffset>
            </wp:positionH>
            <wp:positionV relativeFrom="paragraph">
              <wp:posOffset>-33020</wp:posOffset>
            </wp:positionV>
            <wp:extent cx="12700"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4404995</wp:posOffset>
            </wp:positionH>
            <wp:positionV relativeFrom="paragraph">
              <wp:posOffset>-33020</wp:posOffset>
            </wp:positionV>
            <wp:extent cx="12700"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4270375</wp:posOffset>
            </wp:positionH>
            <wp:positionV relativeFrom="paragraph">
              <wp:posOffset>-33020</wp:posOffset>
            </wp:positionV>
            <wp:extent cx="12700"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-33020</wp:posOffset>
            </wp:positionV>
            <wp:extent cx="12700"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4843145</wp:posOffset>
            </wp:positionH>
            <wp:positionV relativeFrom="paragraph">
              <wp:posOffset>-33020</wp:posOffset>
            </wp:positionV>
            <wp:extent cx="12700"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5408295</wp:posOffset>
            </wp:positionH>
            <wp:positionV relativeFrom="paragraph">
              <wp:posOffset>-33020</wp:posOffset>
            </wp:positionV>
            <wp:extent cx="118745" cy="33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8745" cy="33655"/>
                    </a:xfrm>
                    <a:prstGeom prst="rect">
                      <a:avLst/>
                    </a:prstGeom>
                    <a:noFill/>
                  </pic:spPr>
                </pic:pic>
              </a:graphicData>
            </a:graphic>
          </wp:anchor>
        </w:drawing>
      </w:r>
    </w:p>
    <w:p>
      <w:pPr>
        <w:spacing w:after="0" w:line="235"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Winners operated 146 stores in Canada: 19 in Alberta, 4 in Manitoba, 68 in Ontario, 25 in Quebec, 4 in Nova Scotia, 5 in Saskatchewan, 16 in British Columbia, 3 in New Brunswick, 1 in Newfoundland and 1 on Prince Edward Island.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HomeSense operated 15 stores in Canada: 13 in Ontario and 2 in British Columbia.</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T.K. Maxx operated 120 stores in the United Kingdom and 3 stores in the Republic of Ireland.</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*The HomeGoods store locations include the HomeGoods portion of a T.J. Maxx ‘N More or a Marshalls Mega-Store.</w:t>
      </w:r>
    </w:p>
    <w:p>
      <w:pPr>
        <w:spacing w:after="0" w:line="195"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840"/>
          </w:cols>
          <w:pgMar w:left="220" w:top="370" w:right="839" w:bottom="1440" w:gutter="0" w:footer="0" w:header="0"/>
        </w:sectPr>
      </w:pPr>
    </w:p>
    <w:bookmarkStart w:id="8" w:name="page9"/>
    <w:bookmarkEnd w:id="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EMPLOYEES</w:t>
      </w:r>
    </w:p>
    <w:p>
      <w:pPr>
        <w:spacing w:after="0" w:line="191" w:lineRule="exact"/>
        <w:rPr>
          <w:sz w:val="20"/>
          <w:szCs w:val="20"/>
          <w:color w:val="auto"/>
        </w:rPr>
      </w:pPr>
    </w:p>
    <w:p>
      <w:pPr>
        <w:ind w:right="180" w:firstLine="173"/>
        <w:spacing w:after="0" w:line="304" w:lineRule="auto"/>
        <w:rPr>
          <w:sz w:val="20"/>
          <w:szCs w:val="20"/>
          <w:color w:val="auto"/>
        </w:rPr>
      </w:pPr>
      <w:r>
        <w:rPr>
          <w:rFonts w:ascii="Arial" w:cs="Arial" w:eastAsia="Arial" w:hAnsi="Arial"/>
          <w:sz w:val="14"/>
          <w:szCs w:val="14"/>
          <w:color w:val="auto"/>
        </w:rPr>
        <w:t>At January 25, 2003, we had approximately 94</w:t>
      </w:r>
      <w:r>
        <w:rPr>
          <w:rFonts w:ascii="Arial" w:cs="Arial" w:eastAsia="Arial" w:hAnsi="Arial"/>
          <w:sz w:val="14"/>
          <w:szCs w:val="14"/>
          <w:b w:val="1"/>
          <w:bCs w:val="1"/>
          <w:color w:val="auto"/>
        </w:rPr>
        <w:t>,</w:t>
      </w:r>
      <w:r>
        <w:rPr>
          <w:rFonts w:ascii="Arial" w:cs="Arial" w:eastAsia="Arial" w:hAnsi="Arial"/>
          <w:sz w:val="14"/>
          <w:szCs w:val="14"/>
          <w:color w:val="auto"/>
        </w:rPr>
        <w:t>000 employees, many of whom work less than 40 hours per week. In addition, we hire temporary employees during the peak back-to-school and holiday seasons.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COMPETITION</w:t>
      </w:r>
    </w:p>
    <w:p>
      <w:pPr>
        <w:spacing w:after="0" w:line="195" w:lineRule="exact"/>
        <w:rPr>
          <w:sz w:val="20"/>
          <w:szCs w:val="20"/>
          <w:color w:val="auto"/>
        </w:rPr>
      </w:pPr>
    </w:p>
    <w:p>
      <w:pPr>
        <w:jc w:val="both"/>
        <w:ind w:firstLine="178"/>
        <w:spacing w:after="0" w:line="276" w:lineRule="auto"/>
        <w:rPr>
          <w:sz w:val="20"/>
          <w:szCs w:val="20"/>
          <w:color w:val="auto"/>
        </w:rPr>
      </w:pPr>
      <w:r>
        <w:rPr>
          <w:rFonts w:ascii="Arial" w:cs="Arial" w:eastAsia="Arial" w:hAnsi="Arial"/>
          <w:sz w:val="14"/>
          <w:szCs w:val="14"/>
          <w:color w:val="auto"/>
        </w:rPr>
        <w:t>The retail apparel and home fashion business is highly competitive. Our customers focus upon fashion, quality, price, merchandise selection and freshness, brand name recognition and, to a lesser degree, store location. We compete with local, regional and national department, specialty and off-price stores. We also compete to some degree with any retailer that sells apparel and home fashions in stores, through catalogues or over the internet. We purchase most of our inventory opportunistically and compete for that merchandise with other national and regional off-price apparel and outlet stores. We also compete with other retailers for store locations.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CREDIT</w:t>
      </w:r>
    </w:p>
    <w:p>
      <w:pPr>
        <w:spacing w:after="0" w:line="195" w:lineRule="exact"/>
        <w:rPr>
          <w:sz w:val="20"/>
          <w:szCs w:val="20"/>
          <w:color w:val="auto"/>
        </w:rPr>
      </w:pPr>
    </w:p>
    <w:p>
      <w:pPr>
        <w:jc w:val="both"/>
        <w:ind w:right="180" w:firstLine="181"/>
        <w:spacing w:after="0" w:line="281" w:lineRule="auto"/>
        <w:rPr>
          <w:sz w:val="20"/>
          <w:szCs w:val="20"/>
          <w:color w:val="auto"/>
        </w:rPr>
      </w:pPr>
      <w:r>
        <w:rPr>
          <w:rFonts w:ascii="Arial" w:cs="Arial" w:eastAsia="Arial" w:hAnsi="Arial"/>
          <w:sz w:val="14"/>
          <w:szCs w:val="14"/>
          <w:color w:val="auto"/>
        </w:rPr>
        <w:t>Our stores operate primarily on a cash-and-carry basis. Each chain accepts credit sales through programs offered by banks and others. While TJX does not operate its own customer credit card program or maintain customer credit receivables, a TJX Visa card is offered through a major bank for our domestic divisions. The rewards program associated with this card is partially funded by TJX.</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BUYING AND DISTRIBUTION</w:t>
      </w:r>
    </w:p>
    <w:p>
      <w:pPr>
        <w:spacing w:after="0" w:line="195" w:lineRule="exact"/>
        <w:rPr>
          <w:sz w:val="20"/>
          <w:szCs w:val="20"/>
          <w:color w:val="auto"/>
        </w:rPr>
      </w:pPr>
    </w:p>
    <w:p>
      <w:pPr>
        <w:ind w:right="140" w:firstLine="178"/>
        <w:spacing w:after="0" w:line="298" w:lineRule="auto"/>
        <w:rPr>
          <w:sz w:val="20"/>
          <w:szCs w:val="20"/>
          <w:color w:val="auto"/>
        </w:rPr>
      </w:pPr>
      <w:r>
        <w:rPr>
          <w:rFonts w:ascii="Arial" w:cs="Arial" w:eastAsia="Arial" w:hAnsi="Arial"/>
          <w:sz w:val="14"/>
          <w:szCs w:val="14"/>
          <w:color w:val="auto"/>
        </w:rPr>
        <w:t>We operate a centralized buying organization that services both the T.J. Maxx and Marshalls chains while each of our other chains has its own centralized buying organization. All of our chains are serviced through their own distribution networks.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TRADEMARKS</w:t>
      </w:r>
    </w:p>
    <w:p>
      <w:pPr>
        <w:spacing w:after="0" w:line="195" w:lineRule="exact"/>
        <w:rPr>
          <w:sz w:val="20"/>
          <w:szCs w:val="20"/>
          <w:color w:val="auto"/>
        </w:rPr>
      </w:pPr>
    </w:p>
    <w:p>
      <w:pPr>
        <w:ind w:right="180" w:firstLine="181"/>
        <w:spacing w:after="0" w:line="298" w:lineRule="auto"/>
        <w:rPr>
          <w:sz w:val="20"/>
          <w:szCs w:val="20"/>
          <w:color w:val="auto"/>
        </w:rPr>
      </w:pPr>
      <w:r>
        <w:rPr>
          <w:rFonts w:ascii="Arial" w:cs="Arial" w:eastAsia="Arial" w:hAnsi="Arial"/>
          <w:sz w:val="14"/>
          <w:szCs w:val="14"/>
          <w:color w:val="auto"/>
        </w:rPr>
        <w:t>Our principal trademarks and service marks, which are T.J. Maxx, Marshalls, HomeGoods, Winners, HomeSense, T.K. Maxx and A.J. Wright, are registered in relevant countries. Our rights in these trademarks and service marks endure for as long as they are used.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SAFE HARBOR STATEMENTS UNDER THE</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PRIVATE SECURITIES LITIGATION REFORM ACT OF 1995</w:t>
      </w:r>
    </w:p>
    <w:p>
      <w:pPr>
        <w:spacing w:after="0" w:line="190" w:lineRule="exact"/>
        <w:rPr>
          <w:sz w:val="20"/>
          <w:szCs w:val="20"/>
          <w:color w:val="auto"/>
        </w:rPr>
      </w:pPr>
    </w:p>
    <w:p>
      <w:pPr>
        <w:ind w:right="340" w:firstLine="178"/>
        <w:spacing w:after="0" w:line="276" w:lineRule="auto"/>
        <w:rPr>
          <w:sz w:val="20"/>
          <w:szCs w:val="20"/>
          <w:color w:val="auto"/>
        </w:rPr>
      </w:pPr>
      <w:r>
        <w:rPr>
          <w:rFonts w:ascii="Arial" w:cs="Arial" w:eastAsia="Arial" w:hAnsi="Arial"/>
          <w:sz w:val="14"/>
          <w:szCs w:val="14"/>
          <w:color w:val="auto"/>
        </w:rPr>
        <w:t>Various statements made in this annual report, including some of the statements made under Item 1, “Business,” Item 7, “Management’s Discussion and Analysis of Financial Condition and Results of Operations,” and Item 8, “Financial Statements and Supplementary Data,” are forward-looking and involve a number of risks and uncertainties. All statements that address activities, events or developments that we intend, expect or believe may occur in the future are forward-looking statements. The following are some of the factors that could cause actual results to differ materially from the forward-looking statements:</w:t>
      </w:r>
    </w:p>
    <w:p>
      <w:pPr>
        <w:spacing w:after="0" w:line="150" w:lineRule="exact"/>
        <w:rPr>
          <w:sz w:val="20"/>
          <w:szCs w:val="20"/>
          <w:color w:val="auto"/>
        </w:rPr>
      </w:pPr>
    </w:p>
    <w:p>
      <w:pPr>
        <w:ind w:left="5700" w:right="5200" w:hanging="5691"/>
        <w:spacing w:after="0" w:line="432" w:lineRule="auto"/>
        <w:tabs>
          <w:tab w:leader="none" w:pos="479" w:val="left"/>
        </w:tabs>
        <w:numPr>
          <w:ilvl w:val="0"/>
          <w:numId w:val="2"/>
        </w:numPr>
        <w:rPr>
          <w:rFonts w:ascii="Arial" w:cs="Arial" w:eastAsia="Arial" w:hAnsi="Arial"/>
          <w:sz w:val="13"/>
          <w:szCs w:val="13"/>
          <w:color w:val="auto"/>
        </w:rPr>
      </w:pPr>
      <w:r>
        <w:rPr>
          <w:rFonts w:ascii="Arial" w:cs="Arial" w:eastAsia="Arial" w:hAnsi="Arial"/>
          <w:sz w:val="13"/>
          <w:szCs w:val="13"/>
          <w:color w:val="auto"/>
        </w:rPr>
        <w:t>general economic conditions including effects of wars, other military actions and terrorist incidents;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7646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9" w:name="page10"/>
    <w:bookmarkEnd w:id="9"/>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480" w:hanging="47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consumer confidence, demand and preferences;</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weather patterns;</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competitive factors, including continuing pressure from pricing and promotional activities of competitors;</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impact of excess retail capacity and the availability of desirable store and distribution center locations on suitable terms;</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recruiting quality sales associates and other associates;</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availability, selection and purchasing of attractive merchandise on favorable terms and the effective management of inventory levels;</w:t>
      </w:r>
    </w:p>
    <w:p>
      <w:pPr>
        <w:spacing w:after="0" w:line="195" w:lineRule="exact"/>
        <w:rPr>
          <w:rFonts w:ascii="Arial" w:cs="Arial" w:eastAsia="Arial" w:hAnsi="Arial"/>
          <w:sz w:val="14"/>
          <w:szCs w:val="14"/>
          <w:color w:val="auto"/>
        </w:rPr>
      </w:pPr>
    </w:p>
    <w:p>
      <w:pPr>
        <w:ind w:left="480" w:right="400" w:hanging="471"/>
        <w:spacing w:after="0" w:line="298" w:lineRule="auto"/>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import risks, including potential disruptions in supply and duties, tariffs and quotas on imported merchandise, including economic, political or other problems in countries from which merchandise is imported;</w:t>
      </w:r>
    </w:p>
    <w:p>
      <w:pPr>
        <w:spacing w:after="0" w:line="134" w:lineRule="exact"/>
        <w:rPr>
          <w:rFonts w:ascii="Arial" w:cs="Arial" w:eastAsia="Arial" w:hAnsi="Arial"/>
          <w:sz w:val="14"/>
          <w:szCs w:val="14"/>
          <w:color w:val="auto"/>
        </w:rPr>
      </w:pPr>
    </w:p>
    <w:p>
      <w:pPr>
        <w:ind w:left="480" w:hanging="47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currency and exchange rate factors in our foreign and buying operations;</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ability to continue successful expansion of our store base at the rate projected;</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risks in the development of new businesses and application of our off-price strategies in additional foreign countries;</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factors affecting expenses including pressure on wages and benefits;</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acquisition and divestment activities;</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ultimate liability with respect to leases relating to discontinued operations including indemnification and other factors affecting or mitigating our liability, and</w:t>
      </w:r>
    </w:p>
    <w:p>
      <w:pPr>
        <w:spacing w:after="0" w:line="195" w:lineRule="exact"/>
        <w:rPr>
          <w:rFonts w:ascii="Arial" w:cs="Arial" w:eastAsia="Arial" w:hAnsi="Arial"/>
          <w:sz w:val="14"/>
          <w:szCs w:val="14"/>
          <w:color w:val="auto"/>
        </w:rPr>
      </w:pPr>
    </w:p>
    <w:p>
      <w:pPr>
        <w:ind w:left="480" w:hanging="471"/>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laws and regulations.</w:t>
      </w:r>
    </w:p>
    <w:p>
      <w:pPr>
        <w:spacing w:after="0" w:line="195" w:lineRule="exact"/>
        <w:rPr>
          <w:sz w:val="20"/>
          <w:szCs w:val="20"/>
          <w:color w:val="auto"/>
        </w:rPr>
      </w:pPr>
    </w:p>
    <w:p>
      <w:pPr>
        <w:ind w:firstLine="178"/>
        <w:spacing w:after="0" w:line="298" w:lineRule="auto"/>
        <w:rPr>
          <w:sz w:val="20"/>
          <w:szCs w:val="20"/>
          <w:color w:val="auto"/>
        </w:rPr>
      </w:pPr>
      <w:r>
        <w:rPr>
          <w:rFonts w:ascii="Arial" w:cs="Arial" w:eastAsia="Arial" w:hAnsi="Arial"/>
          <w:sz w:val="14"/>
          <w:szCs w:val="14"/>
          <w:color w:val="auto"/>
        </w:rPr>
        <w:t>We do not undertake to publicly update or revise our forward-looking statements even if experience or future changes make it clear that any projected results expressed or implied therein will not be realized.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SEC FILINGS</w:t>
      </w:r>
    </w:p>
    <w:p>
      <w:pPr>
        <w:spacing w:after="0" w:line="195"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Copies of our annual reports on Form 10-K, proxy statements, quarterly reports on Form 10-Q and current reports on Form 8-K, and any amendments to those filings, are available free of charge on our website, www.tjx.com under “SEC Filings,” as soon as reasonably practicable after they are filed electronically. They are also available free of charge from TJX Investor Relations, 770 Cochituate Road, Framingham, Massachusetts, 01701.</w:t>
      </w:r>
    </w:p>
    <w:p>
      <w:pPr>
        <w:spacing w:after="0" w:line="147" w:lineRule="exact"/>
        <w:rPr>
          <w:sz w:val="20"/>
          <w:szCs w:val="20"/>
          <w:color w:val="auto"/>
        </w:rPr>
      </w:pPr>
    </w:p>
    <w:p>
      <w:pPr>
        <w:ind w:right="140" w:firstLine="173"/>
        <w:spacing w:after="0" w:line="298" w:lineRule="auto"/>
        <w:rPr>
          <w:sz w:val="20"/>
          <w:szCs w:val="20"/>
          <w:color w:val="auto"/>
        </w:rPr>
      </w:pPr>
      <w:r>
        <w:rPr>
          <w:rFonts w:ascii="Arial" w:cs="Arial" w:eastAsia="Arial" w:hAnsi="Arial"/>
          <w:sz w:val="14"/>
          <w:szCs w:val="14"/>
          <w:color w:val="auto"/>
        </w:rPr>
        <w:t>Also available on the TJX corporate website are a summary of our Associate Code of Conduct, our Code of Ethics for TJX Executives, information about our Vendor Compliance Program, our Corporate Governance Principles and Charters for our Board Committees.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10" w:name="page11"/>
    <w:bookmarkEnd w:id="1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ITEM 2. Properties</w:t>
      </w:r>
    </w:p>
    <w:p>
      <w:pPr>
        <w:spacing w:after="0" w:line="195" w:lineRule="exact"/>
        <w:rPr>
          <w:sz w:val="20"/>
          <w:szCs w:val="20"/>
          <w:color w:val="auto"/>
        </w:rPr>
      </w:pPr>
    </w:p>
    <w:p>
      <w:pPr>
        <w:ind w:right="20" w:firstLine="178"/>
        <w:spacing w:after="0" w:line="298" w:lineRule="auto"/>
        <w:rPr>
          <w:sz w:val="20"/>
          <w:szCs w:val="20"/>
          <w:color w:val="auto"/>
        </w:rPr>
      </w:pPr>
      <w:r>
        <w:rPr>
          <w:rFonts w:ascii="Arial" w:cs="Arial" w:eastAsia="Arial" w:hAnsi="Arial"/>
          <w:sz w:val="14"/>
          <w:szCs w:val="14"/>
          <w:color w:val="auto"/>
        </w:rPr>
        <w:t>We lease virtually all of our store locations, generally for 10 years with an option to extend the lease for one or more 5 year periods. We have the right to terminate some of these leases before the expiration date under specified circumstances and for a specified payment.</w:t>
      </w:r>
    </w:p>
    <w:p>
      <w:pPr>
        <w:spacing w:after="0" w:line="134" w:lineRule="exact"/>
        <w:rPr>
          <w:sz w:val="20"/>
          <w:szCs w:val="20"/>
          <w:color w:val="auto"/>
        </w:rPr>
      </w:pPr>
    </w:p>
    <w:p>
      <w:pPr>
        <w:ind w:right="80" w:firstLine="178"/>
        <w:spacing w:after="0" w:line="298" w:lineRule="auto"/>
        <w:rPr>
          <w:sz w:val="20"/>
          <w:szCs w:val="20"/>
          <w:color w:val="auto"/>
        </w:rPr>
      </w:pPr>
      <w:r>
        <w:rPr>
          <w:rFonts w:ascii="Arial" w:cs="Arial" w:eastAsia="Arial" w:hAnsi="Arial"/>
          <w:sz w:val="14"/>
          <w:szCs w:val="14"/>
          <w:color w:val="auto"/>
        </w:rPr>
        <w:t>The following is a summary of our primary distribution centers and administration office locations as of January 25, 2003. Square footage information for the distribution centers represents total “ground cover” of the facility. Square footage information for office space represents total space occupied: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100" w:type="dxa"/>
            <w:vAlign w:val="bottom"/>
            <w:gridSpan w:val="2"/>
          </w:tcPr>
          <w:p>
            <w:pPr>
              <w:spacing w:after="0"/>
              <w:rPr>
                <w:sz w:val="20"/>
                <w:szCs w:val="20"/>
                <w:color w:val="auto"/>
              </w:rPr>
            </w:pPr>
            <w:r>
              <w:rPr>
                <w:rFonts w:ascii="Arial" w:cs="Arial" w:eastAsia="Arial" w:hAnsi="Arial"/>
                <w:sz w:val="11"/>
                <w:szCs w:val="11"/>
                <w:b w:val="1"/>
                <w:bCs w:val="1"/>
                <w:color w:val="auto"/>
              </w:rPr>
              <w:t>Distribution Centers</w:t>
            </w:r>
          </w:p>
        </w:tc>
        <w:tc>
          <w:tcPr>
            <w:tcW w:w="25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4"/>
                <w:szCs w:val="14"/>
                <w:color w:val="auto"/>
              </w:rPr>
              <w:t>T.J. Maxx</w:t>
            </w:r>
          </w:p>
        </w:tc>
        <w:tc>
          <w:tcPr>
            <w:tcW w:w="2540" w:type="dxa"/>
            <w:vAlign w:val="bottom"/>
            <w:shd w:val="clear" w:color="auto" w:fill="EEEEEE"/>
          </w:tcPr>
          <w:p>
            <w:pPr>
              <w:ind w:left="580"/>
              <w:spacing w:after="0"/>
              <w:rPr>
                <w:sz w:val="20"/>
                <w:szCs w:val="20"/>
                <w:color w:val="auto"/>
              </w:rPr>
            </w:pPr>
            <w:r>
              <w:rPr>
                <w:rFonts w:ascii="Arial" w:cs="Arial" w:eastAsia="Arial" w:hAnsi="Arial"/>
                <w:sz w:val="14"/>
                <w:szCs w:val="14"/>
                <w:color w:val="auto"/>
              </w:rPr>
              <w:t>Worcester, Massachusetts</w:t>
            </w:r>
          </w:p>
        </w:tc>
        <w:tc>
          <w:tcPr>
            <w:tcW w:w="2560" w:type="dxa"/>
            <w:vAlign w:val="bottom"/>
            <w:shd w:val="clear" w:color="auto" w:fill="EEEEEE"/>
          </w:tcPr>
          <w:p>
            <w:pPr>
              <w:spacing w:after="0"/>
              <w:rPr>
                <w:sz w:val="15"/>
                <w:szCs w:val="15"/>
                <w:color w:val="auto"/>
              </w:rPr>
            </w:pPr>
          </w:p>
        </w:tc>
        <w:tc>
          <w:tcPr>
            <w:tcW w:w="3260" w:type="dxa"/>
            <w:vAlign w:val="bottom"/>
            <w:shd w:val="clear" w:color="auto" w:fill="EEEEEE"/>
          </w:tcPr>
          <w:p>
            <w:pPr>
              <w:ind w:left="280"/>
              <w:spacing w:after="0"/>
              <w:rPr>
                <w:sz w:val="20"/>
                <w:szCs w:val="20"/>
                <w:color w:val="auto"/>
              </w:rPr>
            </w:pPr>
            <w:r>
              <w:rPr>
                <w:rFonts w:ascii="Arial" w:cs="Arial" w:eastAsia="Arial" w:hAnsi="Arial"/>
                <w:sz w:val="14"/>
                <w:szCs w:val="14"/>
                <w:color w:val="auto"/>
              </w:rPr>
              <w:t>(500,000 s.f. - owned)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shd w:val="clear" w:color="auto" w:fill="EEEEEE"/>
          </w:tcPr>
          <w:p>
            <w:pPr>
              <w:spacing w:after="0"/>
              <w:rPr>
                <w:sz w:val="15"/>
                <w:szCs w:val="15"/>
                <w:color w:val="auto"/>
              </w:rPr>
            </w:pPr>
          </w:p>
        </w:tc>
        <w:tc>
          <w:tcPr>
            <w:tcW w:w="2540" w:type="dxa"/>
            <w:vAlign w:val="bottom"/>
            <w:shd w:val="clear" w:color="auto" w:fill="EEEEEE"/>
          </w:tcPr>
          <w:p>
            <w:pPr>
              <w:ind w:left="580"/>
              <w:spacing w:after="0"/>
              <w:rPr>
                <w:sz w:val="20"/>
                <w:szCs w:val="20"/>
                <w:color w:val="auto"/>
              </w:rPr>
            </w:pPr>
            <w:r>
              <w:rPr>
                <w:rFonts w:ascii="Arial" w:cs="Arial" w:eastAsia="Arial" w:hAnsi="Arial"/>
                <w:sz w:val="14"/>
                <w:szCs w:val="14"/>
                <w:color w:val="auto"/>
              </w:rPr>
              <w:t>Evansville, Indiana</w:t>
            </w:r>
          </w:p>
        </w:tc>
        <w:tc>
          <w:tcPr>
            <w:tcW w:w="2560" w:type="dxa"/>
            <w:vAlign w:val="bottom"/>
            <w:shd w:val="clear" w:color="auto" w:fill="EEEEEE"/>
          </w:tcPr>
          <w:p>
            <w:pPr>
              <w:spacing w:after="0"/>
              <w:rPr>
                <w:sz w:val="15"/>
                <w:szCs w:val="15"/>
                <w:color w:val="auto"/>
              </w:rPr>
            </w:pPr>
          </w:p>
        </w:tc>
        <w:tc>
          <w:tcPr>
            <w:tcW w:w="3260" w:type="dxa"/>
            <w:vAlign w:val="bottom"/>
            <w:shd w:val="clear" w:color="auto" w:fill="EEEEEE"/>
          </w:tcPr>
          <w:p>
            <w:pPr>
              <w:ind w:left="280"/>
              <w:spacing w:after="0"/>
              <w:rPr>
                <w:sz w:val="20"/>
                <w:szCs w:val="20"/>
                <w:color w:val="auto"/>
              </w:rPr>
            </w:pPr>
            <w:r>
              <w:rPr>
                <w:rFonts w:ascii="Arial" w:cs="Arial" w:eastAsia="Arial" w:hAnsi="Arial"/>
                <w:sz w:val="14"/>
                <w:szCs w:val="14"/>
                <w:color w:val="auto"/>
              </w:rPr>
              <w:t>(983,000 s.f. - owned)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EEEEEE"/>
          </w:tcPr>
          <w:p>
            <w:pPr>
              <w:spacing w:after="0"/>
              <w:rPr>
                <w:sz w:val="14"/>
                <w:szCs w:val="14"/>
                <w:color w:val="auto"/>
              </w:rPr>
            </w:pPr>
          </w:p>
        </w:tc>
        <w:tc>
          <w:tcPr>
            <w:tcW w:w="2540" w:type="dxa"/>
            <w:vAlign w:val="bottom"/>
            <w:shd w:val="clear" w:color="auto" w:fill="EEEEEE"/>
          </w:tcPr>
          <w:p>
            <w:pPr>
              <w:ind w:left="580"/>
              <w:spacing w:after="0"/>
              <w:rPr>
                <w:sz w:val="20"/>
                <w:szCs w:val="20"/>
                <w:color w:val="auto"/>
              </w:rPr>
            </w:pPr>
            <w:r>
              <w:rPr>
                <w:rFonts w:ascii="Arial" w:cs="Arial" w:eastAsia="Arial" w:hAnsi="Arial"/>
                <w:sz w:val="14"/>
                <w:szCs w:val="14"/>
                <w:color w:val="auto"/>
              </w:rPr>
              <w:t>Las Vegas, Nevada</w:t>
            </w:r>
          </w:p>
        </w:tc>
        <w:tc>
          <w:tcPr>
            <w:tcW w:w="2560" w:type="dxa"/>
            <w:vAlign w:val="bottom"/>
            <w:shd w:val="clear" w:color="auto" w:fill="EEEEEE"/>
          </w:tcPr>
          <w:p>
            <w:pPr>
              <w:spacing w:after="0"/>
              <w:rPr>
                <w:sz w:val="14"/>
                <w:szCs w:val="14"/>
                <w:color w:val="auto"/>
              </w:rPr>
            </w:pPr>
          </w:p>
        </w:tc>
        <w:tc>
          <w:tcPr>
            <w:tcW w:w="3260" w:type="dxa"/>
            <w:vAlign w:val="bottom"/>
            <w:shd w:val="clear" w:color="auto" w:fill="EEEEEE"/>
          </w:tcPr>
          <w:p>
            <w:pPr>
              <w:ind w:left="280"/>
              <w:spacing w:after="0"/>
              <w:rPr>
                <w:sz w:val="20"/>
                <w:szCs w:val="20"/>
                <w:color w:val="auto"/>
              </w:rPr>
            </w:pPr>
            <w:r>
              <w:rPr>
                <w:rFonts w:ascii="Arial" w:cs="Arial" w:eastAsia="Arial" w:hAnsi="Arial"/>
                <w:sz w:val="14"/>
                <w:szCs w:val="14"/>
                <w:color w:val="auto"/>
              </w:rPr>
              <w:t>(713,000 s.f. shared with</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shd w:val="clear" w:color="auto" w:fill="EEEEEE"/>
          </w:tcPr>
          <w:p>
            <w:pPr>
              <w:spacing w:after="0"/>
              <w:rPr>
                <w:sz w:val="15"/>
                <w:szCs w:val="15"/>
                <w:color w:val="auto"/>
              </w:rPr>
            </w:pPr>
          </w:p>
        </w:tc>
        <w:tc>
          <w:tcPr>
            <w:tcW w:w="2540" w:type="dxa"/>
            <w:vAlign w:val="bottom"/>
            <w:shd w:val="clear" w:color="auto" w:fill="EEEEEE"/>
          </w:tcPr>
          <w:p>
            <w:pPr>
              <w:spacing w:after="0"/>
              <w:rPr>
                <w:sz w:val="15"/>
                <w:szCs w:val="15"/>
                <w:color w:val="auto"/>
              </w:rPr>
            </w:pPr>
          </w:p>
        </w:tc>
        <w:tc>
          <w:tcPr>
            <w:tcW w:w="2560" w:type="dxa"/>
            <w:vAlign w:val="bottom"/>
            <w:shd w:val="clear" w:color="auto" w:fill="EEEEEE"/>
          </w:tcPr>
          <w:p>
            <w:pPr>
              <w:spacing w:after="0"/>
              <w:rPr>
                <w:sz w:val="15"/>
                <w:szCs w:val="15"/>
                <w:color w:val="auto"/>
              </w:rPr>
            </w:pPr>
          </w:p>
        </w:tc>
        <w:tc>
          <w:tcPr>
            <w:tcW w:w="3260" w:type="dxa"/>
            <w:vAlign w:val="bottom"/>
            <w:shd w:val="clear" w:color="auto" w:fill="EEEEEE"/>
          </w:tcPr>
          <w:p>
            <w:pPr>
              <w:ind w:left="360"/>
              <w:spacing w:after="0"/>
              <w:rPr>
                <w:sz w:val="20"/>
                <w:szCs w:val="20"/>
                <w:color w:val="auto"/>
              </w:rPr>
            </w:pPr>
            <w:r>
              <w:rPr>
                <w:rFonts w:ascii="Arial" w:cs="Arial" w:eastAsia="Arial" w:hAnsi="Arial"/>
                <w:sz w:val="14"/>
                <w:szCs w:val="14"/>
                <w:color w:val="auto"/>
              </w:rPr>
              <w:t>Marshalls - owned)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080" w:type="dxa"/>
            <w:vAlign w:val="bottom"/>
            <w:shd w:val="clear" w:color="auto" w:fill="EEEEEE"/>
          </w:tcPr>
          <w:p>
            <w:pPr>
              <w:spacing w:after="0"/>
              <w:rPr>
                <w:sz w:val="15"/>
                <w:szCs w:val="15"/>
                <w:color w:val="auto"/>
              </w:rPr>
            </w:pPr>
          </w:p>
        </w:tc>
        <w:tc>
          <w:tcPr>
            <w:tcW w:w="2540" w:type="dxa"/>
            <w:vAlign w:val="bottom"/>
            <w:shd w:val="clear" w:color="auto" w:fill="EEEEEE"/>
          </w:tcPr>
          <w:p>
            <w:pPr>
              <w:ind w:left="580"/>
              <w:spacing w:after="0"/>
              <w:rPr>
                <w:sz w:val="20"/>
                <w:szCs w:val="20"/>
                <w:color w:val="auto"/>
              </w:rPr>
            </w:pPr>
            <w:r>
              <w:rPr>
                <w:rFonts w:ascii="Arial" w:cs="Arial" w:eastAsia="Arial" w:hAnsi="Arial"/>
                <w:sz w:val="14"/>
                <w:szCs w:val="14"/>
                <w:color w:val="auto"/>
              </w:rPr>
              <w:t>Charlotte, North Carolina</w:t>
            </w:r>
          </w:p>
        </w:tc>
        <w:tc>
          <w:tcPr>
            <w:tcW w:w="2560" w:type="dxa"/>
            <w:vAlign w:val="bottom"/>
            <w:shd w:val="clear" w:color="auto" w:fill="EEEEEE"/>
          </w:tcPr>
          <w:p>
            <w:pPr>
              <w:spacing w:after="0"/>
              <w:rPr>
                <w:sz w:val="15"/>
                <w:szCs w:val="15"/>
                <w:color w:val="auto"/>
              </w:rPr>
            </w:pPr>
          </w:p>
        </w:tc>
        <w:tc>
          <w:tcPr>
            <w:tcW w:w="3260" w:type="dxa"/>
            <w:vAlign w:val="bottom"/>
            <w:shd w:val="clear" w:color="auto" w:fill="EEEEEE"/>
          </w:tcPr>
          <w:p>
            <w:pPr>
              <w:ind w:left="280"/>
              <w:spacing w:after="0"/>
              <w:rPr>
                <w:sz w:val="20"/>
                <w:szCs w:val="20"/>
                <w:color w:val="auto"/>
              </w:rPr>
            </w:pPr>
            <w:r>
              <w:rPr>
                <w:rFonts w:ascii="Arial" w:cs="Arial" w:eastAsia="Arial" w:hAnsi="Arial"/>
                <w:sz w:val="14"/>
                <w:szCs w:val="14"/>
                <w:color w:val="auto"/>
              </w:rPr>
              <w:t>(600,000 s.f. - owned)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shd w:val="clear" w:color="auto" w:fill="EEEEEE"/>
          </w:tcPr>
          <w:p>
            <w:pPr>
              <w:spacing w:after="0"/>
              <w:rPr>
                <w:sz w:val="15"/>
                <w:szCs w:val="15"/>
                <w:color w:val="auto"/>
              </w:rPr>
            </w:pPr>
          </w:p>
        </w:tc>
        <w:tc>
          <w:tcPr>
            <w:tcW w:w="2540" w:type="dxa"/>
            <w:vAlign w:val="bottom"/>
            <w:shd w:val="clear" w:color="auto" w:fill="EEEEEE"/>
          </w:tcPr>
          <w:p>
            <w:pPr>
              <w:ind w:left="580"/>
              <w:spacing w:after="0"/>
              <w:rPr>
                <w:sz w:val="20"/>
                <w:szCs w:val="20"/>
                <w:color w:val="auto"/>
              </w:rPr>
            </w:pPr>
            <w:r>
              <w:rPr>
                <w:rFonts w:ascii="Arial" w:cs="Arial" w:eastAsia="Arial" w:hAnsi="Arial"/>
                <w:sz w:val="14"/>
                <w:szCs w:val="14"/>
                <w:color w:val="auto"/>
                <w:w w:val="96"/>
              </w:rPr>
              <w:t>Pittston Township, Pennsylvania</w:t>
            </w:r>
          </w:p>
        </w:tc>
        <w:tc>
          <w:tcPr>
            <w:tcW w:w="2560" w:type="dxa"/>
            <w:vAlign w:val="bottom"/>
            <w:shd w:val="clear" w:color="auto" w:fill="EEEEEE"/>
          </w:tcPr>
          <w:p>
            <w:pPr>
              <w:spacing w:after="0"/>
              <w:rPr>
                <w:sz w:val="15"/>
                <w:szCs w:val="15"/>
                <w:color w:val="auto"/>
              </w:rPr>
            </w:pPr>
          </w:p>
        </w:tc>
        <w:tc>
          <w:tcPr>
            <w:tcW w:w="3260" w:type="dxa"/>
            <w:vAlign w:val="bottom"/>
            <w:shd w:val="clear" w:color="auto" w:fill="EEEEEE"/>
          </w:tcPr>
          <w:p>
            <w:pPr>
              <w:ind w:left="280"/>
              <w:spacing w:after="0"/>
              <w:rPr>
                <w:sz w:val="20"/>
                <w:szCs w:val="20"/>
                <w:color w:val="auto"/>
              </w:rPr>
            </w:pPr>
            <w:r>
              <w:rPr>
                <w:rFonts w:ascii="Arial" w:cs="Arial" w:eastAsia="Arial" w:hAnsi="Arial"/>
                <w:sz w:val="14"/>
                <w:szCs w:val="14"/>
                <w:color w:val="auto"/>
              </w:rPr>
              <w:t>(1,025,000 s.f. - owned)</w:t>
            </w:r>
          </w:p>
        </w:tc>
        <w:tc>
          <w:tcPr>
            <w:tcW w:w="0" w:type="dxa"/>
            <w:vAlign w:val="bottom"/>
          </w:tcPr>
          <w:p>
            <w:pPr>
              <w:spacing w:after="0"/>
              <w:rPr>
                <w:sz w:val="1"/>
                <w:szCs w:val="1"/>
                <w:color w:val="auto"/>
              </w:rPr>
            </w:pPr>
          </w:p>
        </w:tc>
      </w:tr>
      <w:tr>
        <w:trPr>
          <w:trHeight w:val="293"/>
        </w:trPr>
        <w:tc>
          <w:tcPr>
            <w:tcW w:w="3100" w:type="dxa"/>
            <w:vAlign w:val="bottom"/>
            <w:gridSpan w:val="2"/>
          </w:tcPr>
          <w:p>
            <w:pPr>
              <w:spacing w:after="0"/>
              <w:rPr>
                <w:sz w:val="20"/>
                <w:szCs w:val="20"/>
                <w:color w:val="auto"/>
              </w:rPr>
            </w:pPr>
            <w:r>
              <w:rPr>
                <w:rFonts w:ascii="Arial" w:cs="Arial" w:eastAsia="Arial" w:hAnsi="Arial"/>
                <w:sz w:val="14"/>
                <w:szCs w:val="14"/>
                <w:color w:val="auto"/>
              </w:rPr>
              <w:t>Marshalls</w:t>
            </w:r>
          </w:p>
        </w:tc>
        <w:tc>
          <w:tcPr>
            <w:tcW w:w="2540" w:type="dxa"/>
            <w:vAlign w:val="bottom"/>
          </w:tcPr>
          <w:p>
            <w:pPr>
              <w:ind w:left="580"/>
              <w:spacing w:after="0"/>
              <w:rPr>
                <w:sz w:val="20"/>
                <w:szCs w:val="20"/>
                <w:color w:val="auto"/>
              </w:rPr>
            </w:pPr>
            <w:r>
              <w:rPr>
                <w:rFonts w:ascii="Arial" w:cs="Arial" w:eastAsia="Arial" w:hAnsi="Arial"/>
                <w:sz w:val="14"/>
                <w:szCs w:val="14"/>
                <w:color w:val="auto"/>
              </w:rPr>
              <w:t>Decatur, Georgia</w:t>
            </w:r>
          </w:p>
        </w:tc>
        <w:tc>
          <w:tcPr>
            <w:tcW w:w="2560" w:type="dxa"/>
            <w:vAlign w:val="bottom"/>
          </w:tcPr>
          <w:p>
            <w:pPr>
              <w:spacing w:after="0"/>
              <w:rPr>
                <w:sz w:val="24"/>
                <w:szCs w:val="24"/>
                <w:color w:val="auto"/>
              </w:rPr>
            </w:pPr>
          </w:p>
        </w:tc>
        <w:tc>
          <w:tcPr>
            <w:tcW w:w="3260" w:type="dxa"/>
            <w:vAlign w:val="bottom"/>
          </w:tcPr>
          <w:p>
            <w:pPr>
              <w:ind w:left="280"/>
              <w:spacing w:after="0"/>
              <w:rPr>
                <w:sz w:val="20"/>
                <w:szCs w:val="20"/>
                <w:color w:val="auto"/>
              </w:rPr>
            </w:pPr>
            <w:r>
              <w:rPr>
                <w:rFonts w:ascii="Arial" w:cs="Arial" w:eastAsia="Arial" w:hAnsi="Arial"/>
                <w:sz w:val="14"/>
                <w:szCs w:val="14"/>
                <w:color w:val="auto"/>
              </w:rPr>
              <w:t>(780,000 s.f. - owned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260" w:type="dxa"/>
            <w:vAlign w:val="bottom"/>
          </w:tcPr>
          <w:p>
            <w:pPr>
              <w:ind w:left="360"/>
              <w:spacing w:after="0"/>
              <w:rPr>
                <w:sz w:val="20"/>
                <w:szCs w:val="20"/>
                <w:color w:val="auto"/>
              </w:rPr>
            </w:pPr>
            <w:r>
              <w:rPr>
                <w:rFonts w:ascii="Arial" w:cs="Arial" w:eastAsia="Arial" w:hAnsi="Arial"/>
                <w:sz w:val="14"/>
                <w:szCs w:val="14"/>
                <w:color w:val="auto"/>
              </w:rPr>
              <w:t>and 189,000 s.f. - leased)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540" w:type="dxa"/>
            <w:vAlign w:val="bottom"/>
          </w:tcPr>
          <w:p>
            <w:pPr>
              <w:ind w:left="580"/>
              <w:spacing w:after="0"/>
              <w:rPr>
                <w:sz w:val="20"/>
                <w:szCs w:val="20"/>
                <w:color w:val="auto"/>
              </w:rPr>
            </w:pPr>
            <w:r>
              <w:rPr>
                <w:rFonts w:ascii="Arial" w:cs="Arial" w:eastAsia="Arial" w:hAnsi="Arial"/>
                <w:sz w:val="14"/>
                <w:szCs w:val="14"/>
                <w:color w:val="auto"/>
              </w:rPr>
              <w:t>Woburn, Massachusetts</w:t>
            </w:r>
          </w:p>
        </w:tc>
        <w:tc>
          <w:tcPr>
            <w:tcW w:w="2560" w:type="dxa"/>
            <w:vAlign w:val="bottom"/>
          </w:tcPr>
          <w:p>
            <w:pPr>
              <w:spacing w:after="0"/>
              <w:rPr>
                <w:sz w:val="15"/>
                <w:szCs w:val="15"/>
                <w:color w:val="auto"/>
              </w:rPr>
            </w:pPr>
          </w:p>
        </w:tc>
        <w:tc>
          <w:tcPr>
            <w:tcW w:w="3260" w:type="dxa"/>
            <w:vAlign w:val="bottom"/>
          </w:tcPr>
          <w:p>
            <w:pPr>
              <w:ind w:left="280"/>
              <w:spacing w:after="0"/>
              <w:rPr>
                <w:sz w:val="20"/>
                <w:szCs w:val="20"/>
                <w:color w:val="auto"/>
              </w:rPr>
            </w:pPr>
            <w:r>
              <w:rPr>
                <w:rFonts w:ascii="Arial" w:cs="Arial" w:eastAsia="Arial" w:hAnsi="Arial"/>
                <w:sz w:val="14"/>
                <w:szCs w:val="14"/>
                <w:color w:val="auto"/>
              </w:rPr>
              <w:t>(560,000 s.f. - leased)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540" w:type="dxa"/>
            <w:vAlign w:val="bottom"/>
          </w:tcPr>
          <w:p>
            <w:pPr>
              <w:ind w:left="580"/>
              <w:spacing w:after="0"/>
              <w:rPr>
                <w:sz w:val="20"/>
                <w:szCs w:val="20"/>
                <w:color w:val="auto"/>
              </w:rPr>
            </w:pPr>
            <w:r>
              <w:rPr>
                <w:rFonts w:ascii="Arial" w:cs="Arial" w:eastAsia="Arial" w:hAnsi="Arial"/>
                <w:sz w:val="14"/>
                <w:szCs w:val="14"/>
                <w:color w:val="auto"/>
              </w:rPr>
              <w:t>Bridgewater, Virginia</w:t>
            </w:r>
          </w:p>
        </w:tc>
        <w:tc>
          <w:tcPr>
            <w:tcW w:w="2560" w:type="dxa"/>
            <w:vAlign w:val="bottom"/>
          </w:tcPr>
          <w:p>
            <w:pPr>
              <w:spacing w:after="0"/>
              <w:rPr>
                <w:sz w:val="15"/>
                <w:szCs w:val="15"/>
                <w:color w:val="auto"/>
              </w:rPr>
            </w:pPr>
          </w:p>
        </w:tc>
        <w:tc>
          <w:tcPr>
            <w:tcW w:w="3260" w:type="dxa"/>
            <w:vAlign w:val="bottom"/>
          </w:tcPr>
          <w:p>
            <w:pPr>
              <w:ind w:left="280"/>
              <w:spacing w:after="0"/>
              <w:rPr>
                <w:sz w:val="20"/>
                <w:szCs w:val="20"/>
                <w:color w:val="auto"/>
              </w:rPr>
            </w:pPr>
            <w:r>
              <w:rPr>
                <w:rFonts w:ascii="Arial" w:cs="Arial" w:eastAsia="Arial" w:hAnsi="Arial"/>
                <w:sz w:val="14"/>
                <w:szCs w:val="14"/>
                <w:color w:val="auto"/>
              </w:rPr>
              <w:t>(672,000 s.f. - leased)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540" w:type="dxa"/>
            <w:vAlign w:val="bottom"/>
          </w:tcPr>
          <w:p>
            <w:pPr>
              <w:ind w:left="580"/>
              <w:spacing w:after="0"/>
              <w:rPr>
                <w:sz w:val="20"/>
                <w:szCs w:val="20"/>
                <w:color w:val="auto"/>
              </w:rPr>
            </w:pPr>
            <w:r>
              <w:rPr>
                <w:rFonts w:ascii="Arial" w:cs="Arial" w:eastAsia="Arial" w:hAnsi="Arial"/>
                <w:sz w:val="14"/>
                <w:szCs w:val="14"/>
                <w:color w:val="auto"/>
              </w:rPr>
              <w:t>Philadelphia, Pennsylvania</w:t>
            </w:r>
          </w:p>
        </w:tc>
        <w:tc>
          <w:tcPr>
            <w:tcW w:w="2560" w:type="dxa"/>
            <w:vAlign w:val="bottom"/>
          </w:tcPr>
          <w:p>
            <w:pPr>
              <w:spacing w:after="0"/>
              <w:rPr>
                <w:sz w:val="15"/>
                <w:szCs w:val="15"/>
                <w:color w:val="auto"/>
              </w:rPr>
            </w:pPr>
          </w:p>
        </w:tc>
        <w:tc>
          <w:tcPr>
            <w:tcW w:w="3260" w:type="dxa"/>
            <w:vAlign w:val="bottom"/>
          </w:tcPr>
          <w:p>
            <w:pPr>
              <w:ind w:left="280"/>
              <w:spacing w:after="0"/>
              <w:rPr>
                <w:sz w:val="20"/>
                <w:szCs w:val="20"/>
                <w:color w:val="auto"/>
              </w:rPr>
            </w:pPr>
            <w:r>
              <w:rPr>
                <w:rFonts w:ascii="Arial" w:cs="Arial" w:eastAsia="Arial" w:hAnsi="Arial"/>
                <w:sz w:val="14"/>
                <w:szCs w:val="14"/>
                <w:color w:val="auto"/>
              </w:rPr>
              <w:t>(998,000 s.f. - leased)</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30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4"/>
                <w:szCs w:val="14"/>
                <w:color w:val="auto"/>
              </w:rPr>
              <w:t>Winners and HomeSense</w:t>
            </w:r>
          </w:p>
        </w:tc>
        <w:tc>
          <w:tcPr>
            <w:tcW w:w="2540" w:type="dxa"/>
            <w:vAlign w:val="bottom"/>
            <w:shd w:val="clear" w:color="auto" w:fill="EEEEEE"/>
          </w:tcPr>
          <w:p>
            <w:pPr>
              <w:ind w:left="580"/>
              <w:spacing w:after="0"/>
              <w:rPr>
                <w:sz w:val="20"/>
                <w:szCs w:val="20"/>
                <w:color w:val="auto"/>
              </w:rPr>
            </w:pPr>
            <w:r>
              <w:rPr>
                <w:rFonts w:ascii="Arial" w:cs="Arial" w:eastAsia="Arial" w:hAnsi="Arial"/>
                <w:sz w:val="14"/>
                <w:szCs w:val="14"/>
                <w:color w:val="auto"/>
              </w:rPr>
              <w:t>Brampton, Ontario</w:t>
            </w:r>
          </w:p>
        </w:tc>
        <w:tc>
          <w:tcPr>
            <w:tcW w:w="2560" w:type="dxa"/>
            <w:vAlign w:val="bottom"/>
            <w:shd w:val="clear" w:color="auto" w:fill="EEEEEE"/>
          </w:tcPr>
          <w:p>
            <w:pPr>
              <w:spacing w:after="0"/>
              <w:rPr>
                <w:sz w:val="15"/>
                <w:szCs w:val="15"/>
                <w:color w:val="auto"/>
              </w:rPr>
            </w:pPr>
          </w:p>
        </w:tc>
        <w:tc>
          <w:tcPr>
            <w:tcW w:w="3260" w:type="dxa"/>
            <w:vAlign w:val="bottom"/>
            <w:shd w:val="clear" w:color="auto" w:fill="EEEEEE"/>
          </w:tcPr>
          <w:p>
            <w:pPr>
              <w:ind w:left="280"/>
              <w:spacing w:after="0"/>
              <w:rPr>
                <w:sz w:val="20"/>
                <w:szCs w:val="20"/>
                <w:color w:val="auto"/>
              </w:rPr>
            </w:pPr>
            <w:r>
              <w:rPr>
                <w:rFonts w:ascii="Arial" w:cs="Arial" w:eastAsia="Arial" w:hAnsi="Arial"/>
                <w:sz w:val="14"/>
                <w:szCs w:val="14"/>
                <w:color w:val="auto"/>
              </w:rPr>
              <w:t>(506,000 s.f. - leased)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shd w:val="clear" w:color="auto" w:fill="EEEEEE"/>
          </w:tcPr>
          <w:p>
            <w:pPr>
              <w:spacing w:after="0"/>
              <w:rPr>
                <w:sz w:val="15"/>
                <w:szCs w:val="15"/>
                <w:color w:val="auto"/>
              </w:rPr>
            </w:pPr>
          </w:p>
        </w:tc>
        <w:tc>
          <w:tcPr>
            <w:tcW w:w="2540" w:type="dxa"/>
            <w:vAlign w:val="bottom"/>
            <w:shd w:val="clear" w:color="auto" w:fill="EEEEEE"/>
          </w:tcPr>
          <w:p>
            <w:pPr>
              <w:ind w:left="580"/>
              <w:spacing w:after="0"/>
              <w:rPr>
                <w:sz w:val="20"/>
                <w:szCs w:val="20"/>
                <w:color w:val="auto"/>
              </w:rPr>
            </w:pPr>
            <w:r>
              <w:rPr>
                <w:rFonts w:ascii="Arial" w:cs="Arial" w:eastAsia="Arial" w:hAnsi="Arial"/>
                <w:sz w:val="14"/>
                <w:szCs w:val="14"/>
                <w:color w:val="auto"/>
              </w:rPr>
              <w:t>Mississauga, Ontario</w:t>
            </w:r>
          </w:p>
        </w:tc>
        <w:tc>
          <w:tcPr>
            <w:tcW w:w="2560" w:type="dxa"/>
            <w:vAlign w:val="bottom"/>
            <w:shd w:val="clear" w:color="auto" w:fill="EEEEEE"/>
          </w:tcPr>
          <w:p>
            <w:pPr>
              <w:spacing w:after="0"/>
              <w:rPr>
                <w:sz w:val="15"/>
                <w:szCs w:val="15"/>
                <w:color w:val="auto"/>
              </w:rPr>
            </w:pPr>
          </w:p>
        </w:tc>
        <w:tc>
          <w:tcPr>
            <w:tcW w:w="3260" w:type="dxa"/>
            <w:vAlign w:val="bottom"/>
            <w:shd w:val="clear" w:color="auto" w:fill="EEEEEE"/>
          </w:tcPr>
          <w:p>
            <w:pPr>
              <w:ind w:left="280"/>
              <w:spacing w:after="0"/>
              <w:rPr>
                <w:sz w:val="20"/>
                <w:szCs w:val="20"/>
                <w:color w:val="auto"/>
              </w:rPr>
            </w:pPr>
            <w:r>
              <w:rPr>
                <w:rFonts w:ascii="Arial" w:cs="Arial" w:eastAsia="Arial" w:hAnsi="Arial"/>
                <w:sz w:val="14"/>
                <w:szCs w:val="14"/>
                <w:color w:val="auto"/>
              </w:rPr>
              <w:t>(657,000 s.f. - leased)</w:t>
            </w:r>
          </w:p>
        </w:tc>
        <w:tc>
          <w:tcPr>
            <w:tcW w:w="0" w:type="dxa"/>
            <w:vAlign w:val="bottom"/>
          </w:tcPr>
          <w:p>
            <w:pPr>
              <w:spacing w:after="0"/>
              <w:rPr>
                <w:sz w:val="1"/>
                <w:szCs w:val="1"/>
                <w:color w:val="auto"/>
              </w:rPr>
            </w:pPr>
          </w:p>
        </w:tc>
      </w:tr>
      <w:tr>
        <w:trPr>
          <w:trHeight w:val="293"/>
        </w:trPr>
        <w:tc>
          <w:tcPr>
            <w:tcW w:w="3100" w:type="dxa"/>
            <w:vAlign w:val="bottom"/>
            <w:gridSpan w:val="2"/>
          </w:tcPr>
          <w:p>
            <w:pPr>
              <w:spacing w:after="0"/>
              <w:rPr>
                <w:sz w:val="20"/>
                <w:szCs w:val="20"/>
                <w:color w:val="auto"/>
              </w:rPr>
            </w:pPr>
            <w:r>
              <w:rPr>
                <w:rFonts w:ascii="Arial" w:cs="Arial" w:eastAsia="Arial" w:hAnsi="Arial"/>
                <w:sz w:val="14"/>
                <w:szCs w:val="14"/>
                <w:color w:val="auto"/>
              </w:rPr>
              <w:t>HomeGoods</w:t>
            </w:r>
          </w:p>
        </w:tc>
        <w:tc>
          <w:tcPr>
            <w:tcW w:w="2540" w:type="dxa"/>
            <w:vAlign w:val="bottom"/>
          </w:tcPr>
          <w:p>
            <w:pPr>
              <w:ind w:left="580"/>
              <w:spacing w:after="0"/>
              <w:rPr>
                <w:sz w:val="20"/>
                <w:szCs w:val="20"/>
                <w:color w:val="auto"/>
              </w:rPr>
            </w:pPr>
            <w:r>
              <w:rPr>
                <w:rFonts w:ascii="Arial" w:cs="Arial" w:eastAsia="Arial" w:hAnsi="Arial"/>
                <w:sz w:val="14"/>
                <w:szCs w:val="14"/>
                <w:color w:val="auto"/>
              </w:rPr>
              <w:t>Mansfield, Massachusetts</w:t>
            </w:r>
          </w:p>
        </w:tc>
        <w:tc>
          <w:tcPr>
            <w:tcW w:w="2560" w:type="dxa"/>
            <w:vAlign w:val="bottom"/>
          </w:tcPr>
          <w:p>
            <w:pPr>
              <w:spacing w:after="0"/>
              <w:rPr>
                <w:sz w:val="24"/>
                <w:szCs w:val="24"/>
                <w:color w:val="auto"/>
              </w:rPr>
            </w:pPr>
          </w:p>
        </w:tc>
        <w:tc>
          <w:tcPr>
            <w:tcW w:w="3260" w:type="dxa"/>
            <w:vAlign w:val="bottom"/>
          </w:tcPr>
          <w:p>
            <w:pPr>
              <w:ind w:left="280"/>
              <w:spacing w:after="0"/>
              <w:rPr>
                <w:sz w:val="20"/>
                <w:szCs w:val="20"/>
                <w:color w:val="auto"/>
              </w:rPr>
            </w:pPr>
            <w:r>
              <w:rPr>
                <w:rFonts w:ascii="Arial" w:cs="Arial" w:eastAsia="Arial" w:hAnsi="Arial"/>
                <w:sz w:val="14"/>
                <w:szCs w:val="14"/>
                <w:color w:val="auto"/>
              </w:rPr>
              <w:t>(343,000 s.f. - leased)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540" w:type="dxa"/>
            <w:vAlign w:val="bottom"/>
          </w:tcPr>
          <w:p>
            <w:pPr>
              <w:ind w:left="580"/>
              <w:spacing w:after="0"/>
              <w:rPr>
                <w:sz w:val="20"/>
                <w:szCs w:val="20"/>
                <w:color w:val="auto"/>
              </w:rPr>
            </w:pPr>
            <w:r>
              <w:rPr>
                <w:rFonts w:ascii="Arial" w:cs="Arial" w:eastAsia="Arial" w:hAnsi="Arial"/>
                <w:sz w:val="14"/>
                <w:szCs w:val="14"/>
                <w:color w:val="auto"/>
              </w:rPr>
              <w:t>Brownsburg, Indiana</w:t>
            </w:r>
          </w:p>
        </w:tc>
        <w:tc>
          <w:tcPr>
            <w:tcW w:w="2560" w:type="dxa"/>
            <w:vAlign w:val="bottom"/>
          </w:tcPr>
          <w:p>
            <w:pPr>
              <w:spacing w:after="0"/>
              <w:rPr>
                <w:sz w:val="15"/>
                <w:szCs w:val="15"/>
                <w:color w:val="auto"/>
              </w:rPr>
            </w:pPr>
          </w:p>
        </w:tc>
        <w:tc>
          <w:tcPr>
            <w:tcW w:w="3260" w:type="dxa"/>
            <w:vAlign w:val="bottom"/>
          </w:tcPr>
          <w:p>
            <w:pPr>
              <w:ind w:left="280"/>
              <w:spacing w:after="0"/>
              <w:rPr>
                <w:sz w:val="20"/>
                <w:szCs w:val="20"/>
                <w:color w:val="auto"/>
              </w:rPr>
            </w:pPr>
            <w:r>
              <w:rPr>
                <w:rFonts w:ascii="Arial" w:cs="Arial" w:eastAsia="Arial" w:hAnsi="Arial"/>
                <w:sz w:val="14"/>
                <w:szCs w:val="14"/>
                <w:color w:val="auto"/>
              </w:rPr>
              <w:t>(805,000 s.f. - owned)</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30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4"/>
                <w:szCs w:val="14"/>
                <w:color w:val="auto"/>
              </w:rPr>
              <w:t>T.K. Maxx</w:t>
            </w:r>
          </w:p>
        </w:tc>
        <w:tc>
          <w:tcPr>
            <w:tcW w:w="2540" w:type="dxa"/>
            <w:vAlign w:val="bottom"/>
            <w:shd w:val="clear" w:color="auto" w:fill="EEEEEE"/>
          </w:tcPr>
          <w:p>
            <w:pPr>
              <w:ind w:left="580"/>
              <w:spacing w:after="0"/>
              <w:rPr>
                <w:sz w:val="20"/>
                <w:szCs w:val="20"/>
                <w:color w:val="auto"/>
              </w:rPr>
            </w:pPr>
            <w:r>
              <w:rPr>
                <w:rFonts w:ascii="Arial" w:cs="Arial" w:eastAsia="Arial" w:hAnsi="Arial"/>
                <w:sz w:val="14"/>
                <w:szCs w:val="14"/>
                <w:color w:val="auto"/>
              </w:rPr>
              <w:t>Milton Keynes, England</w:t>
            </w:r>
          </w:p>
        </w:tc>
        <w:tc>
          <w:tcPr>
            <w:tcW w:w="2560" w:type="dxa"/>
            <w:vAlign w:val="bottom"/>
            <w:shd w:val="clear" w:color="auto" w:fill="EEEEEE"/>
          </w:tcPr>
          <w:p>
            <w:pPr>
              <w:spacing w:after="0"/>
              <w:rPr>
                <w:sz w:val="15"/>
                <w:szCs w:val="15"/>
                <w:color w:val="auto"/>
              </w:rPr>
            </w:pPr>
          </w:p>
        </w:tc>
        <w:tc>
          <w:tcPr>
            <w:tcW w:w="3260" w:type="dxa"/>
            <w:vAlign w:val="bottom"/>
            <w:shd w:val="clear" w:color="auto" w:fill="EEEEEE"/>
          </w:tcPr>
          <w:p>
            <w:pPr>
              <w:ind w:left="280"/>
              <w:spacing w:after="0"/>
              <w:rPr>
                <w:sz w:val="20"/>
                <w:szCs w:val="20"/>
                <w:color w:val="auto"/>
              </w:rPr>
            </w:pPr>
            <w:r>
              <w:rPr>
                <w:rFonts w:ascii="Arial" w:cs="Arial" w:eastAsia="Arial" w:hAnsi="Arial"/>
                <w:sz w:val="14"/>
                <w:szCs w:val="14"/>
                <w:color w:val="auto"/>
              </w:rPr>
              <w:t>(108,000 s.f. - leased)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shd w:val="clear" w:color="auto" w:fill="EEEEEE"/>
          </w:tcPr>
          <w:p>
            <w:pPr>
              <w:spacing w:after="0"/>
              <w:rPr>
                <w:sz w:val="15"/>
                <w:szCs w:val="15"/>
                <w:color w:val="auto"/>
              </w:rPr>
            </w:pPr>
          </w:p>
        </w:tc>
        <w:tc>
          <w:tcPr>
            <w:tcW w:w="2540" w:type="dxa"/>
            <w:vAlign w:val="bottom"/>
            <w:shd w:val="clear" w:color="auto" w:fill="EEEEEE"/>
          </w:tcPr>
          <w:p>
            <w:pPr>
              <w:ind w:left="580"/>
              <w:spacing w:after="0"/>
              <w:rPr>
                <w:sz w:val="20"/>
                <w:szCs w:val="20"/>
                <w:color w:val="auto"/>
              </w:rPr>
            </w:pPr>
            <w:r>
              <w:rPr>
                <w:rFonts w:ascii="Arial" w:cs="Arial" w:eastAsia="Arial" w:hAnsi="Arial"/>
                <w:sz w:val="14"/>
                <w:szCs w:val="14"/>
                <w:color w:val="auto"/>
              </w:rPr>
              <w:t>Wakefield, England</w:t>
            </w:r>
          </w:p>
        </w:tc>
        <w:tc>
          <w:tcPr>
            <w:tcW w:w="2560" w:type="dxa"/>
            <w:vAlign w:val="bottom"/>
            <w:shd w:val="clear" w:color="auto" w:fill="EEEEEE"/>
          </w:tcPr>
          <w:p>
            <w:pPr>
              <w:spacing w:after="0"/>
              <w:rPr>
                <w:sz w:val="15"/>
                <w:szCs w:val="15"/>
                <w:color w:val="auto"/>
              </w:rPr>
            </w:pPr>
          </w:p>
        </w:tc>
        <w:tc>
          <w:tcPr>
            <w:tcW w:w="3260" w:type="dxa"/>
            <w:vAlign w:val="bottom"/>
            <w:shd w:val="clear" w:color="auto" w:fill="EEEEEE"/>
          </w:tcPr>
          <w:p>
            <w:pPr>
              <w:ind w:left="280"/>
              <w:spacing w:after="0"/>
              <w:rPr>
                <w:sz w:val="20"/>
                <w:szCs w:val="20"/>
                <w:color w:val="auto"/>
              </w:rPr>
            </w:pPr>
            <w:r>
              <w:rPr>
                <w:rFonts w:ascii="Arial" w:cs="Arial" w:eastAsia="Arial" w:hAnsi="Arial"/>
                <w:sz w:val="14"/>
                <w:szCs w:val="14"/>
                <w:color w:val="auto"/>
              </w:rPr>
              <w:t>(175,000 s.f. - leased)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shd w:val="clear" w:color="auto" w:fill="EEEEEE"/>
          </w:tcPr>
          <w:p>
            <w:pPr>
              <w:spacing w:after="0"/>
              <w:rPr>
                <w:sz w:val="15"/>
                <w:szCs w:val="15"/>
                <w:color w:val="auto"/>
              </w:rPr>
            </w:pPr>
          </w:p>
        </w:tc>
        <w:tc>
          <w:tcPr>
            <w:tcW w:w="2540" w:type="dxa"/>
            <w:vAlign w:val="bottom"/>
            <w:shd w:val="clear" w:color="auto" w:fill="EEEEEE"/>
          </w:tcPr>
          <w:p>
            <w:pPr>
              <w:ind w:left="580"/>
              <w:spacing w:after="0"/>
              <w:rPr>
                <w:sz w:val="20"/>
                <w:szCs w:val="20"/>
                <w:color w:val="auto"/>
              </w:rPr>
            </w:pPr>
            <w:r>
              <w:rPr>
                <w:rFonts w:ascii="Arial" w:cs="Arial" w:eastAsia="Arial" w:hAnsi="Arial"/>
                <w:sz w:val="14"/>
                <w:szCs w:val="14"/>
                <w:color w:val="auto"/>
              </w:rPr>
              <w:t>Stoke, England</w:t>
            </w:r>
          </w:p>
        </w:tc>
        <w:tc>
          <w:tcPr>
            <w:tcW w:w="2560" w:type="dxa"/>
            <w:vAlign w:val="bottom"/>
            <w:shd w:val="clear" w:color="auto" w:fill="EEEEEE"/>
          </w:tcPr>
          <w:p>
            <w:pPr>
              <w:spacing w:after="0"/>
              <w:rPr>
                <w:sz w:val="15"/>
                <w:szCs w:val="15"/>
                <w:color w:val="auto"/>
              </w:rPr>
            </w:pPr>
          </w:p>
        </w:tc>
        <w:tc>
          <w:tcPr>
            <w:tcW w:w="3260" w:type="dxa"/>
            <w:vAlign w:val="bottom"/>
            <w:shd w:val="clear" w:color="auto" w:fill="EEEEEE"/>
          </w:tcPr>
          <w:p>
            <w:pPr>
              <w:ind w:left="280"/>
              <w:spacing w:after="0"/>
              <w:rPr>
                <w:sz w:val="20"/>
                <w:szCs w:val="20"/>
                <w:color w:val="auto"/>
              </w:rPr>
            </w:pPr>
            <w:r>
              <w:rPr>
                <w:rFonts w:ascii="Arial" w:cs="Arial" w:eastAsia="Arial" w:hAnsi="Arial"/>
                <w:sz w:val="14"/>
                <w:szCs w:val="14"/>
                <w:color w:val="auto"/>
              </w:rPr>
              <w:t>(261,000 s.f. - leased)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shd w:val="clear" w:color="auto" w:fill="EEEEEE"/>
          </w:tcPr>
          <w:p>
            <w:pPr>
              <w:spacing w:after="0"/>
              <w:rPr>
                <w:sz w:val="15"/>
                <w:szCs w:val="15"/>
                <w:color w:val="auto"/>
              </w:rPr>
            </w:pPr>
          </w:p>
        </w:tc>
        <w:tc>
          <w:tcPr>
            <w:tcW w:w="2540" w:type="dxa"/>
            <w:vAlign w:val="bottom"/>
            <w:shd w:val="clear" w:color="auto" w:fill="EEEEEE"/>
          </w:tcPr>
          <w:p>
            <w:pPr>
              <w:ind w:left="580"/>
              <w:spacing w:after="0"/>
              <w:rPr>
                <w:sz w:val="20"/>
                <w:szCs w:val="20"/>
                <w:color w:val="auto"/>
              </w:rPr>
            </w:pPr>
            <w:r>
              <w:rPr>
                <w:rFonts w:ascii="Arial" w:cs="Arial" w:eastAsia="Arial" w:hAnsi="Arial"/>
                <w:sz w:val="14"/>
                <w:szCs w:val="14"/>
                <w:color w:val="auto"/>
              </w:rPr>
              <w:t>Rochdale, England</w:t>
            </w:r>
          </w:p>
        </w:tc>
        <w:tc>
          <w:tcPr>
            <w:tcW w:w="2560" w:type="dxa"/>
            <w:vAlign w:val="bottom"/>
            <w:shd w:val="clear" w:color="auto" w:fill="EEEEEE"/>
          </w:tcPr>
          <w:p>
            <w:pPr>
              <w:spacing w:after="0"/>
              <w:rPr>
                <w:sz w:val="15"/>
                <w:szCs w:val="15"/>
                <w:color w:val="auto"/>
              </w:rPr>
            </w:pPr>
          </w:p>
        </w:tc>
        <w:tc>
          <w:tcPr>
            <w:tcW w:w="3260" w:type="dxa"/>
            <w:vAlign w:val="bottom"/>
            <w:shd w:val="clear" w:color="auto" w:fill="EEEEEE"/>
          </w:tcPr>
          <w:p>
            <w:pPr>
              <w:ind w:left="280"/>
              <w:spacing w:after="0"/>
              <w:rPr>
                <w:sz w:val="20"/>
                <w:szCs w:val="20"/>
                <w:color w:val="auto"/>
              </w:rPr>
            </w:pPr>
            <w:r>
              <w:rPr>
                <w:rFonts w:ascii="Arial" w:cs="Arial" w:eastAsia="Arial" w:hAnsi="Arial"/>
                <w:sz w:val="14"/>
                <w:szCs w:val="14"/>
                <w:color w:val="auto"/>
              </w:rPr>
              <w:t>( 84,000 s.f. - leased)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shd w:val="clear" w:color="auto" w:fill="EEEEEE"/>
          </w:tcPr>
          <w:p>
            <w:pPr>
              <w:spacing w:after="0"/>
              <w:rPr>
                <w:sz w:val="15"/>
                <w:szCs w:val="15"/>
                <w:color w:val="auto"/>
              </w:rPr>
            </w:pPr>
          </w:p>
        </w:tc>
        <w:tc>
          <w:tcPr>
            <w:tcW w:w="2540" w:type="dxa"/>
            <w:vAlign w:val="bottom"/>
            <w:shd w:val="clear" w:color="auto" w:fill="EEEEEE"/>
          </w:tcPr>
          <w:p>
            <w:pPr>
              <w:ind w:left="580"/>
              <w:spacing w:after="0"/>
              <w:rPr>
                <w:sz w:val="20"/>
                <w:szCs w:val="20"/>
                <w:color w:val="auto"/>
              </w:rPr>
            </w:pPr>
            <w:r>
              <w:rPr>
                <w:rFonts w:ascii="Arial" w:cs="Arial" w:eastAsia="Arial" w:hAnsi="Arial"/>
                <w:sz w:val="14"/>
                <w:szCs w:val="14"/>
                <w:color w:val="auto"/>
              </w:rPr>
              <w:t>Hatfield, England</w:t>
            </w:r>
          </w:p>
        </w:tc>
        <w:tc>
          <w:tcPr>
            <w:tcW w:w="2560" w:type="dxa"/>
            <w:vAlign w:val="bottom"/>
            <w:shd w:val="clear" w:color="auto" w:fill="EEEEEE"/>
          </w:tcPr>
          <w:p>
            <w:pPr>
              <w:spacing w:after="0"/>
              <w:rPr>
                <w:sz w:val="15"/>
                <w:szCs w:val="15"/>
                <w:color w:val="auto"/>
              </w:rPr>
            </w:pPr>
          </w:p>
        </w:tc>
        <w:tc>
          <w:tcPr>
            <w:tcW w:w="3260" w:type="dxa"/>
            <w:vAlign w:val="bottom"/>
            <w:shd w:val="clear" w:color="auto" w:fill="EEEEEE"/>
          </w:tcPr>
          <w:p>
            <w:pPr>
              <w:ind w:left="280"/>
              <w:spacing w:after="0"/>
              <w:rPr>
                <w:sz w:val="20"/>
                <w:szCs w:val="20"/>
                <w:color w:val="auto"/>
              </w:rPr>
            </w:pPr>
            <w:r>
              <w:rPr>
                <w:rFonts w:ascii="Arial" w:cs="Arial" w:eastAsia="Arial" w:hAnsi="Arial"/>
                <w:sz w:val="14"/>
                <w:szCs w:val="14"/>
                <w:color w:val="auto"/>
              </w:rPr>
              <w:t>( 90,000 s.f. - leased)</w:t>
            </w:r>
          </w:p>
        </w:tc>
        <w:tc>
          <w:tcPr>
            <w:tcW w:w="0" w:type="dxa"/>
            <w:vAlign w:val="bottom"/>
          </w:tcPr>
          <w:p>
            <w:pPr>
              <w:spacing w:after="0"/>
              <w:rPr>
                <w:sz w:val="1"/>
                <w:szCs w:val="1"/>
                <w:color w:val="auto"/>
              </w:rPr>
            </w:pPr>
          </w:p>
        </w:tc>
      </w:tr>
      <w:tr>
        <w:trPr>
          <w:trHeight w:val="298"/>
        </w:trPr>
        <w:tc>
          <w:tcPr>
            <w:tcW w:w="3100" w:type="dxa"/>
            <w:vAlign w:val="bottom"/>
            <w:gridSpan w:val="2"/>
          </w:tcPr>
          <w:p>
            <w:pPr>
              <w:spacing w:after="0"/>
              <w:rPr>
                <w:sz w:val="20"/>
                <w:szCs w:val="20"/>
                <w:color w:val="auto"/>
              </w:rPr>
            </w:pPr>
            <w:r>
              <w:rPr>
                <w:rFonts w:ascii="Arial" w:cs="Arial" w:eastAsia="Arial" w:hAnsi="Arial"/>
                <w:sz w:val="14"/>
                <w:szCs w:val="14"/>
                <w:color w:val="auto"/>
              </w:rPr>
              <w:t>A.J. Wright</w:t>
            </w:r>
          </w:p>
        </w:tc>
        <w:tc>
          <w:tcPr>
            <w:tcW w:w="2540" w:type="dxa"/>
            <w:vAlign w:val="bottom"/>
          </w:tcPr>
          <w:p>
            <w:pPr>
              <w:ind w:left="580"/>
              <w:spacing w:after="0"/>
              <w:rPr>
                <w:sz w:val="20"/>
                <w:szCs w:val="20"/>
                <w:color w:val="auto"/>
              </w:rPr>
            </w:pPr>
            <w:r>
              <w:rPr>
                <w:rFonts w:ascii="Arial" w:cs="Arial" w:eastAsia="Arial" w:hAnsi="Arial"/>
                <w:sz w:val="14"/>
                <w:szCs w:val="14"/>
                <w:color w:val="auto"/>
              </w:rPr>
              <w:t>Fall River, Massachusetts</w:t>
            </w:r>
          </w:p>
        </w:tc>
        <w:tc>
          <w:tcPr>
            <w:tcW w:w="2560" w:type="dxa"/>
            <w:vAlign w:val="bottom"/>
          </w:tcPr>
          <w:p>
            <w:pPr>
              <w:spacing w:after="0"/>
              <w:rPr>
                <w:sz w:val="24"/>
                <w:szCs w:val="24"/>
                <w:color w:val="auto"/>
              </w:rPr>
            </w:pPr>
          </w:p>
        </w:tc>
        <w:tc>
          <w:tcPr>
            <w:tcW w:w="3260" w:type="dxa"/>
            <w:vAlign w:val="bottom"/>
          </w:tcPr>
          <w:p>
            <w:pPr>
              <w:ind w:left="280"/>
              <w:spacing w:after="0"/>
              <w:rPr>
                <w:sz w:val="20"/>
                <w:szCs w:val="20"/>
                <w:color w:val="auto"/>
              </w:rPr>
            </w:pPr>
            <w:r>
              <w:rPr>
                <w:rFonts w:ascii="Arial" w:cs="Arial" w:eastAsia="Arial" w:hAnsi="Arial"/>
                <w:sz w:val="14"/>
                <w:szCs w:val="14"/>
                <w:color w:val="auto"/>
              </w:rPr>
              <w:t>(500,000 s.f. - owned)</w:t>
            </w:r>
          </w:p>
        </w:tc>
        <w:tc>
          <w:tcPr>
            <w:tcW w:w="0" w:type="dxa"/>
            <w:vAlign w:val="bottom"/>
          </w:tcPr>
          <w:p>
            <w:pPr>
              <w:spacing w:after="0"/>
              <w:rPr>
                <w:sz w:val="1"/>
                <w:szCs w:val="1"/>
                <w:color w:val="auto"/>
              </w:rPr>
            </w:pPr>
          </w:p>
        </w:tc>
      </w:tr>
      <w:tr>
        <w:trPr>
          <w:trHeight w:val="325"/>
        </w:trPr>
        <w:tc>
          <w:tcPr>
            <w:tcW w:w="3100" w:type="dxa"/>
            <w:vAlign w:val="bottom"/>
            <w:gridSpan w:val="2"/>
          </w:tcPr>
          <w:p>
            <w:pPr>
              <w:spacing w:after="0"/>
              <w:rPr>
                <w:sz w:val="20"/>
                <w:szCs w:val="20"/>
                <w:color w:val="auto"/>
              </w:rPr>
            </w:pPr>
            <w:r>
              <w:rPr>
                <w:rFonts w:ascii="Arial" w:cs="Arial" w:eastAsia="Arial" w:hAnsi="Arial"/>
                <w:sz w:val="11"/>
                <w:szCs w:val="11"/>
                <w:b w:val="1"/>
                <w:bCs w:val="1"/>
                <w:color w:val="auto"/>
              </w:rPr>
              <w:t>Office Space</w:t>
            </w:r>
          </w:p>
        </w:tc>
        <w:tc>
          <w:tcPr>
            <w:tcW w:w="25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4"/>
                <w:szCs w:val="14"/>
                <w:color w:val="auto"/>
              </w:rPr>
              <w:t>TJX, T.J. Maxx, Marshalls,</w:t>
            </w:r>
          </w:p>
        </w:tc>
        <w:tc>
          <w:tcPr>
            <w:tcW w:w="2540" w:type="dxa"/>
            <w:vAlign w:val="bottom"/>
            <w:shd w:val="clear" w:color="auto" w:fill="EEEEEE"/>
          </w:tcPr>
          <w:p>
            <w:pPr>
              <w:ind w:left="580"/>
              <w:spacing w:after="0"/>
              <w:rPr>
                <w:sz w:val="20"/>
                <w:szCs w:val="20"/>
                <w:color w:val="auto"/>
              </w:rPr>
            </w:pPr>
            <w:r>
              <w:rPr>
                <w:rFonts w:ascii="Arial" w:cs="Arial" w:eastAsia="Arial" w:hAnsi="Arial"/>
                <w:sz w:val="14"/>
                <w:szCs w:val="14"/>
                <w:color w:val="auto"/>
              </w:rPr>
              <w:t>Framingham, Massachusetts</w:t>
            </w:r>
          </w:p>
        </w:tc>
        <w:tc>
          <w:tcPr>
            <w:tcW w:w="2560" w:type="dxa"/>
            <w:vAlign w:val="bottom"/>
            <w:shd w:val="clear" w:color="auto" w:fill="EEEEEE"/>
          </w:tcPr>
          <w:p>
            <w:pPr>
              <w:spacing w:after="0"/>
              <w:rPr>
                <w:sz w:val="14"/>
                <w:szCs w:val="14"/>
                <w:color w:val="auto"/>
              </w:rPr>
            </w:pPr>
          </w:p>
        </w:tc>
        <w:tc>
          <w:tcPr>
            <w:tcW w:w="3260" w:type="dxa"/>
            <w:vAlign w:val="bottom"/>
            <w:shd w:val="clear" w:color="auto" w:fill="EEEEEE"/>
          </w:tcPr>
          <w:p>
            <w:pPr>
              <w:ind w:left="280"/>
              <w:spacing w:after="0"/>
              <w:rPr>
                <w:sz w:val="20"/>
                <w:szCs w:val="20"/>
                <w:color w:val="auto"/>
              </w:rPr>
            </w:pPr>
            <w:r>
              <w:rPr>
                <w:rFonts w:ascii="Arial" w:cs="Arial" w:eastAsia="Arial" w:hAnsi="Arial"/>
                <w:sz w:val="14"/>
                <w:szCs w:val="14"/>
                <w:color w:val="auto"/>
              </w:rPr>
              <w:t>(1,124,000 s.f. - leased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80" w:type="dxa"/>
            <w:vAlign w:val="bottom"/>
            <w:shd w:val="clear" w:color="auto" w:fill="EEEEEE"/>
          </w:tcPr>
          <w:p>
            <w:pPr>
              <w:ind w:left="140"/>
              <w:spacing w:after="0"/>
              <w:rPr>
                <w:sz w:val="20"/>
                <w:szCs w:val="20"/>
                <w:color w:val="auto"/>
              </w:rPr>
            </w:pPr>
            <w:r>
              <w:rPr>
                <w:rFonts w:ascii="Arial" w:cs="Arial" w:eastAsia="Arial" w:hAnsi="Arial"/>
                <w:sz w:val="14"/>
                <w:szCs w:val="14"/>
                <w:color w:val="auto"/>
              </w:rPr>
              <w:t>HomeGoods, A.J. Wright</w:t>
            </w:r>
          </w:p>
        </w:tc>
        <w:tc>
          <w:tcPr>
            <w:tcW w:w="2540" w:type="dxa"/>
            <w:vAlign w:val="bottom"/>
            <w:shd w:val="clear" w:color="auto" w:fill="EEEEEE"/>
          </w:tcPr>
          <w:p>
            <w:pPr>
              <w:spacing w:after="0"/>
              <w:rPr>
                <w:sz w:val="16"/>
                <w:szCs w:val="16"/>
                <w:color w:val="auto"/>
              </w:rPr>
            </w:pPr>
          </w:p>
        </w:tc>
        <w:tc>
          <w:tcPr>
            <w:tcW w:w="2560" w:type="dxa"/>
            <w:vAlign w:val="bottom"/>
            <w:shd w:val="clear" w:color="auto" w:fill="EEEEEE"/>
          </w:tcPr>
          <w:p>
            <w:pPr>
              <w:spacing w:after="0"/>
              <w:rPr>
                <w:sz w:val="16"/>
                <w:szCs w:val="16"/>
                <w:color w:val="auto"/>
              </w:rPr>
            </w:pPr>
          </w:p>
        </w:tc>
        <w:tc>
          <w:tcPr>
            <w:tcW w:w="3260" w:type="dxa"/>
            <w:vAlign w:val="bottom"/>
            <w:shd w:val="clear" w:color="auto" w:fill="EEEEEE"/>
          </w:tcPr>
          <w:p>
            <w:pPr>
              <w:ind w:left="360"/>
              <w:spacing w:after="0"/>
              <w:rPr>
                <w:sz w:val="20"/>
                <w:szCs w:val="20"/>
                <w:color w:val="auto"/>
              </w:rPr>
            </w:pPr>
            <w:r>
              <w:rPr>
                <w:rFonts w:ascii="Arial" w:cs="Arial" w:eastAsia="Arial" w:hAnsi="Arial"/>
                <w:sz w:val="14"/>
                <w:szCs w:val="14"/>
                <w:color w:val="auto"/>
              </w:rPr>
              <w:t>in several buildings)</w:t>
            </w:r>
          </w:p>
        </w:tc>
        <w:tc>
          <w:tcPr>
            <w:tcW w:w="0" w:type="dxa"/>
            <w:vAlign w:val="bottom"/>
          </w:tcPr>
          <w:p>
            <w:pPr>
              <w:spacing w:after="0"/>
              <w:rPr>
                <w:sz w:val="1"/>
                <w:szCs w:val="1"/>
                <w:color w:val="auto"/>
              </w:rPr>
            </w:pPr>
          </w:p>
        </w:tc>
      </w:tr>
      <w:tr>
        <w:trPr>
          <w:trHeight w:val="298"/>
        </w:trPr>
        <w:tc>
          <w:tcPr>
            <w:tcW w:w="3100" w:type="dxa"/>
            <w:vAlign w:val="bottom"/>
            <w:gridSpan w:val="2"/>
          </w:tcPr>
          <w:p>
            <w:pPr>
              <w:spacing w:after="0"/>
              <w:rPr>
                <w:sz w:val="20"/>
                <w:szCs w:val="20"/>
                <w:color w:val="auto"/>
              </w:rPr>
            </w:pPr>
            <w:r>
              <w:rPr>
                <w:rFonts w:ascii="Arial" w:cs="Arial" w:eastAsia="Arial" w:hAnsi="Arial"/>
                <w:sz w:val="14"/>
                <w:szCs w:val="14"/>
                <w:color w:val="auto"/>
              </w:rPr>
              <w:t>Winners and HomeSense</w:t>
            </w:r>
          </w:p>
        </w:tc>
        <w:tc>
          <w:tcPr>
            <w:tcW w:w="2540" w:type="dxa"/>
            <w:vAlign w:val="bottom"/>
          </w:tcPr>
          <w:p>
            <w:pPr>
              <w:ind w:left="580"/>
              <w:spacing w:after="0"/>
              <w:rPr>
                <w:sz w:val="20"/>
                <w:szCs w:val="20"/>
                <w:color w:val="auto"/>
              </w:rPr>
            </w:pPr>
            <w:r>
              <w:rPr>
                <w:rFonts w:ascii="Arial" w:cs="Arial" w:eastAsia="Arial" w:hAnsi="Arial"/>
                <w:sz w:val="14"/>
                <w:szCs w:val="14"/>
                <w:color w:val="auto"/>
              </w:rPr>
              <w:t>Mississauga, Ontario</w:t>
            </w:r>
          </w:p>
        </w:tc>
        <w:tc>
          <w:tcPr>
            <w:tcW w:w="2560" w:type="dxa"/>
            <w:vAlign w:val="bottom"/>
          </w:tcPr>
          <w:p>
            <w:pPr>
              <w:spacing w:after="0"/>
              <w:rPr>
                <w:sz w:val="24"/>
                <w:szCs w:val="24"/>
                <w:color w:val="auto"/>
              </w:rPr>
            </w:pPr>
          </w:p>
        </w:tc>
        <w:tc>
          <w:tcPr>
            <w:tcW w:w="3260" w:type="dxa"/>
            <w:vAlign w:val="bottom"/>
          </w:tcPr>
          <w:p>
            <w:pPr>
              <w:ind w:left="280"/>
              <w:spacing w:after="0"/>
              <w:rPr>
                <w:sz w:val="20"/>
                <w:szCs w:val="20"/>
                <w:color w:val="auto"/>
              </w:rPr>
            </w:pPr>
            <w:r>
              <w:rPr>
                <w:rFonts w:ascii="Arial" w:cs="Arial" w:eastAsia="Arial" w:hAnsi="Arial"/>
                <w:sz w:val="14"/>
                <w:szCs w:val="14"/>
                <w:color w:val="auto"/>
              </w:rPr>
              <w:t>(109,000 s.f. - leased)</w:t>
            </w:r>
          </w:p>
        </w:tc>
        <w:tc>
          <w:tcPr>
            <w:tcW w:w="0" w:type="dxa"/>
            <w:vAlign w:val="bottom"/>
          </w:tcPr>
          <w:p>
            <w:pPr>
              <w:spacing w:after="0"/>
              <w:rPr>
                <w:sz w:val="1"/>
                <w:szCs w:val="1"/>
                <w:color w:val="auto"/>
              </w:rPr>
            </w:pPr>
          </w:p>
        </w:tc>
      </w:tr>
      <w:tr>
        <w:trPr>
          <w:trHeight w:val="125"/>
        </w:trPr>
        <w:tc>
          <w:tcPr>
            <w:tcW w:w="20" w:type="dxa"/>
            <w:vAlign w:val="bottom"/>
            <w:vMerge w:val="restart"/>
          </w:tcPr>
          <w:p>
            <w:pPr>
              <w:spacing w:after="0"/>
              <w:rPr>
                <w:sz w:val="10"/>
                <w:szCs w:val="10"/>
                <w:color w:val="auto"/>
              </w:rPr>
            </w:pPr>
          </w:p>
        </w:tc>
        <w:tc>
          <w:tcPr>
            <w:tcW w:w="30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vMerge w:val="continue"/>
          </w:tcPr>
          <w:p>
            <w:pPr>
              <w:spacing w:after="0"/>
              <w:rPr>
                <w:sz w:val="15"/>
                <w:szCs w:val="15"/>
                <w:color w:val="auto"/>
              </w:rPr>
            </w:pPr>
          </w:p>
        </w:tc>
        <w:tc>
          <w:tcPr>
            <w:tcW w:w="3080" w:type="dxa"/>
            <w:vAlign w:val="bottom"/>
            <w:shd w:val="clear" w:color="auto" w:fill="EEEEEE"/>
          </w:tcPr>
          <w:p>
            <w:pPr>
              <w:spacing w:after="0"/>
              <w:rPr>
                <w:sz w:val="20"/>
                <w:szCs w:val="20"/>
                <w:color w:val="auto"/>
              </w:rPr>
            </w:pPr>
            <w:r>
              <w:rPr>
                <w:rFonts w:ascii="Arial" w:cs="Arial" w:eastAsia="Arial" w:hAnsi="Arial"/>
                <w:sz w:val="14"/>
                <w:szCs w:val="14"/>
                <w:color w:val="auto"/>
              </w:rPr>
              <w:t>T.K. Maxx</w:t>
            </w:r>
          </w:p>
        </w:tc>
        <w:tc>
          <w:tcPr>
            <w:tcW w:w="2540" w:type="dxa"/>
            <w:vAlign w:val="bottom"/>
            <w:shd w:val="clear" w:color="auto" w:fill="EEEEEE"/>
          </w:tcPr>
          <w:p>
            <w:pPr>
              <w:ind w:left="580"/>
              <w:spacing w:after="0"/>
              <w:rPr>
                <w:sz w:val="20"/>
                <w:szCs w:val="20"/>
                <w:color w:val="auto"/>
              </w:rPr>
            </w:pPr>
            <w:r>
              <w:rPr>
                <w:rFonts w:ascii="Arial" w:cs="Arial" w:eastAsia="Arial" w:hAnsi="Arial"/>
                <w:sz w:val="14"/>
                <w:szCs w:val="14"/>
                <w:color w:val="auto"/>
              </w:rPr>
              <w:t>Watford, England</w:t>
            </w:r>
          </w:p>
        </w:tc>
        <w:tc>
          <w:tcPr>
            <w:tcW w:w="2560" w:type="dxa"/>
            <w:vAlign w:val="bottom"/>
            <w:shd w:val="clear" w:color="auto" w:fill="EEEEEE"/>
          </w:tcPr>
          <w:p>
            <w:pPr>
              <w:spacing w:after="0"/>
              <w:rPr>
                <w:sz w:val="15"/>
                <w:szCs w:val="15"/>
                <w:color w:val="auto"/>
              </w:rPr>
            </w:pPr>
          </w:p>
        </w:tc>
        <w:tc>
          <w:tcPr>
            <w:tcW w:w="3260" w:type="dxa"/>
            <w:vAlign w:val="bottom"/>
            <w:shd w:val="clear" w:color="auto" w:fill="EEEEEE"/>
          </w:tcPr>
          <w:p>
            <w:pPr>
              <w:ind w:left="280"/>
              <w:spacing w:after="0"/>
              <w:rPr>
                <w:sz w:val="20"/>
                <w:szCs w:val="20"/>
                <w:color w:val="auto"/>
              </w:rPr>
            </w:pPr>
            <w:r>
              <w:rPr>
                <w:rFonts w:ascii="Arial" w:cs="Arial" w:eastAsia="Arial" w:hAnsi="Arial"/>
                <w:sz w:val="14"/>
                <w:szCs w:val="14"/>
                <w:color w:val="auto"/>
              </w:rPr>
              <w:t>(55,000 s.f. - leased)</w:t>
            </w: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560" w:type="dxa"/>
            <w:vAlign w:val="bottom"/>
          </w:tcPr>
          <w:p>
            <w:pPr>
              <w:jc w:val="right"/>
              <w:ind w:right="2348"/>
              <w:spacing w:after="0"/>
              <w:rPr>
                <w:sz w:val="20"/>
                <w:szCs w:val="20"/>
                <w:color w:val="auto"/>
              </w:rPr>
            </w:pPr>
            <w:r>
              <w:rPr>
                <w:rFonts w:ascii="Arial" w:cs="Arial" w:eastAsia="Arial" w:hAnsi="Arial"/>
                <w:sz w:val="14"/>
                <w:szCs w:val="14"/>
                <w:color w:val="auto"/>
              </w:rPr>
              <w:t>9</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080" w:type="dxa"/>
            <w:vAlign w:val="bottom"/>
            <w:tcBorders>
              <w:bottom w:val="single" w:sz="8" w:color="808080"/>
            </w:tcBorders>
          </w:tcPr>
          <w:p>
            <w:pPr>
              <w:spacing w:after="0"/>
              <w:rPr>
                <w:sz w:val="16"/>
                <w:szCs w:val="16"/>
                <w:color w:val="auto"/>
              </w:rPr>
            </w:pPr>
          </w:p>
        </w:tc>
        <w:tc>
          <w:tcPr>
            <w:tcW w:w="2540" w:type="dxa"/>
            <w:vAlign w:val="bottom"/>
            <w:tcBorders>
              <w:bottom w:val="single" w:sz="8" w:color="808080"/>
            </w:tcBorders>
          </w:tcPr>
          <w:p>
            <w:pPr>
              <w:spacing w:after="0"/>
              <w:rPr>
                <w:sz w:val="16"/>
                <w:szCs w:val="16"/>
                <w:color w:val="auto"/>
              </w:rPr>
            </w:pPr>
          </w:p>
        </w:tc>
        <w:tc>
          <w:tcPr>
            <w:tcW w:w="2560" w:type="dxa"/>
            <w:vAlign w:val="bottom"/>
            <w:tcBorders>
              <w:bottom w:val="single" w:sz="8" w:color="808080"/>
            </w:tcBorders>
          </w:tcPr>
          <w:p>
            <w:pPr>
              <w:spacing w:after="0"/>
              <w:rPr>
                <w:sz w:val="16"/>
                <w:szCs w:val="16"/>
                <w:color w:val="auto"/>
              </w:rPr>
            </w:pPr>
          </w:p>
        </w:tc>
        <w:tc>
          <w:tcPr>
            <w:tcW w:w="32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table below indicates the approximate average store size as well as the gross square footage of stores and distribution centers, by division, as of January 25, 2003.</w:t>
      </w:r>
    </w:p>
    <w:p>
      <w:pPr>
        <w:spacing w:after="0" w:line="392" w:lineRule="exact"/>
        <w:rPr>
          <w:sz w:val="20"/>
          <w:szCs w:val="20"/>
          <w:color w:val="auto"/>
        </w:rPr>
      </w:pPr>
    </w:p>
    <w:tbl>
      <w:tblPr>
        <w:tblLayout w:type="fixed"/>
        <w:tblInd w:w="2600" w:type="dxa"/>
        <w:tblCellMar>
          <w:top w:w="0" w:type="dxa"/>
          <w:left w:w="0" w:type="dxa"/>
          <w:bottom w:w="0" w:type="dxa"/>
          <w:right w:w="0" w:type="dxa"/>
        </w:tblCellMar>
      </w:tblPr>
      <w:tr>
        <w:trPr>
          <w:trHeight w:val="143"/>
        </w:trPr>
        <w:tc>
          <w:tcPr>
            <w:tcW w:w="2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20" w:type="dxa"/>
            <w:vAlign w:val="bottom"/>
            <w:gridSpan w:val="5"/>
          </w:tcPr>
          <w:p>
            <w:pPr>
              <w:jc w:val="center"/>
              <w:ind w:right="740"/>
              <w:spacing w:after="0"/>
              <w:rPr>
                <w:sz w:val="20"/>
                <w:szCs w:val="20"/>
                <w:color w:val="auto"/>
              </w:rPr>
            </w:pPr>
            <w:r>
              <w:rPr>
                <w:rFonts w:ascii="Arial" w:cs="Arial" w:eastAsia="Arial" w:hAnsi="Arial"/>
                <w:sz w:val="11"/>
                <w:szCs w:val="11"/>
                <w:b w:val="1"/>
                <w:bCs w:val="1"/>
                <w:color w:val="auto"/>
                <w:w w:val="90"/>
              </w:rPr>
              <w:t>Total Square Feet</w:t>
            </w:r>
          </w:p>
        </w:tc>
      </w:tr>
      <w:tr>
        <w:trPr>
          <w:trHeight w:val="79"/>
        </w:trPr>
        <w:tc>
          <w:tcPr>
            <w:tcW w:w="2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r>
      <w:tr>
        <w:trPr>
          <w:trHeight w:val="212"/>
        </w:trPr>
        <w:tc>
          <w:tcPr>
            <w:tcW w:w="2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gridSpan w:val="5"/>
          </w:tcPr>
          <w:p>
            <w:pPr>
              <w:jc w:val="center"/>
              <w:ind w:right="760"/>
              <w:spacing w:after="0"/>
              <w:rPr>
                <w:sz w:val="20"/>
                <w:szCs w:val="20"/>
                <w:color w:val="auto"/>
              </w:rPr>
            </w:pPr>
            <w:r>
              <w:rPr>
                <w:rFonts w:ascii="Arial" w:cs="Arial" w:eastAsia="Arial" w:hAnsi="Arial"/>
                <w:sz w:val="11"/>
                <w:szCs w:val="11"/>
                <w:b w:val="1"/>
                <w:bCs w:val="1"/>
                <w:color w:val="auto"/>
                <w:w w:val="93"/>
              </w:rPr>
              <w:t>(In Thousands)</w:t>
            </w:r>
          </w:p>
        </w:tc>
      </w:tr>
      <w:tr>
        <w:trPr>
          <w:trHeight w:val="79"/>
        </w:trPr>
        <w:tc>
          <w:tcPr>
            <w:tcW w:w="2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r>
      <w:tr>
        <w:trPr>
          <w:trHeight w:val="192"/>
        </w:trPr>
        <w:tc>
          <w:tcPr>
            <w:tcW w:w="236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Average</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1"/>
                <w:szCs w:val="11"/>
                <w:b w:val="1"/>
                <w:bCs w:val="1"/>
                <w:color w:val="auto"/>
                <w:w w:val="93"/>
              </w:rPr>
              <w:t>Distribution</w:t>
            </w:r>
          </w:p>
        </w:tc>
      </w:tr>
      <w:tr>
        <w:trPr>
          <w:trHeight w:val="143"/>
        </w:trPr>
        <w:tc>
          <w:tcPr>
            <w:tcW w:w="2360" w:type="dxa"/>
            <w:vAlign w:val="bottom"/>
          </w:tcPr>
          <w:p>
            <w:pPr>
              <w:spacing w:after="0"/>
              <w:rPr>
                <w:sz w:val="12"/>
                <w:szCs w:val="1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Store Size</w:t>
            </w:r>
          </w:p>
        </w:tc>
        <w:tc>
          <w:tcPr>
            <w:tcW w:w="3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w w:val="99"/>
              </w:rPr>
              <w:t>Stores</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87"/>
              </w:rPr>
              <w:t>Centers</w:t>
            </w:r>
          </w:p>
        </w:tc>
      </w:tr>
      <w:tr>
        <w:trPr>
          <w:trHeight w:val="79"/>
        </w:trPr>
        <w:tc>
          <w:tcPr>
            <w:tcW w:w="2360" w:type="dxa"/>
            <w:vAlign w:val="bottom"/>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r>
      <w:tr>
        <w:trPr>
          <w:trHeight w:val="80"/>
        </w:trPr>
        <w:tc>
          <w:tcPr>
            <w:tcW w:w="2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r>
      <w:tr>
        <w:trPr>
          <w:trHeight w:val="178"/>
        </w:trPr>
        <w:tc>
          <w:tcPr>
            <w:tcW w:w="2360" w:type="dxa"/>
            <w:vAlign w:val="bottom"/>
            <w:shd w:val="clear" w:color="auto" w:fill="EEEEEE"/>
          </w:tcPr>
          <w:p>
            <w:pPr>
              <w:spacing w:after="0"/>
              <w:rPr>
                <w:sz w:val="20"/>
                <w:szCs w:val="20"/>
                <w:color w:val="auto"/>
              </w:rPr>
            </w:pPr>
            <w:r>
              <w:rPr>
                <w:rFonts w:ascii="Arial" w:cs="Arial" w:eastAsia="Arial" w:hAnsi="Arial"/>
                <w:sz w:val="14"/>
                <w:szCs w:val="14"/>
                <w:color w:val="auto"/>
              </w:rPr>
              <w:t>T.J. Maxx</w:t>
            </w:r>
          </w:p>
        </w:tc>
        <w:tc>
          <w:tcPr>
            <w:tcW w:w="1100" w:type="dxa"/>
            <w:vAlign w:val="bottom"/>
            <w:shd w:val="clear" w:color="auto" w:fill="EEEEEE"/>
          </w:tcPr>
          <w:p>
            <w:pPr>
              <w:jc w:val="center"/>
              <w:spacing w:after="0"/>
              <w:rPr>
                <w:sz w:val="20"/>
                <w:szCs w:val="20"/>
                <w:color w:val="auto"/>
              </w:rPr>
            </w:pPr>
            <w:r>
              <w:rPr>
                <w:rFonts w:ascii="Arial" w:cs="Arial" w:eastAsia="Arial" w:hAnsi="Arial"/>
                <w:sz w:val="14"/>
                <w:szCs w:val="14"/>
                <w:color w:val="auto"/>
                <w:w w:val="93"/>
              </w:rPr>
              <w:t>30,000</w:t>
            </w:r>
          </w:p>
        </w:tc>
        <w:tc>
          <w:tcPr>
            <w:tcW w:w="240" w:type="dxa"/>
            <w:vAlign w:val="bottom"/>
            <w:shd w:val="clear" w:color="auto" w:fill="EEEEEE"/>
          </w:tcPr>
          <w:p>
            <w:pPr>
              <w:spacing w:after="0"/>
              <w:rPr>
                <w:sz w:val="15"/>
                <w:szCs w:val="15"/>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21,065</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3,821</w:t>
            </w:r>
          </w:p>
        </w:tc>
        <w:tc>
          <w:tcPr>
            <w:tcW w:w="400" w:type="dxa"/>
            <w:vAlign w:val="bottom"/>
            <w:shd w:val="clear" w:color="auto" w:fill="EEEEEE"/>
          </w:tcPr>
          <w:p>
            <w:pPr>
              <w:spacing w:after="0"/>
              <w:rPr>
                <w:sz w:val="15"/>
                <w:szCs w:val="15"/>
                <w:color w:val="auto"/>
              </w:rPr>
            </w:pPr>
          </w:p>
        </w:tc>
      </w:tr>
      <w:tr>
        <w:trPr>
          <w:trHeight w:val="178"/>
        </w:trPr>
        <w:tc>
          <w:tcPr>
            <w:tcW w:w="2360" w:type="dxa"/>
            <w:vAlign w:val="bottom"/>
          </w:tcPr>
          <w:p>
            <w:pPr>
              <w:spacing w:after="0"/>
              <w:rPr>
                <w:sz w:val="20"/>
                <w:szCs w:val="20"/>
                <w:color w:val="auto"/>
              </w:rPr>
            </w:pPr>
            <w:r>
              <w:rPr>
                <w:rFonts w:ascii="Arial" w:cs="Arial" w:eastAsia="Arial" w:hAnsi="Arial"/>
                <w:sz w:val="14"/>
                <w:szCs w:val="14"/>
                <w:color w:val="auto"/>
              </w:rPr>
              <w:t>Marshalls</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31,000</w:t>
            </w:r>
          </w:p>
        </w:tc>
        <w:tc>
          <w:tcPr>
            <w:tcW w:w="2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19,510</w:t>
            </w:r>
          </w:p>
        </w:tc>
        <w:tc>
          <w:tcPr>
            <w:tcW w:w="1420" w:type="dxa"/>
            <w:vAlign w:val="bottom"/>
            <w:gridSpan w:val="4"/>
          </w:tcPr>
          <w:p>
            <w:pPr>
              <w:jc w:val="right"/>
              <w:spacing w:after="0"/>
              <w:rPr>
                <w:sz w:val="20"/>
                <w:szCs w:val="20"/>
                <w:color w:val="auto"/>
              </w:rPr>
            </w:pPr>
            <w:r>
              <w:rPr>
                <w:rFonts w:ascii="Arial" w:cs="Arial" w:eastAsia="Arial" w:hAnsi="Arial"/>
                <w:sz w:val="14"/>
                <w:szCs w:val="14"/>
                <w:color w:val="auto"/>
              </w:rPr>
              <w:t>3,199</w:t>
            </w:r>
          </w:p>
        </w:tc>
        <w:tc>
          <w:tcPr>
            <w:tcW w:w="400" w:type="dxa"/>
            <w:vAlign w:val="bottom"/>
          </w:tcPr>
          <w:p>
            <w:pPr>
              <w:spacing w:after="0"/>
              <w:rPr>
                <w:sz w:val="15"/>
                <w:szCs w:val="15"/>
                <w:color w:val="auto"/>
              </w:rPr>
            </w:pPr>
          </w:p>
        </w:tc>
      </w:tr>
      <w:tr>
        <w:trPr>
          <w:trHeight w:val="178"/>
        </w:trPr>
        <w:tc>
          <w:tcPr>
            <w:tcW w:w="2360" w:type="dxa"/>
            <w:vAlign w:val="bottom"/>
            <w:shd w:val="clear" w:color="auto" w:fill="EEEEEE"/>
          </w:tcPr>
          <w:p>
            <w:pPr>
              <w:spacing w:after="0"/>
              <w:rPr>
                <w:sz w:val="20"/>
                <w:szCs w:val="20"/>
                <w:color w:val="auto"/>
              </w:rPr>
            </w:pPr>
            <w:r>
              <w:rPr>
                <w:rFonts w:ascii="Arial" w:cs="Arial" w:eastAsia="Arial" w:hAnsi="Arial"/>
                <w:sz w:val="14"/>
                <w:szCs w:val="14"/>
                <w:color w:val="auto"/>
              </w:rPr>
              <w:t>Winners (1)</w:t>
            </w:r>
          </w:p>
        </w:tc>
        <w:tc>
          <w:tcPr>
            <w:tcW w:w="1100" w:type="dxa"/>
            <w:vAlign w:val="bottom"/>
            <w:shd w:val="clear" w:color="auto" w:fill="EEEEEE"/>
          </w:tcPr>
          <w:p>
            <w:pPr>
              <w:jc w:val="center"/>
              <w:spacing w:after="0"/>
              <w:rPr>
                <w:sz w:val="20"/>
                <w:szCs w:val="20"/>
                <w:color w:val="auto"/>
              </w:rPr>
            </w:pPr>
            <w:r>
              <w:rPr>
                <w:rFonts w:ascii="Arial" w:cs="Arial" w:eastAsia="Arial" w:hAnsi="Arial"/>
                <w:sz w:val="14"/>
                <w:szCs w:val="14"/>
                <w:color w:val="auto"/>
                <w:w w:val="93"/>
              </w:rPr>
              <w:t>28,000</w:t>
            </w:r>
          </w:p>
        </w:tc>
        <w:tc>
          <w:tcPr>
            <w:tcW w:w="240" w:type="dxa"/>
            <w:vAlign w:val="bottom"/>
            <w:shd w:val="clear" w:color="auto" w:fill="EEEEEE"/>
          </w:tcPr>
          <w:p>
            <w:pPr>
              <w:spacing w:after="0"/>
              <w:rPr>
                <w:sz w:val="15"/>
                <w:szCs w:val="15"/>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4,079</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1,163</w:t>
            </w:r>
          </w:p>
        </w:tc>
        <w:tc>
          <w:tcPr>
            <w:tcW w:w="400" w:type="dxa"/>
            <w:vAlign w:val="bottom"/>
            <w:shd w:val="clear" w:color="auto" w:fill="EEEEEE"/>
          </w:tcPr>
          <w:p>
            <w:pPr>
              <w:spacing w:after="0"/>
              <w:rPr>
                <w:sz w:val="15"/>
                <w:szCs w:val="15"/>
                <w:color w:val="auto"/>
              </w:rPr>
            </w:pPr>
          </w:p>
        </w:tc>
      </w:tr>
      <w:tr>
        <w:trPr>
          <w:trHeight w:val="178"/>
        </w:trPr>
        <w:tc>
          <w:tcPr>
            <w:tcW w:w="2360" w:type="dxa"/>
            <w:vAlign w:val="bottom"/>
          </w:tcPr>
          <w:p>
            <w:pPr>
              <w:spacing w:after="0"/>
              <w:rPr>
                <w:sz w:val="20"/>
                <w:szCs w:val="20"/>
                <w:color w:val="auto"/>
              </w:rPr>
            </w:pPr>
            <w:r>
              <w:rPr>
                <w:rFonts w:ascii="Arial" w:cs="Arial" w:eastAsia="Arial" w:hAnsi="Arial"/>
                <w:sz w:val="14"/>
                <w:szCs w:val="14"/>
                <w:color w:val="auto"/>
              </w:rPr>
              <w:t>HomeSense</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25,000</w:t>
            </w:r>
          </w:p>
        </w:tc>
        <w:tc>
          <w:tcPr>
            <w:tcW w:w="2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370</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r>
      <w:tr>
        <w:trPr>
          <w:trHeight w:val="178"/>
        </w:trPr>
        <w:tc>
          <w:tcPr>
            <w:tcW w:w="2360" w:type="dxa"/>
            <w:vAlign w:val="bottom"/>
            <w:shd w:val="clear" w:color="auto" w:fill="EEEEEE"/>
          </w:tcPr>
          <w:p>
            <w:pPr>
              <w:spacing w:after="0"/>
              <w:rPr>
                <w:sz w:val="20"/>
                <w:szCs w:val="20"/>
                <w:color w:val="auto"/>
              </w:rPr>
            </w:pPr>
            <w:r>
              <w:rPr>
                <w:rFonts w:ascii="Arial" w:cs="Arial" w:eastAsia="Arial" w:hAnsi="Arial"/>
                <w:sz w:val="14"/>
                <w:szCs w:val="14"/>
                <w:color w:val="auto"/>
              </w:rPr>
              <w:t>HomeGoods (2)</w:t>
            </w:r>
          </w:p>
        </w:tc>
        <w:tc>
          <w:tcPr>
            <w:tcW w:w="1100" w:type="dxa"/>
            <w:vAlign w:val="bottom"/>
            <w:shd w:val="clear" w:color="auto" w:fill="EEEEEE"/>
          </w:tcPr>
          <w:p>
            <w:pPr>
              <w:jc w:val="center"/>
              <w:spacing w:after="0"/>
              <w:rPr>
                <w:sz w:val="20"/>
                <w:szCs w:val="20"/>
                <w:color w:val="auto"/>
              </w:rPr>
            </w:pPr>
            <w:r>
              <w:rPr>
                <w:rFonts w:ascii="Arial" w:cs="Arial" w:eastAsia="Arial" w:hAnsi="Arial"/>
                <w:sz w:val="14"/>
                <w:szCs w:val="14"/>
                <w:color w:val="auto"/>
                <w:w w:val="93"/>
              </w:rPr>
              <w:t>25,000</w:t>
            </w:r>
          </w:p>
        </w:tc>
        <w:tc>
          <w:tcPr>
            <w:tcW w:w="240" w:type="dxa"/>
            <w:vAlign w:val="bottom"/>
            <w:shd w:val="clear" w:color="auto" w:fill="EEEEEE"/>
          </w:tcPr>
          <w:p>
            <w:pPr>
              <w:spacing w:after="0"/>
              <w:rPr>
                <w:sz w:val="15"/>
                <w:szCs w:val="15"/>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3,611</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1,148</w:t>
            </w:r>
          </w:p>
        </w:tc>
        <w:tc>
          <w:tcPr>
            <w:tcW w:w="400" w:type="dxa"/>
            <w:vAlign w:val="bottom"/>
            <w:shd w:val="clear" w:color="auto" w:fill="EEEEEE"/>
          </w:tcPr>
          <w:p>
            <w:pPr>
              <w:spacing w:after="0"/>
              <w:rPr>
                <w:sz w:val="15"/>
                <w:szCs w:val="15"/>
                <w:color w:val="auto"/>
              </w:rPr>
            </w:pPr>
          </w:p>
        </w:tc>
      </w:tr>
      <w:tr>
        <w:trPr>
          <w:trHeight w:val="178"/>
        </w:trPr>
        <w:tc>
          <w:tcPr>
            <w:tcW w:w="2360" w:type="dxa"/>
            <w:vAlign w:val="bottom"/>
          </w:tcPr>
          <w:p>
            <w:pPr>
              <w:spacing w:after="0"/>
              <w:rPr>
                <w:sz w:val="20"/>
                <w:szCs w:val="20"/>
                <w:color w:val="auto"/>
              </w:rPr>
            </w:pPr>
            <w:r>
              <w:rPr>
                <w:rFonts w:ascii="Arial" w:cs="Arial" w:eastAsia="Arial" w:hAnsi="Arial"/>
                <w:sz w:val="14"/>
                <w:szCs w:val="14"/>
                <w:color w:val="auto"/>
              </w:rPr>
              <w:t>T.K. Maxx</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26,000</w:t>
            </w:r>
          </w:p>
        </w:tc>
        <w:tc>
          <w:tcPr>
            <w:tcW w:w="2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3,249</w:t>
            </w:r>
          </w:p>
        </w:tc>
        <w:tc>
          <w:tcPr>
            <w:tcW w:w="1420" w:type="dxa"/>
            <w:vAlign w:val="bottom"/>
            <w:gridSpan w:val="4"/>
          </w:tcPr>
          <w:p>
            <w:pPr>
              <w:jc w:val="right"/>
              <w:spacing w:after="0"/>
              <w:rPr>
                <w:sz w:val="20"/>
                <w:szCs w:val="20"/>
                <w:color w:val="auto"/>
              </w:rPr>
            </w:pPr>
            <w:r>
              <w:rPr>
                <w:rFonts w:ascii="Arial" w:cs="Arial" w:eastAsia="Arial" w:hAnsi="Arial"/>
                <w:sz w:val="14"/>
                <w:szCs w:val="14"/>
                <w:color w:val="auto"/>
              </w:rPr>
              <w:t>718</w:t>
            </w:r>
          </w:p>
        </w:tc>
        <w:tc>
          <w:tcPr>
            <w:tcW w:w="400" w:type="dxa"/>
            <w:vAlign w:val="bottom"/>
          </w:tcPr>
          <w:p>
            <w:pPr>
              <w:spacing w:after="0"/>
              <w:rPr>
                <w:sz w:val="15"/>
                <w:szCs w:val="15"/>
                <w:color w:val="auto"/>
              </w:rPr>
            </w:pPr>
          </w:p>
        </w:tc>
      </w:tr>
      <w:tr>
        <w:trPr>
          <w:trHeight w:val="178"/>
        </w:trPr>
        <w:tc>
          <w:tcPr>
            <w:tcW w:w="2360" w:type="dxa"/>
            <w:vAlign w:val="bottom"/>
            <w:shd w:val="clear" w:color="auto" w:fill="EEEEEE"/>
          </w:tcPr>
          <w:p>
            <w:pPr>
              <w:spacing w:after="0"/>
              <w:rPr>
                <w:sz w:val="20"/>
                <w:szCs w:val="20"/>
                <w:color w:val="auto"/>
              </w:rPr>
            </w:pPr>
            <w:r>
              <w:rPr>
                <w:rFonts w:ascii="Arial" w:cs="Arial" w:eastAsia="Arial" w:hAnsi="Arial"/>
                <w:sz w:val="14"/>
                <w:szCs w:val="14"/>
                <w:color w:val="auto"/>
              </w:rPr>
              <w:t>A.J. Wright</w:t>
            </w:r>
          </w:p>
        </w:tc>
        <w:tc>
          <w:tcPr>
            <w:tcW w:w="1100" w:type="dxa"/>
            <w:vAlign w:val="bottom"/>
            <w:shd w:val="clear" w:color="auto" w:fill="EEEEEE"/>
          </w:tcPr>
          <w:p>
            <w:pPr>
              <w:jc w:val="center"/>
              <w:spacing w:after="0"/>
              <w:rPr>
                <w:sz w:val="20"/>
                <w:szCs w:val="20"/>
                <w:color w:val="auto"/>
              </w:rPr>
            </w:pPr>
            <w:r>
              <w:rPr>
                <w:rFonts w:ascii="Arial" w:cs="Arial" w:eastAsia="Arial" w:hAnsi="Arial"/>
                <w:sz w:val="14"/>
                <w:szCs w:val="14"/>
                <w:color w:val="auto"/>
                <w:w w:val="93"/>
              </w:rPr>
              <w:t>26,000</w:t>
            </w:r>
          </w:p>
        </w:tc>
        <w:tc>
          <w:tcPr>
            <w:tcW w:w="240" w:type="dxa"/>
            <w:vAlign w:val="bottom"/>
            <w:shd w:val="clear" w:color="auto" w:fill="EEEEEE"/>
          </w:tcPr>
          <w:p>
            <w:pPr>
              <w:spacing w:after="0"/>
              <w:rPr>
                <w:sz w:val="15"/>
                <w:szCs w:val="15"/>
                <w:color w:val="auto"/>
              </w:rPr>
            </w:pPr>
          </w:p>
        </w:tc>
        <w:tc>
          <w:tcPr>
            <w:tcW w:w="760" w:type="dxa"/>
            <w:vAlign w:val="bottom"/>
            <w:gridSpan w:val="2"/>
            <w:shd w:val="clear" w:color="auto" w:fill="EEEEEE"/>
          </w:tcPr>
          <w:p>
            <w:pPr>
              <w:jc w:val="right"/>
              <w:spacing w:after="0"/>
              <w:rPr>
                <w:sz w:val="20"/>
                <w:szCs w:val="20"/>
                <w:color w:val="auto"/>
              </w:rPr>
            </w:pPr>
            <w:r>
              <w:rPr>
                <w:rFonts w:ascii="Arial" w:cs="Arial" w:eastAsia="Arial" w:hAnsi="Arial"/>
                <w:sz w:val="14"/>
                <w:szCs w:val="14"/>
                <w:color w:val="auto"/>
              </w:rPr>
              <w:t>1,942</w:t>
            </w:r>
          </w:p>
        </w:tc>
        <w:tc>
          <w:tcPr>
            <w:tcW w:w="1420" w:type="dxa"/>
            <w:vAlign w:val="bottom"/>
            <w:gridSpan w:val="4"/>
            <w:shd w:val="clear" w:color="auto" w:fill="EEEEEE"/>
          </w:tcPr>
          <w:p>
            <w:pPr>
              <w:jc w:val="right"/>
              <w:spacing w:after="0"/>
              <w:rPr>
                <w:sz w:val="20"/>
                <w:szCs w:val="20"/>
                <w:color w:val="auto"/>
              </w:rPr>
            </w:pPr>
            <w:r>
              <w:rPr>
                <w:rFonts w:ascii="Arial" w:cs="Arial" w:eastAsia="Arial" w:hAnsi="Arial"/>
                <w:sz w:val="14"/>
                <w:szCs w:val="14"/>
                <w:color w:val="auto"/>
              </w:rPr>
              <w:t>500</w:t>
            </w:r>
          </w:p>
        </w:tc>
        <w:tc>
          <w:tcPr>
            <w:tcW w:w="400" w:type="dxa"/>
            <w:vAlign w:val="bottom"/>
            <w:shd w:val="clear" w:color="auto" w:fill="EEEEEE"/>
          </w:tcPr>
          <w:p>
            <w:pPr>
              <w:spacing w:after="0"/>
              <w:rPr>
                <w:sz w:val="15"/>
                <w:szCs w:val="15"/>
                <w:color w:val="auto"/>
              </w:rPr>
            </w:pPr>
          </w:p>
        </w:tc>
      </w:tr>
      <w:tr>
        <w:trPr>
          <w:trHeight w:val="89"/>
        </w:trPr>
        <w:tc>
          <w:tcPr>
            <w:tcW w:w="23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020" w:type="dxa"/>
            <w:vAlign w:val="bottom"/>
            <w:gridSpan w:val="3"/>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400" w:type="dxa"/>
            <w:vAlign w:val="bottom"/>
          </w:tcPr>
          <w:p>
            <w:pPr>
              <w:spacing w:after="0"/>
              <w:rPr>
                <w:sz w:val="7"/>
                <w:szCs w:val="7"/>
                <w:color w:val="auto"/>
              </w:rPr>
            </w:pPr>
          </w:p>
        </w:tc>
      </w:tr>
      <w:tr>
        <w:trPr>
          <w:trHeight w:val="256"/>
        </w:trPr>
        <w:tc>
          <w:tcPr>
            <w:tcW w:w="2360" w:type="dxa"/>
            <w:vAlign w:val="bottom"/>
          </w:tcPr>
          <w:p>
            <w:pPr>
              <w:ind w:left="24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53,826</w:t>
            </w:r>
          </w:p>
        </w:tc>
        <w:tc>
          <w:tcPr>
            <w:tcW w:w="1420" w:type="dxa"/>
            <w:vAlign w:val="bottom"/>
            <w:gridSpan w:val="4"/>
          </w:tcPr>
          <w:p>
            <w:pPr>
              <w:jc w:val="right"/>
              <w:spacing w:after="0"/>
              <w:rPr>
                <w:sz w:val="20"/>
                <w:szCs w:val="20"/>
                <w:color w:val="auto"/>
              </w:rPr>
            </w:pPr>
            <w:r>
              <w:rPr>
                <w:rFonts w:ascii="Arial" w:cs="Arial" w:eastAsia="Arial" w:hAnsi="Arial"/>
                <w:sz w:val="14"/>
                <w:szCs w:val="14"/>
                <w:color w:val="auto"/>
              </w:rPr>
              <w:t>10,549</w:t>
            </w:r>
          </w:p>
        </w:tc>
        <w:tc>
          <w:tcPr>
            <w:tcW w:w="400" w:type="dxa"/>
            <w:vAlign w:val="bottom"/>
          </w:tcPr>
          <w:p>
            <w:pPr>
              <w:spacing w:after="0"/>
              <w:rPr>
                <w:sz w:val="22"/>
                <w:szCs w:val="22"/>
                <w:color w:val="auto"/>
              </w:rPr>
            </w:pPr>
          </w:p>
        </w:tc>
      </w:tr>
      <w:tr>
        <w:trPr>
          <w:trHeight w:val="120"/>
        </w:trPr>
        <w:tc>
          <w:tcPr>
            <w:tcW w:w="2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4475480</wp:posOffset>
            </wp:positionH>
            <wp:positionV relativeFrom="paragraph">
              <wp:posOffset>-33020</wp:posOffset>
            </wp:positionV>
            <wp:extent cx="12700" cy="33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-33020</wp:posOffset>
            </wp:positionV>
            <wp:extent cx="12700" cy="33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5372735</wp:posOffset>
            </wp:positionH>
            <wp:positionV relativeFrom="paragraph">
              <wp:posOffset>-33020</wp:posOffset>
            </wp:positionV>
            <wp:extent cx="12700" cy="336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33655"/>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-33020</wp:posOffset>
            </wp:positionV>
            <wp:extent cx="12700" cy="33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33655"/>
                    </a:xfrm>
                    <a:prstGeom prst="rect">
                      <a:avLst/>
                    </a:prstGeom>
                    <a:noFill/>
                  </pic:spPr>
                </pic:pic>
              </a:graphicData>
            </a:graphic>
          </wp:anchor>
        </w:drawing>
      </w:r>
    </w:p>
    <w:p>
      <w:pPr>
        <w:spacing w:after="0" w:line="235" w:lineRule="exact"/>
        <w:rPr>
          <w:sz w:val="20"/>
          <w:szCs w:val="20"/>
          <w:color w:val="auto"/>
        </w:rPr>
      </w:pPr>
    </w:p>
    <w:p>
      <w:pPr>
        <w:ind w:left="500" w:hanging="491"/>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Distribution centers currently service both Winners and HomeSense stores.</w:t>
      </w:r>
    </w:p>
    <w:p>
      <w:pPr>
        <w:spacing w:after="0" w:line="195" w:lineRule="exact"/>
        <w:rPr>
          <w:rFonts w:ascii="Arial" w:cs="Arial" w:eastAsia="Arial" w:hAnsi="Arial"/>
          <w:sz w:val="14"/>
          <w:szCs w:val="14"/>
          <w:color w:val="auto"/>
        </w:rPr>
      </w:pPr>
    </w:p>
    <w:p>
      <w:pPr>
        <w:ind w:right="2600" w:firstLine="9"/>
        <w:spacing w:after="0" w:line="530" w:lineRule="auto"/>
        <w:tabs>
          <w:tab w:leader="none" w:pos="501" w:val="left"/>
        </w:tabs>
        <w:numPr>
          <w:ilvl w:val="0"/>
          <w:numId w:val="4"/>
        </w:numPr>
        <w:rPr>
          <w:rFonts w:ascii="Arial" w:cs="Arial" w:eastAsia="Arial" w:hAnsi="Arial"/>
          <w:sz w:val="14"/>
          <w:szCs w:val="14"/>
          <w:color w:val="auto"/>
        </w:rPr>
      </w:pPr>
      <w:r>
        <w:rPr>
          <w:rFonts w:ascii="Arial" w:cs="Arial" w:eastAsia="Arial" w:hAnsi="Arial"/>
          <w:sz w:val="14"/>
          <w:szCs w:val="14"/>
          <w:color w:val="auto"/>
        </w:rPr>
        <w:t>A HomeGoods stand-alone store averages 28,000 square feet, while the HomeGoods portion of a superstore format averages 21,000 square feet. ITEM 3. Legal Proceedings</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4"/>
          <w:szCs w:val="14"/>
          <w:color w:val="auto"/>
        </w:rPr>
        <w:t>TJX has tentatively agreed to settle four lawsuits pending in the California Superior Court collectively alleging that TJX improperly classified store managers and assistant store managers as exempt from California overtime law. The settlement is subject to final negotiation of definitive agreements and submission to the court for approval.</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There is no other litigation pending against TJX or any of its subsidiaries which TJX believes is material.</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ITEM 4. Submission of Matters to a Vote of Security Holders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There was no matter submitted to a vote of TJX’s security holders during the fourth quarter of fiscal 2003.</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ITEM 4A. Executive Officers of the Registrant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740" w:type="dxa"/>
            <w:vAlign w:val="bottom"/>
          </w:tcPr>
          <w:p>
            <w:pPr>
              <w:ind w:left="2300"/>
              <w:spacing w:after="0"/>
              <w:rPr>
                <w:sz w:val="20"/>
                <w:szCs w:val="20"/>
                <w:color w:val="auto"/>
              </w:rPr>
            </w:pPr>
            <w:r>
              <w:rPr>
                <w:rFonts w:ascii="Arial" w:cs="Arial" w:eastAsia="Arial" w:hAnsi="Arial"/>
                <w:sz w:val="11"/>
                <w:szCs w:val="11"/>
                <w:b w:val="1"/>
                <w:bCs w:val="1"/>
                <w:color w:val="auto"/>
              </w:rPr>
              <w:t>Office and Employment</w:t>
            </w:r>
          </w:p>
        </w:tc>
        <w:tc>
          <w:tcPr>
            <w:tcW w:w="300" w:type="dxa"/>
            <w:vAlign w:val="bottom"/>
          </w:tcPr>
          <w:p>
            <w:pPr>
              <w:spacing w:after="0"/>
              <w:rPr>
                <w:sz w:val="10"/>
                <w:szCs w:val="10"/>
                <w:color w:val="auto"/>
              </w:rPr>
            </w:pPr>
          </w:p>
        </w:tc>
      </w:tr>
      <w:tr>
        <w:trPr>
          <w:trHeight w:val="143"/>
        </w:trPr>
        <w:tc>
          <w:tcPr>
            <w:tcW w:w="300" w:type="dxa"/>
            <w:vAlign w:val="bottom"/>
          </w:tcPr>
          <w:p>
            <w:pPr>
              <w:spacing w:after="0"/>
              <w:rPr>
                <w:sz w:val="12"/>
                <w:szCs w:val="12"/>
                <w:color w:val="auto"/>
              </w:rPr>
            </w:pPr>
          </w:p>
        </w:tc>
        <w:tc>
          <w:tcPr>
            <w:tcW w:w="2840" w:type="dxa"/>
            <w:vAlign w:val="bottom"/>
          </w:tcPr>
          <w:p>
            <w:pPr>
              <w:ind w:left="1280"/>
              <w:spacing w:after="0"/>
              <w:rPr>
                <w:sz w:val="20"/>
                <w:szCs w:val="20"/>
                <w:color w:val="auto"/>
              </w:rPr>
            </w:pPr>
            <w:r>
              <w:rPr>
                <w:rFonts w:ascii="Arial" w:cs="Arial" w:eastAsia="Arial" w:hAnsi="Arial"/>
                <w:sz w:val="11"/>
                <w:szCs w:val="11"/>
                <w:b w:val="1"/>
                <w:bCs w:val="1"/>
                <w:color w:val="auto"/>
              </w:rPr>
              <w:t>Name</w:t>
            </w:r>
          </w:p>
        </w:tc>
        <w:tc>
          <w:tcPr>
            <w:tcW w:w="54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b w:val="1"/>
                <w:bCs w:val="1"/>
                <w:color w:val="auto"/>
                <w:w w:val="96"/>
              </w:rPr>
              <w:t>Age</w:t>
            </w:r>
          </w:p>
        </w:tc>
        <w:tc>
          <w:tcPr>
            <w:tcW w:w="540" w:type="dxa"/>
            <w:vAlign w:val="bottom"/>
          </w:tcPr>
          <w:p>
            <w:pPr>
              <w:spacing w:after="0"/>
              <w:rPr>
                <w:sz w:val="12"/>
                <w:szCs w:val="12"/>
                <w:color w:val="auto"/>
              </w:rPr>
            </w:pPr>
          </w:p>
        </w:tc>
        <w:tc>
          <w:tcPr>
            <w:tcW w:w="5740" w:type="dxa"/>
            <w:vAlign w:val="bottom"/>
          </w:tcPr>
          <w:p>
            <w:pPr>
              <w:ind w:left="2320"/>
              <w:spacing w:after="0"/>
              <w:rPr>
                <w:sz w:val="20"/>
                <w:szCs w:val="20"/>
                <w:color w:val="auto"/>
              </w:rPr>
            </w:pPr>
            <w:r>
              <w:rPr>
                <w:rFonts w:ascii="Arial" w:cs="Arial" w:eastAsia="Arial" w:hAnsi="Arial"/>
                <w:sz w:val="11"/>
                <w:szCs w:val="11"/>
                <w:b w:val="1"/>
                <w:bCs w:val="1"/>
                <w:color w:val="auto"/>
              </w:rPr>
              <w:t>During Last Five Years</w:t>
            </w:r>
          </w:p>
        </w:tc>
        <w:tc>
          <w:tcPr>
            <w:tcW w:w="300" w:type="dxa"/>
            <w:vAlign w:val="bottom"/>
          </w:tcPr>
          <w:p>
            <w:pPr>
              <w:spacing w:after="0"/>
              <w:rPr>
                <w:sz w:val="12"/>
                <w:szCs w:val="12"/>
                <w:color w:val="auto"/>
              </w:rPr>
            </w:pPr>
          </w:p>
        </w:tc>
      </w:tr>
      <w:tr>
        <w:trPr>
          <w:trHeight w:val="79"/>
        </w:trPr>
        <w:tc>
          <w:tcPr>
            <w:tcW w:w="300" w:type="dxa"/>
            <w:vAlign w:val="bottom"/>
          </w:tcPr>
          <w:p>
            <w:pPr>
              <w:spacing w:after="0"/>
              <w:rPr>
                <w:sz w:val="6"/>
                <w:szCs w:val="6"/>
                <w:color w:val="auto"/>
              </w:rPr>
            </w:pPr>
          </w:p>
        </w:tc>
        <w:tc>
          <w:tcPr>
            <w:tcW w:w="2840" w:type="dxa"/>
            <w:vAlign w:val="bottom"/>
            <w:tcBorders>
              <w:bottom w:val="single" w:sz="8" w:color="808080"/>
            </w:tcBorders>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c>
          <w:tcPr>
            <w:tcW w:w="540" w:type="dxa"/>
            <w:vAlign w:val="bottom"/>
          </w:tcPr>
          <w:p>
            <w:pPr>
              <w:spacing w:after="0"/>
              <w:rPr>
                <w:sz w:val="6"/>
                <w:szCs w:val="6"/>
                <w:color w:val="auto"/>
              </w:rPr>
            </w:pPr>
          </w:p>
        </w:tc>
        <w:tc>
          <w:tcPr>
            <w:tcW w:w="5740" w:type="dxa"/>
            <w:vAlign w:val="bottom"/>
            <w:tcBorders>
              <w:bottom w:val="single" w:sz="8" w:color="808080"/>
            </w:tcBorders>
          </w:tcPr>
          <w:p>
            <w:pPr>
              <w:spacing w:after="0"/>
              <w:rPr>
                <w:sz w:val="6"/>
                <w:szCs w:val="6"/>
                <w:color w:val="auto"/>
              </w:rPr>
            </w:pPr>
          </w:p>
        </w:tc>
        <w:tc>
          <w:tcPr>
            <w:tcW w:w="300" w:type="dxa"/>
            <w:vAlign w:val="bottom"/>
          </w:tcPr>
          <w:p>
            <w:pPr>
              <w:spacing w:after="0"/>
              <w:rPr>
                <w:sz w:val="6"/>
                <w:szCs w:val="6"/>
                <w:color w:val="auto"/>
              </w:rPr>
            </w:pPr>
          </w:p>
        </w:tc>
      </w:tr>
      <w:tr>
        <w:trPr>
          <w:trHeight w:val="251"/>
        </w:trPr>
        <w:tc>
          <w:tcPr>
            <w:tcW w:w="300" w:type="dxa"/>
            <w:vAlign w:val="bottom"/>
          </w:tcPr>
          <w:p>
            <w:pPr>
              <w:spacing w:after="0"/>
              <w:rPr>
                <w:sz w:val="21"/>
                <w:szCs w:val="21"/>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Arnold Barron</w:t>
            </w:r>
          </w:p>
        </w:tc>
        <w:tc>
          <w:tcPr>
            <w:tcW w:w="1740" w:type="dxa"/>
            <w:vAlign w:val="bottom"/>
            <w:gridSpan w:val="2"/>
          </w:tcPr>
          <w:p>
            <w:pPr>
              <w:jc w:val="center"/>
              <w:ind w:left="488"/>
              <w:spacing w:after="0"/>
              <w:rPr>
                <w:sz w:val="20"/>
                <w:szCs w:val="20"/>
                <w:color w:val="auto"/>
              </w:rPr>
            </w:pPr>
            <w:r>
              <w:rPr>
                <w:rFonts w:ascii="Arial" w:cs="Arial" w:eastAsia="Arial" w:hAnsi="Arial"/>
                <w:sz w:val="14"/>
                <w:szCs w:val="14"/>
                <w:color w:val="auto"/>
                <w:w w:val="89"/>
              </w:rPr>
              <w:t>55</w:t>
            </w:r>
          </w:p>
        </w:tc>
        <w:tc>
          <w:tcPr>
            <w:tcW w:w="6280" w:type="dxa"/>
            <w:vAlign w:val="bottom"/>
            <w:gridSpan w:val="2"/>
          </w:tcPr>
          <w:p>
            <w:pPr>
              <w:ind w:left="540"/>
              <w:spacing w:after="0"/>
              <w:rPr>
                <w:sz w:val="20"/>
                <w:szCs w:val="20"/>
                <w:color w:val="auto"/>
              </w:rPr>
            </w:pPr>
            <w:r>
              <w:rPr>
                <w:rFonts w:ascii="Arial" w:cs="Arial" w:eastAsia="Arial" w:hAnsi="Arial"/>
                <w:sz w:val="14"/>
                <w:szCs w:val="14"/>
                <w:color w:val="auto"/>
                <w:w w:val="94"/>
              </w:rPr>
              <w:t>Executive Vice President, Chief Operating Officer of The Marmaxx Group since 2000. Senior Vice</w:t>
            </w:r>
          </w:p>
        </w:tc>
        <w:tc>
          <w:tcPr>
            <w:tcW w:w="300" w:type="dxa"/>
            <w:vAlign w:val="bottom"/>
          </w:tcPr>
          <w:p>
            <w:pPr>
              <w:spacing w:after="0"/>
              <w:rPr>
                <w:sz w:val="21"/>
                <w:szCs w:val="21"/>
                <w:color w:val="auto"/>
              </w:rPr>
            </w:pPr>
          </w:p>
        </w:tc>
      </w:tr>
      <w:tr>
        <w:trPr>
          <w:trHeight w:val="178"/>
        </w:trPr>
        <w:tc>
          <w:tcPr>
            <w:tcW w:w="3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80" w:type="dxa"/>
            <w:vAlign w:val="bottom"/>
            <w:gridSpan w:val="2"/>
          </w:tcPr>
          <w:p>
            <w:pPr>
              <w:ind w:left="540"/>
              <w:spacing w:after="0"/>
              <w:rPr>
                <w:sz w:val="20"/>
                <w:szCs w:val="20"/>
                <w:color w:val="auto"/>
              </w:rPr>
            </w:pPr>
            <w:r>
              <w:rPr>
                <w:rFonts w:ascii="Arial" w:cs="Arial" w:eastAsia="Arial" w:hAnsi="Arial"/>
                <w:sz w:val="14"/>
                <w:szCs w:val="14"/>
                <w:color w:val="auto"/>
              </w:rPr>
              <w:t>President, Group Executive of TJX from 1996 to 2000. Senior Vice President, General</w:t>
            </w:r>
          </w:p>
        </w:tc>
        <w:tc>
          <w:tcPr>
            <w:tcW w:w="300" w:type="dxa"/>
            <w:vAlign w:val="bottom"/>
          </w:tcPr>
          <w:p>
            <w:pPr>
              <w:spacing w:after="0"/>
              <w:rPr>
                <w:sz w:val="15"/>
                <w:szCs w:val="15"/>
                <w:color w:val="auto"/>
              </w:rPr>
            </w:pPr>
          </w:p>
        </w:tc>
      </w:tr>
      <w:tr>
        <w:trPr>
          <w:trHeight w:val="178"/>
        </w:trPr>
        <w:tc>
          <w:tcPr>
            <w:tcW w:w="3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80" w:type="dxa"/>
            <w:vAlign w:val="bottom"/>
            <w:gridSpan w:val="2"/>
          </w:tcPr>
          <w:p>
            <w:pPr>
              <w:ind w:left="540"/>
              <w:spacing w:after="0"/>
              <w:rPr>
                <w:sz w:val="20"/>
                <w:szCs w:val="20"/>
                <w:color w:val="auto"/>
              </w:rPr>
            </w:pPr>
            <w:r>
              <w:rPr>
                <w:rFonts w:ascii="Arial" w:cs="Arial" w:eastAsia="Arial" w:hAnsi="Arial"/>
                <w:sz w:val="14"/>
                <w:szCs w:val="14"/>
                <w:color w:val="auto"/>
              </w:rPr>
              <w:t>Merchandise Manager of the T.J. Maxx Division from 1993 to 1996; Senior Vice President,</w:t>
            </w:r>
          </w:p>
        </w:tc>
        <w:tc>
          <w:tcPr>
            <w:tcW w:w="300" w:type="dxa"/>
            <w:vAlign w:val="bottom"/>
          </w:tcPr>
          <w:p>
            <w:pPr>
              <w:spacing w:after="0"/>
              <w:rPr>
                <w:sz w:val="15"/>
                <w:szCs w:val="15"/>
                <w:color w:val="auto"/>
              </w:rPr>
            </w:pPr>
          </w:p>
        </w:tc>
      </w:tr>
      <w:tr>
        <w:trPr>
          <w:trHeight w:val="183"/>
        </w:trPr>
        <w:tc>
          <w:tcPr>
            <w:tcW w:w="3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80" w:type="dxa"/>
            <w:vAlign w:val="bottom"/>
            <w:gridSpan w:val="2"/>
          </w:tcPr>
          <w:p>
            <w:pPr>
              <w:ind w:left="540"/>
              <w:spacing w:after="0"/>
              <w:rPr>
                <w:sz w:val="20"/>
                <w:szCs w:val="20"/>
                <w:color w:val="auto"/>
              </w:rPr>
            </w:pPr>
            <w:r>
              <w:rPr>
                <w:rFonts w:ascii="Arial" w:cs="Arial" w:eastAsia="Arial" w:hAnsi="Arial"/>
                <w:sz w:val="14"/>
                <w:szCs w:val="14"/>
                <w:color w:val="auto"/>
              </w:rPr>
              <w:t>Director of Stores, 1984 to 1993; various store operation positions with TJX, 1979 to 1984.</w:t>
            </w:r>
          </w:p>
        </w:tc>
        <w:tc>
          <w:tcPr>
            <w:tcW w:w="300" w:type="dxa"/>
            <w:vAlign w:val="bottom"/>
          </w:tcPr>
          <w:p>
            <w:pPr>
              <w:spacing w:after="0"/>
              <w:rPr>
                <w:sz w:val="15"/>
                <w:szCs w:val="15"/>
                <w:color w:val="auto"/>
              </w:rPr>
            </w:pPr>
          </w:p>
        </w:tc>
      </w:tr>
      <w:tr>
        <w:trPr>
          <w:trHeight w:val="351"/>
        </w:trPr>
        <w:tc>
          <w:tcPr>
            <w:tcW w:w="30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Bernard Cammarata</w:t>
            </w:r>
          </w:p>
        </w:tc>
        <w:tc>
          <w:tcPr>
            <w:tcW w:w="1740" w:type="dxa"/>
            <w:vAlign w:val="bottom"/>
            <w:gridSpan w:val="2"/>
          </w:tcPr>
          <w:p>
            <w:pPr>
              <w:jc w:val="center"/>
              <w:ind w:left="488"/>
              <w:spacing w:after="0"/>
              <w:rPr>
                <w:sz w:val="20"/>
                <w:szCs w:val="20"/>
                <w:color w:val="auto"/>
              </w:rPr>
            </w:pPr>
            <w:r>
              <w:rPr>
                <w:rFonts w:ascii="Arial" w:cs="Arial" w:eastAsia="Arial" w:hAnsi="Arial"/>
                <w:sz w:val="14"/>
                <w:szCs w:val="14"/>
                <w:color w:val="auto"/>
                <w:w w:val="89"/>
              </w:rPr>
              <w:t>63</w:t>
            </w:r>
          </w:p>
        </w:tc>
        <w:tc>
          <w:tcPr>
            <w:tcW w:w="6280" w:type="dxa"/>
            <w:vAlign w:val="bottom"/>
            <w:gridSpan w:val="2"/>
          </w:tcPr>
          <w:p>
            <w:pPr>
              <w:ind w:left="540"/>
              <w:spacing w:after="0"/>
              <w:rPr>
                <w:sz w:val="20"/>
                <w:szCs w:val="20"/>
                <w:color w:val="auto"/>
              </w:rPr>
            </w:pPr>
            <w:r>
              <w:rPr>
                <w:rFonts w:ascii="Arial" w:cs="Arial" w:eastAsia="Arial" w:hAnsi="Arial"/>
                <w:sz w:val="14"/>
                <w:szCs w:val="14"/>
                <w:color w:val="auto"/>
              </w:rPr>
              <w:t>Chairman of the Board since 1999 and Chief Executive Officer of TJX from 1989 to 2000.</w:t>
            </w:r>
          </w:p>
        </w:tc>
        <w:tc>
          <w:tcPr>
            <w:tcW w:w="300" w:type="dxa"/>
            <w:vAlign w:val="bottom"/>
          </w:tcPr>
          <w:p>
            <w:pPr>
              <w:spacing w:after="0"/>
              <w:rPr>
                <w:sz w:val="24"/>
                <w:szCs w:val="24"/>
                <w:color w:val="auto"/>
              </w:rPr>
            </w:pPr>
          </w:p>
        </w:tc>
      </w:tr>
      <w:tr>
        <w:trPr>
          <w:trHeight w:val="178"/>
        </w:trPr>
        <w:tc>
          <w:tcPr>
            <w:tcW w:w="3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80" w:type="dxa"/>
            <w:vAlign w:val="bottom"/>
            <w:gridSpan w:val="2"/>
          </w:tcPr>
          <w:p>
            <w:pPr>
              <w:ind w:left="540"/>
              <w:spacing w:after="0"/>
              <w:rPr>
                <w:sz w:val="20"/>
                <w:szCs w:val="20"/>
                <w:color w:val="auto"/>
              </w:rPr>
            </w:pPr>
            <w:r>
              <w:rPr>
                <w:rFonts w:ascii="Arial" w:cs="Arial" w:eastAsia="Arial" w:hAnsi="Arial"/>
                <w:sz w:val="14"/>
                <w:szCs w:val="14"/>
                <w:color w:val="auto"/>
                <w:w w:val="95"/>
              </w:rPr>
              <w:t>President of TJX 1989 to 1999 and Chairman of TJX’s T.J. Maxx Division from 1986 to 1995 and</w:t>
            </w:r>
          </w:p>
        </w:tc>
        <w:tc>
          <w:tcPr>
            <w:tcW w:w="300" w:type="dxa"/>
            <w:vAlign w:val="bottom"/>
          </w:tcPr>
          <w:p>
            <w:pPr>
              <w:spacing w:after="0"/>
              <w:rPr>
                <w:sz w:val="15"/>
                <w:szCs w:val="15"/>
                <w:color w:val="auto"/>
              </w:rPr>
            </w:pPr>
          </w:p>
        </w:tc>
      </w:tr>
      <w:tr>
        <w:trPr>
          <w:trHeight w:val="183"/>
        </w:trPr>
        <w:tc>
          <w:tcPr>
            <w:tcW w:w="3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280" w:type="dxa"/>
            <w:vAlign w:val="bottom"/>
            <w:gridSpan w:val="2"/>
          </w:tcPr>
          <w:p>
            <w:pPr>
              <w:ind w:left="540"/>
              <w:spacing w:after="0"/>
              <w:rPr>
                <w:sz w:val="20"/>
                <w:szCs w:val="20"/>
                <w:color w:val="auto"/>
              </w:rPr>
            </w:pPr>
            <w:r>
              <w:rPr>
                <w:rFonts w:ascii="Arial" w:cs="Arial" w:eastAsia="Arial" w:hAnsi="Arial"/>
                <w:sz w:val="14"/>
                <w:szCs w:val="14"/>
                <w:color w:val="auto"/>
              </w:rPr>
              <w:t>of The Marmaxx Group from 1995 to 2000. Executive Vice President of TJX from</w:t>
            </w:r>
          </w:p>
        </w:tc>
        <w:tc>
          <w:tcPr>
            <w:tcW w:w="300" w:type="dxa"/>
            <w:vAlign w:val="bottom"/>
          </w:tcPr>
          <w:p>
            <w:pPr>
              <w:spacing w:after="0"/>
              <w:rPr>
                <w:sz w:val="15"/>
                <w:szCs w:val="15"/>
                <w:color w:val="auto"/>
              </w:rPr>
            </w:pPr>
          </w:p>
        </w:tc>
      </w:tr>
      <w:tr>
        <w:trPr>
          <w:trHeight w:val="356"/>
        </w:trPr>
        <w:tc>
          <w:tcPr>
            <w:tcW w:w="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80" w:type="dxa"/>
            <w:vAlign w:val="bottom"/>
            <w:gridSpan w:val="2"/>
          </w:tcPr>
          <w:p>
            <w:pPr>
              <w:ind w:left="780"/>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24"/>
                <w:szCs w:val="24"/>
                <w:color w:val="auto"/>
              </w:rPr>
            </w:pPr>
          </w:p>
        </w:tc>
      </w:tr>
      <w:tr>
        <w:trPr>
          <w:trHeight w:val="187"/>
        </w:trPr>
        <w:tc>
          <w:tcPr>
            <w:tcW w:w="300" w:type="dxa"/>
            <w:vAlign w:val="bottom"/>
            <w:tcBorders>
              <w:bottom w:val="single" w:sz="8" w:color="808080"/>
            </w:tcBorders>
          </w:tcPr>
          <w:p>
            <w:pPr>
              <w:spacing w:after="0"/>
              <w:rPr>
                <w:sz w:val="16"/>
                <w:szCs w:val="16"/>
                <w:color w:val="auto"/>
              </w:rPr>
            </w:pPr>
          </w:p>
        </w:tc>
        <w:tc>
          <w:tcPr>
            <w:tcW w:w="28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120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574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26"/>
        </w:trPr>
        <w:tc>
          <w:tcPr>
            <w:tcW w:w="2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920" w:type="dxa"/>
            <w:vAlign w:val="bottom"/>
          </w:tcPr>
          <w:p>
            <w:pPr>
              <w:ind w:left="2400"/>
              <w:spacing w:after="0"/>
              <w:rPr>
                <w:sz w:val="20"/>
                <w:szCs w:val="20"/>
                <w:color w:val="auto"/>
              </w:rPr>
            </w:pPr>
            <w:r>
              <w:rPr>
                <w:rFonts w:ascii="Arial" w:cs="Arial" w:eastAsia="Arial" w:hAnsi="Arial"/>
                <w:sz w:val="11"/>
                <w:szCs w:val="11"/>
                <w:b w:val="1"/>
                <w:bCs w:val="1"/>
                <w:color w:val="auto"/>
              </w:rPr>
              <w:t>Office and Employment</w:t>
            </w:r>
          </w:p>
        </w:tc>
      </w:tr>
      <w:tr>
        <w:trPr>
          <w:trHeight w:val="143"/>
        </w:trPr>
        <w:tc>
          <w:tcPr>
            <w:tcW w:w="2900" w:type="dxa"/>
            <w:vAlign w:val="bottom"/>
          </w:tcPr>
          <w:p>
            <w:pPr>
              <w:ind w:left="1300"/>
              <w:spacing w:after="0"/>
              <w:rPr>
                <w:sz w:val="20"/>
                <w:szCs w:val="20"/>
                <w:color w:val="auto"/>
              </w:rPr>
            </w:pPr>
            <w:r>
              <w:rPr>
                <w:rFonts w:ascii="Arial" w:cs="Arial" w:eastAsia="Arial" w:hAnsi="Arial"/>
                <w:sz w:val="11"/>
                <w:szCs w:val="11"/>
                <w:b w:val="1"/>
                <w:bCs w:val="1"/>
                <w:color w:val="auto"/>
              </w:rPr>
              <w:t>Name</w:t>
            </w:r>
          </w:p>
        </w:tc>
        <w:tc>
          <w:tcPr>
            <w:tcW w:w="6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6"/>
              </w:rPr>
              <w:t>Age</w:t>
            </w:r>
          </w:p>
        </w:tc>
        <w:tc>
          <w:tcPr>
            <w:tcW w:w="860" w:type="dxa"/>
            <w:vAlign w:val="bottom"/>
          </w:tcPr>
          <w:p>
            <w:pPr>
              <w:spacing w:after="0"/>
              <w:rPr>
                <w:sz w:val="12"/>
                <w:szCs w:val="12"/>
                <w:color w:val="auto"/>
              </w:rPr>
            </w:pPr>
          </w:p>
        </w:tc>
        <w:tc>
          <w:tcPr>
            <w:tcW w:w="5920" w:type="dxa"/>
            <w:vAlign w:val="bottom"/>
          </w:tcPr>
          <w:p>
            <w:pPr>
              <w:ind w:left="2420"/>
              <w:spacing w:after="0"/>
              <w:rPr>
                <w:sz w:val="20"/>
                <w:szCs w:val="20"/>
                <w:color w:val="auto"/>
              </w:rPr>
            </w:pPr>
            <w:r>
              <w:rPr>
                <w:rFonts w:ascii="Arial" w:cs="Arial" w:eastAsia="Arial" w:hAnsi="Arial"/>
                <w:sz w:val="11"/>
                <w:szCs w:val="11"/>
                <w:b w:val="1"/>
                <w:bCs w:val="1"/>
                <w:color w:val="auto"/>
              </w:rPr>
              <w:t>During Last Five Years</w:t>
            </w:r>
          </w:p>
        </w:tc>
      </w:tr>
      <w:tr>
        <w:trPr>
          <w:trHeight w:val="79"/>
        </w:trPr>
        <w:tc>
          <w:tcPr>
            <w:tcW w:w="2900" w:type="dxa"/>
            <w:vAlign w:val="bottom"/>
            <w:tcBorders>
              <w:bottom w:val="single" w:sz="8" w:color="808080"/>
            </w:tcBorders>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860" w:type="dxa"/>
            <w:vAlign w:val="bottom"/>
          </w:tcPr>
          <w:p>
            <w:pPr>
              <w:spacing w:after="0"/>
              <w:rPr>
                <w:sz w:val="6"/>
                <w:szCs w:val="6"/>
                <w:color w:val="auto"/>
              </w:rPr>
            </w:pPr>
          </w:p>
        </w:tc>
        <w:tc>
          <w:tcPr>
            <w:tcW w:w="5920" w:type="dxa"/>
            <w:vAlign w:val="bottom"/>
            <w:tcBorders>
              <w:bottom w:val="single" w:sz="8" w:color="808080"/>
            </w:tcBorders>
          </w:tcPr>
          <w:p>
            <w:pPr>
              <w:spacing w:after="0"/>
              <w:rPr>
                <w:sz w:val="6"/>
                <w:szCs w:val="6"/>
                <w:color w:val="auto"/>
              </w:rPr>
            </w:pPr>
          </w:p>
        </w:tc>
      </w:tr>
      <w:tr>
        <w:trPr>
          <w:trHeight w:val="251"/>
        </w:trPr>
        <w:tc>
          <w:tcPr>
            <w:tcW w:w="2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w w:val="95"/>
              </w:rPr>
              <w:t>1986 to 1989; President, Chief Executive Officer and a Director of TJX’s former TJX subsidiary from</w:t>
            </w:r>
          </w:p>
        </w:tc>
      </w:tr>
      <w:tr>
        <w:trPr>
          <w:trHeight w:val="183"/>
        </w:trPr>
        <w:tc>
          <w:tcPr>
            <w:tcW w:w="2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rPr>
              <w:t>1987 to 1989 and President of TJX’s T.J. Maxx Division from 1976 to 1986.</w:t>
            </w:r>
          </w:p>
        </w:tc>
      </w:tr>
      <w:tr>
        <w:trPr>
          <w:trHeight w:val="125"/>
        </w:trPr>
        <w:tc>
          <w:tcPr>
            <w:tcW w:w="2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920" w:type="dxa"/>
            <w:vAlign w:val="bottom"/>
          </w:tcPr>
          <w:p>
            <w:pPr>
              <w:spacing w:after="0"/>
              <w:rPr>
                <w:sz w:val="10"/>
                <w:szCs w:val="10"/>
                <w:color w:val="auto"/>
              </w:rPr>
            </w:pPr>
          </w:p>
        </w:tc>
      </w:tr>
      <w:tr>
        <w:trPr>
          <w:trHeight w:val="171"/>
        </w:trPr>
        <w:tc>
          <w:tcPr>
            <w:tcW w:w="2900" w:type="dxa"/>
            <w:vAlign w:val="bottom"/>
            <w:shd w:val="clear" w:color="auto" w:fill="EEEEEE"/>
          </w:tcPr>
          <w:p>
            <w:pPr>
              <w:spacing w:after="0"/>
              <w:rPr>
                <w:sz w:val="20"/>
                <w:szCs w:val="20"/>
                <w:color w:val="auto"/>
              </w:rPr>
            </w:pPr>
            <w:r>
              <w:rPr>
                <w:rFonts w:ascii="Arial" w:cs="Arial" w:eastAsia="Arial" w:hAnsi="Arial"/>
                <w:sz w:val="14"/>
                <w:szCs w:val="14"/>
                <w:color w:val="auto"/>
              </w:rPr>
              <w:t>Donald G. Campbell</w:t>
            </w:r>
          </w:p>
        </w:tc>
        <w:tc>
          <w:tcPr>
            <w:tcW w:w="1180" w:type="dxa"/>
            <w:vAlign w:val="bottom"/>
            <w:gridSpan w:val="2"/>
            <w:shd w:val="clear" w:color="auto" w:fill="EEEEEE"/>
          </w:tcPr>
          <w:p>
            <w:pPr>
              <w:jc w:val="center"/>
              <w:ind w:left="568"/>
              <w:spacing w:after="0"/>
              <w:rPr>
                <w:sz w:val="20"/>
                <w:szCs w:val="20"/>
                <w:color w:val="auto"/>
              </w:rPr>
            </w:pPr>
            <w:r>
              <w:rPr>
                <w:rFonts w:ascii="Arial" w:cs="Arial" w:eastAsia="Arial" w:hAnsi="Arial"/>
                <w:sz w:val="14"/>
                <w:szCs w:val="14"/>
                <w:color w:val="auto"/>
                <w:w w:val="89"/>
              </w:rPr>
              <w:t>51</w:t>
            </w:r>
          </w:p>
        </w:tc>
        <w:tc>
          <w:tcPr>
            <w:tcW w:w="860" w:type="dxa"/>
            <w:vAlign w:val="bottom"/>
            <w:shd w:val="clear" w:color="auto" w:fill="EEEEEE"/>
          </w:tcPr>
          <w:p>
            <w:pPr>
              <w:spacing w:after="0"/>
              <w:rPr>
                <w:sz w:val="14"/>
                <w:szCs w:val="14"/>
                <w:color w:val="auto"/>
              </w:rPr>
            </w:pPr>
          </w:p>
        </w:tc>
        <w:tc>
          <w:tcPr>
            <w:tcW w:w="5920" w:type="dxa"/>
            <w:vAlign w:val="bottom"/>
            <w:shd w:val="clear" w:color="auto" w:fill="EEEEEE"/>
          </w:tcPr>
          <w:p>
            <w:pPr>
              <w:ind w:left="20"/>
              <w:spacing w:after="0"/>
              <w:rPr>
                <w:sz w:val="20"/>
                <w:szCs w:val="20"/>
                <w:color w:val="auto"/>
              </w:rPr>
            </w:pPr>
            <w:r>
              <w:rPr>
                <w:rFonts w:ascii="Arial" w:cs="Arial" w:eastAsia="Arial" w:hAnsi="Arial"/>
                <w:sz w:val="14"/>
                <w:szCs w:val="14"/>
                <w:color w:val="auto"/>
                <w:w w:val="94"/>
              </w:rPr>
              <w:t>Executive Vice President - Finance since 1996 and Chief Financial Officer of TJX since 1989. Senior</w:t>
            </w:r>
          </w:p>
        </w:tc>
      </w:tr>
      <w:tr>
        <w:trPr>
          <w:trHeight w:val="178"/>
        </w:trPr>
        <w:tc>
          <w:tcPr>
            <w:tcW w:w="29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860" w:type="dxa"/>
            <w:vAlign w:val="bottom"/>
            <w:shd w:val="clear" w:color="auto" w:fill="EEEEEE"/>
          </w:tcPr>
          <w:p>
            <w:pPr>
              <w:spacing w:after="0"/>
              <w:rPr>
                <w:sz w:val="15"/>
                <w:szCs w:val="15"/>
                <w:color w:val="auto"/>
              </w:rPr>
            </w:pPr>
          </w:p>
        </w:tc>
        <w:tc>
          <w:tcPr>
            <w:tcW w:w="5920" w:type="dxa"/>
            <w:vAlign w:val="bottom"/>
            <w:shd w:val="clear" w:color="auto" w:fill="EEEEEE"/>
          </w:tcPr>
          <w:p>
            <w:pPr>
              <w:ind w:left="20"/>
              <w:spacing w:after="0"/>
              <w:rPr>
                <w:sz w:val="20"/>
                <w:szCs w:val="20"/>
                <w:color w:val="auto"/>
              </w:rPr>
            </w:pPr>
            <w:r>
              <w:rPr>
                <w:rFonts w:ascii="Arial" w:cs="Arial" w:eastAsia="Arial" w:hAnsi="Arial"/>
                <w:sz w:val="14"/>
                <w:szCs w:val="14"/>
                <w:color w:val="auto"/>
              </w:rPr>
              <w:t>Vice President - Finance, from 1989 to 1996. Senior Financial Executive of TJX, 1988 to 1989;</w:t>
            </w:r>
          </w:p>
        </w:tc>
      </w:tr>
      <w:tr>
        <w:trPr>
          <w:trHeight w:val="178"/>
        </w:trPr>
        <w:tc>
          <w:tcPr>
            <w:tcW w:w="29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860" w:type="dxa"/>
            <w:vAlign w:val="bottom"/>
            <w:shd w:val="clear" w:color="auto" w:fill="EEEEEE"/>
          </w:tcPr>
          <w:p>
            <w:pPr>
              <w:spacing w:after="0"/>
              <w:rPr>
                <w:sz w:val="15"/>
                <w:szCs w:val="15"/>
                <w:color w:val="auto"/>
              </w:rPr>
            </w:pPr>
          </w:p>
        </w:tc>
        <w:tc>
          <w:tcPr>
            <w:tcW w:w="5920" w:type="dxa"/>
            <w:vAlign w:val="bottom"/>
            <w:shd w:val="clear" w:color="auto" w:fill="EEEEEE"/>
          </w:tcPr>
          <w:p>
            <w:pPr>
              <w:ind w:left="20"/>
              <w:spacing w:after="0"/>
              <w:rPr>
                <w:sz w:val="20"/>
                <w:szCs w:val="20"/>
                <w:color w:val="auto"/>
              </w:rPr>
            </w:pPr>
            <w:r>
              <w:rPr>
                <w:rFonts w:ascii="Arial" w:cs="Arial" w:eastAsia="Arial" w:hAnsi="Arial"/>
                <w:sz w:val="14"/>
                <w:szCs w:val="14"/>
                <w:color w:val="auto"/>
              </w:rPr>
              <w:t>Senior Vice President - Finance and Administration, Zayre Stores Division, 1987 to 1988; Vice</w:t>
            </w:r>
          </w:p>
        </w:tc>
      </w:tr>
      <w:tr>
        <w:trPr>
          <w:trHeight w:val="178"/>
        </w:trPr>
        <w:tc>
          <w:tcPr>
            <w:tcW w:w="29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860" w:type="dxa"/>
            <w:vAlign w:val="bottom"/>
            <w:shd w:val="clear" w:color="auto" w:fill="EEEEEE"/>
          </w:tcPr>
          <w:p>
            <w:pPr>
              <w:spacing w:after="0"/>
              <w:rPr>
                <w:sz w:val="15"/>
                <w:szCs w:val="15"/>
                <w:color w:val="auto"/>
              </w:rPr>
            </w:pPr>
          </w:p>
        </w:tc>
        <w:tc>
          <w:tcPr>
            <w:tcW w:w="5920" w:type="dxa"/>
            <w:vAlign w:val="bottom"/>
            <w:shd w:val="clear" w:color="auto" w:fill="EEEEEE"/>
          </w:tcPr>
          <w:p>
            <w:pPr>
              <w:ind w:left="20"/>
              <w:spacing w:after="0"/>
              <w:rPr>
                <w:sz w:val="20"/>
                <w:szCs w:val="20"/>
                <w:color w:val="auto"/>
              </w:rPr>
            </w:pPr>
            <w:r>
              <w:rPr>
                <w:rFonts w:ascii="Arial" w:cs="Arial" w:eastAsia="Arial" w:hAnsi="Arial"/>
                <w:sz w:val="14"/>
                <w:szCs w:val="14"/>
                <w:color w:val="auto"/>
                <w:w w:val="95"/>
              </w:rPr>
              <w:t>President and Corporate Controller of TJX, 1985 to 1987; various financial positions with TJX, 1973</w:t>
            </w:r>
          </w:p>
        </w:tc>
      </w:tr>
      <w:tr>
        <w:trPr>
          <w:trHeight w:val="185"/>
        </w:trPr>
        <w:tc>
          <w:tcPr>
            <w:tcW w:w="290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860" w:type="dxa"/>
            <w:vAlign w:val="bottom"/>
            <w:shd w:val="clear" w:color="auto" w:fill="EEEEEE"/>
          </w:tcPr>
          <w:p>
            <w:pPr>
              <w:spacing w:after="0"/>
              <w:rPr>
                <w:sz w:val="16"/>
                <w:szCs w:val="16"/>
                <w:color w:val="auto"/>
              </w:rPr>
            </w:pPr>
          </w:p>
        </w:tc>
        <w:tc>
          <w:tcPr>
            <w:tcW w:w="5920" w:type="dxa"/>
            <w:vAlign w:val="bottom"/>
            <w:shd w:val="clear" w:color="auto" w:fill="EEEEEE"/>
          </w:tcPr>
          <w:p>
            <w:pPr>
              <w:ind w:left="20"/>
              <w:spacing w:after="0"/>
              <w:rPr>
                <w:sz w:val="20"/>
                <w:szCs w:val="20"/>
                <w:color w:val="auto"/>
              </w:rPr>
            </w:pPr>
            <w:r>
              <w:rPr>
                <w:rFonts w:ascii="Arial" w:cs="Arial" w:eastAsia="Arial" w:hAnsi="Arial"/>
                <w:sz w:val="14"/>
                <w:szCs w:val="14"/>
                <w:color w:val="auto"/>
              </w:rPr>
              <w:t>to 1985.</w:t>
            </w:r>
          </w:p>
        </w:tc>
      </w:tr>
      <w:tr>
        <w:trPr>
          <w:trHeight w:val="293"/>
        </w:trPr>
        <w:tc>
          <w:tcPr>
            <w:tcW w:w="2900" w:type="dxa"/>
            <w:vAlign w:val="bottom"/>
          </w:tcPr>
          <w:p>
            <w:pPr>
              <w:spacing w:after="0"/>
              <w:rPr>
                <w:sz w:val="20"/>
                <w:szCs w:val="20"/>
                <w:color w:val="auto"/>
              </w:rPr>
            </w:pPr>
            <w:r>
              <w:rPr>
                <w:rFonts w:ascii="Arial" w:cs="Arial" w:eastAsia="Arial" w:hAnsi="Arial"/>
                <w:sz w:val="14"/>
                <w:szCs w:val="14"/>
                <w:color w:val="auto"/>
              </w:rPr>
              <w:t>Edmond J. English</w:t>
            </w:r>
          </w:p>
        </w:tc>
        <w:tc>
          <w:tcPr>
            <w:tcW w:w="1180" w:type="dxa"/>
            <w:vAlign w:val="bottom"/>
            <w:gridSpan w:val="2"/>
          </w:tcPr>
          <w:p>
            <w:pPr>
              <w:jc w:val="center"/>
              <w:ind w:left="568"/>
              <w:spacing w:after="0"/>
              <w:rPr>
                <w:sz w:val="20"/>
                <w:szCs w:val="20"/>
                <w:color w:val="auto"/>
              </w:rPr>
            </w:pPr>
            <w:r>
              <w:rPr>
                <w:rFonts w:ascii="Arial" w:cs="Arial" w:eastAsia="Arial" w:hAnsi="Arial"/>
                <w:sz w:val="14"/>
                <w:szCs w:val="14"/>
                <w:color w:val="auto"/>
                <w:w w:val="89"/>
              </w:rPr>
              <w:t>50</w:t>
            </w:r>
          </w:p>
        </w:tc>
        <w:tc>
          <w:tcPr>
            <w:tcW w:w="86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w w:val="95"/>
              </w:rPr>
              <w:t>Chief Executive Officer of TJX since 2000 and President and Director of TJX since 1999. Chairman</w:t>
            </w:r>
          </w:p>
        </w:tc>
      </w:tr>
      <w:tr>
        <w:trPr>
          <w:trHeight w:val="178"/>
        </w:trPr>
        <w:tc>
          <w:tcPr>
            <w:tcW w:w="2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rPr>
              <w:t>of The Marmaxx Group since 2000. Chief Operating Officer from 1999 to 2000, Senior Vice</w:t>
            </w:r>
          </w:p>
        </w:tc>
      </w:tr>
      <w:tr>
        <w:trPr>
          <w:trHeight w:val="178"/>
        </w:trPr>
        <w:tc>
          <w:tcPr>
            <w:tcW w:w="2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rPr>
              <w:t>President and Group Executive from 1998 to 1999; Executive Vice President, Merchandising,</w:t>
            </w:r>
          </w:p>
        </w:tc>
      </w:tr>
      <w:tr>
        <w:trPr>
          <w:trHeight w:val="178"/>
        </w:trPr>
        <w:tc>
          <w:tcPr>
            <w:tcW w:w="2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rPr>
              <w:t>Planning and Allocation of The Marmaxx Group from 1997 to 1998; Senior Vice President,</w:t>
            </w:r>
          </w:p>
        </w:tc>
      </w:tr>
      <w:tr>
        <w:trPr>
          <w:trHeight w:val="178"/>
        </w:trPr>
        <w:tc>
          <w:tcPr>
            <w:tcW w:w="2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w w:val="97"/>
              </w:rPr>
              <w:t>Merchandising from 1995 to 1997; Vice President, Senior Merchandise Manager of the T.J. Maxx</w:t>
            </w:r>
          </w:p>
        </w:tc>
      </w:tr>
      <w:tr>
        <w:trPr>
          <w:trHeight w:val="178"/>
        </w:trPr>
        <w:tc>
          <w:tcPr>
            <w:tcW w:w="2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w w:val="97"/>
              </w:rPr>
              <w:t>Division from 1991 to 1995; and has held various merchandising positions with TJX, from 1983 to</w:t>
            </w:r>
          </w:p>
        </w:tc>
      </w:tr>
      <w:tr>
        <w:trPr>
          <w:trHeight w:val="183"/>
        </w:trPr>
        <w:tc>
          <w:tcPr>
            <w:tcW w:w="2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780" w:type="dxa"/>
            <w:vAlign w:val="bottom"/>
            <w:gridSpan w:val="2"/>
          </w:tcPr>
          <w:p>
            <w:pPr>
              <w:ind w:left="880"/>
              <w:spacing w:after="0"/>
              <w:rPr>
                <w:sz w:val="20"/>
                <w:szCs w:val="20"/>
                <w:color w:val="auto"/>
              </w:rPr>
            </w:pPr>
            <w:r>
              <w:rPr>
                <w:rFonts w:ascii="Arial" w:cs="Arial" w:eastAsia="Arial" w:hAnsi="Arial"/>
                <w:sz w:val="14"/>
                <w:szCs w:val="14"/>
                <w:color w:val="auto"/>
              </w:rPr>
              <w:t>1991.</w:t>
            </w:r>
          </w:p>
        </w:tc>
      </w:tr>
      <w:tr>
        <w:trPr>
          <w:trHeight w:val="125"/>
        </w:trPr>
        <w:tc>
          <w:tcPr>
            <w:tcW w:w="2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920" w:type="dxa"/>
            <w:vAlign w:val="bottom"/>
          </w:tcPr>
          <w:p>
            <w:pPr>
              <w:spacing w:after="0"/>
              <w:rPr>
                <w:sz w:val="10"/>
                <w:szCs w:val="10"/>
                <w:color w:val="auto"/>
              </w:rPr>
            </w:pPr>
          </w:p>
        </w:tc>
      </w:tr>
      <w:tr>
        <w:trPr>
          <w:trHeight w:val="171"/>
        </w:trPr>
        <w:tc>
          <w:tcPr>
            <w:tcW w:w="2900" w:type="dxa"/>
            <w:vAlign w:val="bottom"/>
            <w:shd w:val="clear" w:color="auto" w:fill="EEEEEE"/>
          </w:tcPr>
          <w:p>
            <w:pPr>
              <w:spacing w:after="0"/>
              <w:rPr>
                <w:sz w:val="20"/>
                <w:szCs w:val="20"/>
                <w:color w:val="auto"/>
              </w:rPr>
            </w:pPr>
            <w:r>
              <w:rPr>
                <w:rFonts w:ascii="Arial" w:cs="Arial" w:eastAsia="Arial" w:hAnsi="Arial"/>
                <w:sz w:val="14"/>
                <w:szCs w:val="14"/>
                <w:color w:val="auto"/>
              </w:rPr>
              <w:t>Peter A. Maich</w:t>
            </w:r>
          </w:p>
        </w:tc>
        <w:tc>
          <w:tcPr>
            <w:tcW w:w="1180" w:type="dxa"/>
            <w:vAlign w:val="bottom"/>
            <w:gridSpan w:val="2"/>
            <w:shd w:val="clear" w:color="auto" w:fill="EEEEEE"/>
          </w:tcPr>
          <w:p>
            <w:pPr>
              <w:jc w:val="center"/>
              <w:ind w:left="568"/>
              <w:spacing w:after="0"/>
              <w:rPr>
                <w:sz w:val="20"/>
                <w:szCs w:val="20"/>
                <w:color w:val="auto"/>
              </w:rPr>
            </w:pPr>
            <w:r>
              <w:rPr>
                <w:rFonts w:ascii="Arial" w:cs="Arial" w:eastAsia="Arial" w:hAnsi="Arial"/>
                <w:sz w:val="14"/>
                <w:szCs w:val="14"/>
                <w:color w:val="auto"/>
                <w:w w:val="89"/>
              </w:rPr>
              <w:t>55</w:t>
            </w:r>
          </w:p>
        </w:tc>
        <w:tc>
          <w:tcPr>
            <w:tcW w:w="860" w:type="dxa"/>
            <w:vAlign w:val="bottom"/>
            <w:shd w:val="clear" w:color="auto" w:fill="EEEEEE"/>
          </w:tcPr>
          <w:p>
            <w:pPr>
              <w:spacing w:after="0"/>
              <w:rPr>
                <w:sz w:val="14"/>
                <w:szCs w:val="14"/>
                <w:color w:val="auto"/>
              </w:rPr>
            </w:pPr>
          </w:p>
        </w:tc>
        <w:tc>
          <w:tcPr>
            <w:tcW w:w="5920" w:type="dxa"/>
            <w:vAlign w:val="bottom"/>
            <w:shd w:val="clear" w:color="auto" w:fill="EEEEEE"/>
          </w:tcPr>
          <w:p>
            <w:pPr>
              <w:ind w:left="20"/>
              <w:spacing w:after="0"/>
              <w:rPr>
                <w:sz w:val="20"/>
                <w:szCs w:val="20"/>
                <w:color w:val="auto"/>
              </w:rPr>
            </w:pPr>
            <w:r>
              <w:rPr>
                <w:rFonts w:ascii="Arial" w:cs="Arial" w:eastAsia="Arial" w:hAnsi="Arial"/>
                <w:sz w:val="14"/>
                <w:szCs w:val="14"/>
                <w:color w:val="auto"/>
              </w:rPr>
              <w:t>Executive Vice President, Group Executive of TJX since 2000. Executive Vice President,</w:t>
            </w:r>
          </w:p>
        </w:tc>
      </w:tr>
      <w:tr>
        <w:trPr>
          <w:trHeight w:val="178"/>
        </w:trPr>
        <w:tc>
          <w:tcPr>
            <w:tcW w:w="2900" w:type="dxa"/>
            <w:vAlign w:val="bottom"/>
            <w:shd w:val="clear" w:color="auto" w:fill="EEEEEE"/>
          </w:tcPr>
          <w:p>
            <w:pPr>
              <w:spacing w:after="0"/>
              <w:rPr>
                <w:sz w:val="15"/>
                <w:szCs w:val="15"/>
                <w:color w:val="auto"/>
              </w:rPr>
            </w:pPr>
          </w:p>
        </w:tc>
        <w:tc>
          <w:tcPr>
            <w:tcW w:w="640" w:type="dxa"/>
            <w:vAlign w:val="bottom"/>
            <w:shd w:val="clear" w:color="auto" w:fill="EEEEEE"/>
          </w:tcPr>
          <w:p>
            <w:pPr>
              <w:spacing w:after="0"/>
              <w:rPr>
                <w:sz w:val="15"/>
                <w:szCs w:val="15"/>
                <w:color w:val="auto"/>
              </w:rPr>
            </w:pPr>
          </w:p>
        </w:tc>
        <w:tc>
          <w:tcPr>
            <w:tcW w:w="540" w:type="dxa"/>
            <w:vAlign w:val="bottom"/>
            <w:shd w:val="clear" w:color="auto" w:fill="EEEEEE"/>
          </w:tcPr>
          <w:p>
            <w:pPr>
              <w:spacing w:after="0"/>
              <w:rPr>
                <w:sz w:val="15"/>
                <w:szCs w:val="15"/>
                <w:color w:val="auto"/>
              </w:rPr>
            </w:pPr>
          </w:p>
        </w:tc>
        <w:tc>
          <w:tcPr>
            <w:tcW w:w="860" w:type="dxa"/>
            <w:vAlign w:val="bottom"/>
            <w:shd w:val="clear" w:color="auto" w:fill="EEEEEE"/>
          </w:tcPr>
          <w:p>
            <w:pPr>
              <w:spacing w:after="0"/>
              <w:rPr>
                <w:sz w:val="15"/>
                <w:szCs w:val="15"/>
                <w:color w:val="auto"/>
              </w:rPr>
            </w:pPr>
          </w:p>
        </w:tc>
        <w:tc>
          <w:tcPr>
            <w:tcW w:w="5920" w:type="dxa"/>
            <w:vAlign w:val="bottom"/>
            <w:shd w:val="clear" w:color="auto" w:fill="EEEEEE"/>
          </w:tcPr>
          <w:p>
            <w:pPr>
              <w:ind w:left="20"/>
              <w:spacing w:after="0"/>
              <w:rPr>
                <w:sz w:val="20"/>
                <w:szCs w:val="20"/>
                <w:color w:val="auto"/>
              </w:rPr>
            </w:pPr>
            <w:r>
              <w:rPr>
                <w:rFonts w:ascii="Arial" w:cs="Arial" w:eastAsia="Arial" w:hAnsi="Arial"/>
                <w:sz w:val="14"/>
                <w:szCs w:val="14"/>
                <w:color w:val="auto"/>
                <w:w w:val="96"/>
              </w:rPr>
              <w:t>Merchandising, The Marmaxx Group from 1996 to 2000; President of the T.J. Maxx Division, 1994</w:t>
            </w:r>
          </w:p>
        </w:tc>
      </w:tr>
      <w:tr>
        <w:trPr>
          <w:trHeight w:val="185"/>
        </w:trPr>
        <w:tc>
          <w:tcPr>
            <w:tcW w:w="2900" w:type="dxa"/>
            <w:vAlign w:val="bottom"/>
            <w:shd w:val="clear" w:color="auto" w:fill="EEEEEE"/>
          </w:tcPr>
          <w:p>
            <w:pPr>
              <w:spacing w:after="0"/>
              <w:rPr>
                <w:sz w:val="16"/>
                <w:szCs w:val="16"/>
                <w:color w:val="auto"/>
              </w:rPr>
            </w:pPr>
          </w:p>
        </w:tc>
        <w:tc>
          <w:tcPr>
            <w:tcW w:w="640" w:type="dxa"/>
            <w:vAlign w:val="bottom"/>
            <w:shd w:val="clear" w:color="auto" w:fill="EEEEEE"/>
          </w:tcPr>
          <w:p>
            <w:pPr>
              <w:spacing w:after="0"/>
              <w:rPr>
                <w:sz w:val="16"/>
                <w:szCs w:val="16"/>
                <w:color w:val="auto"/>
              </w:rPr>
            </w:pPr>
          </w:p>
        </w:tc>
        <w:tc>
          <w:tcPr>
            <w:tcW w:w="540" w:type="dxa"/>
            <w:vAlign w:val="bottom"/>
            <w:shd w:val="clear" w:color="auto" w:fill="EEEEEE"/>
          </w:tcPr>
          <w:p>
            <w:pPr>
              <w:spacing w:after="0"/>
              <w:rPr>
                <w:sz w:val="16"/>
                <w:szCs w:val="16"/>
                <w:color w:val="auto"/>
              </w:rPr>
            </w:pPr>
          </w:p>
        </w:tc>
        <w:tc>
          <w:tcPr>
            <w:tcW w:w="860" w:type="dxa"/>
            <w:vAlign w:val="bottom"/>
            <w:shd w:val="clear" w:color="auto" w:fill="EEEEEE"/>
          </w:tcPr>
          <w:p>
            <w:pPr>
              <w:spacing w:after="0"/>
              <w:rPr>
                <w:sz w:val="16"/>
                <w:szCs w:val="16"/>
                <w:color w:val="auto"/>
              </w:rPr>
            </w:pPr>
          </w:p>
        </w:tc>
        <w:tc>
          <w:tcPr>
            <w:tcW w:w="5920" w:type="dxa"/>
            <w:vAlign w:val="bottom"/>
            <w:shd w:val="clear" w:color="auto" w:fill="EEEEEE"/>
          </w:tcPr>
          <w:p>
            <w:pPr>
              <w:ind w:left="20"/>
              <w:spacing w:after="0"/>
              <w:rPr>
                <w:sz w:val="20"/>
                <w:szCs w:val="20"/>
                <w:color w:val="auto"/>
              </w:rPr>
            </w:pPr>
            <w:r>
              <w:rPr>
                <w:rFonts w:ascii="Arial" w:cs="Arial" w:eastAsia="Arial" w:hAnsi="Arial"/>
                <w:sz w:val="14"/>
                <w:szCs w:val="14"/>
                <w:color w:val="auto"/>
                <w:w w:val="99"/>
              </w:rPr>
              <w:t>to 1996; various senior merchandising and operations positions at T.J. Maxx from 1985 to 1994.</w:t>
            </w:r>
          </w:p>
        </w:tc>
      </w:tr>
      <w:tr>
        <w:trPr>
          <w:trHeight w:val="293"/>
        </w:trPr>
        <w:tc>
          <w:tcPr>
            <w:tcW w:w="2900" w:type="dxa"/>
            <w:vAlign w:val="bottom"/>
          </w:tcPr>
          <w:p>
            <w:pPr>
              <w:spacing w:after="0"/>
              <w:rPr>
                <w:sz w:val="20"/>
                <w:szCs w:val="20"/>
                <w:color w:val="auto"/>
              </w:rPr>
            </w:pPr>
            <w:r>
              <w:rPr>
                <w:rFonts w:ascii="Arial" w:cs="Arial" w:eastAsia="Arial" w:hAnsi="Arial"/>
                <w:sz w:val="14"/>
                <w:szCs w:val="14"/>
                <w:color w:val="auto"/>
              </w:rPr>
              <w:t>Carol Meyrowitz</w:t>
            </w:r>
          </w:p>
        </w:tc>
        <w:tc>
          <w:tcPr>
            <w:tcW w:w="1180" w:type="dxa"/>
            <w:vAlign w:val="bottom"/>
            <w:gridSpan w:val="2"/>
          </w:tcPr>
          <w:p>
            <w:pPr>
              <w:jc w:val="center"/>
              <w:ind w:left="568"/>
              <w:spacing w:after="0"/>
              <w:rPr>
                <w:sz w:val="20"/>
                <w:szCs w:val="20"/>
                <w:color w:val="auto"/>
              </w:rPr>
            </w:pPr>
            <w:r>
              <w:rPr>
                <w:rFonts w:ascii="Arial" w:cs="Arial" w:eastAsia="Arial" w:hAnsi="Arial"/>
                <w:sz w:val="14"/>
                <w:szCs w:val="14"/>
                <w:color w:val="auto"/>
                <w:w w:val="89"/>
              </w:rPr>
              <w:t>48</w:t>
            </w:r>
          </w:p>
        </w:tc>
        <w:tc>
          <w:tcPr>
            <w:tcW w:w="86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w w:val="96"/>
              </w:rPr>
              <w:t>Executive Vice President of TJX and President of The Marmaxx Group since 2001. Executive Vice</w:t>
            </w:r>
          </w:p>
        </w:tc>
      </w:tr>
      <w:tr>
        <w:trPr>
          <w:trHeight w:val="178"/>
        </w:trPr>
        <w:tc>
          <w:tcPr>
            <w:tcW w:w="2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rPr>
              <w:t>President, Merchandising, The Marmaxx Group from 2000 to 2001 and Senior Vice President,</w:t>
            </w:r>
          </w:p>
        </w:tc>
      </w:tr>
      <w:tr>
        <w:trPr>
          <w:trHeight w:val="178"/>
        </w:trPr>
        <w:tc>
          <w:tcPr>
            <w:tcW w:w="2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w w:val="95"/>
              </w:rPr>
              <w:t>Merchandising from 1999 to 2000. Executive Vice President, Merchandising, Chadwick’s of Boston,</w:t>
            </w:r>
          </w:p>
        </w:tc>
      </w:tr>
      <w:tr>
        <w:trPr>
          <w:trHeight w:val="178"/>
        </w:trPr>
        <w:tc>
          <w:tcPr>
            <w:tcW w:w="2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w w:val="94"/>
              </w:rPr>
              <w:t>Ltd. from 1996 to 1999; Senior Vice President, Merchandising from 1991 to 1996 and Vice President,</w:t>
            </w:r>
          </w:p>
        </w:tc>
      </w:tr>
      <w:tr>
        <w:trPr>
          <w:trHeight w:val="178"/>
        </w:trPr>
        <w:tc>
          <w:tcPr>
            <w:tcW w:w="2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w w:val="96"/>
              </w:rPr>
              <w:t>Merchandising from 1989 to 1991. Vice President, Division Merchandise Manager, Hit or Miss from</w:t>
            </w:r>
          </w:p>
        </w:tc>
      </w:tr>
      <w:tr>
        <w:trPr>
          <w:trHeight w:val="183"/>
        </w:trPr>
        <w:tc>
          <w:tcPr>
            <w:tcW w:w="2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rPr>
              <w:t>1987 to 1989.</w:t>
            </w:r>
          </w:p>
        </w:tc>
      </w:tr>
      <w:tr>
        <w:trPr>
          <w:trHeight w:val="300"/>
        </w:trPr>
        <w:tc>
          <w:tcPr>
            <w:tcW w:w="2900" w:type="dxa"/>
            <w:vAlign w:val="bottom"/>
          </w:tcPr>
          <w:p>
            <w:pPr>
              <w:spacing w:after="0"/>
              <w:rPr>
                <w:sz w:val="20"/>
                <w:szCs w:val="20"/>
                <w:color w:val="auto"/>
              </w:rPr>
            </w:pPr>
            <w:r>
              <w:rPr>
                <w:rFonts w:ascii="Arial" w:cs="Arial" w:eastAsia="Arial" w:hAnsi="Arial"/>
                <w:sz w:val="14"/>
                <w:szCs w:val="14"/>
                <w:color w:val="auto"/>
              </w:rPr>
              <w:t>Alex Smith</w:t>
            </w:r>
          </w:p>
        </w:tc>
        <w:tc>
          <w:tcPr>
            <w:tcW w:w="1180" w:type="dxa"/>
            <w:vAlign w:val="bottom"/>
            <w:gridSpan w:val="2"/>
          </w:tcPr>
          <w:p>
            <w:pPr>
              <w:jc w:val="center"/>
              <w:ind w:left="568"/>
              <w:spacing w:after="0"/>
              <w:rPr>
                <w:sz w:val="20"/>
                <w:szCs w:val="20"/>
                <w:color w:val="auto"/>
              </w:rPr>
            </w:pPr>
            <w:r>
              <w:rPr>
                <w:rFonts w:ascii="Arial" w:cs="Arial" w:eastAsia="Arial" w:hAnsi="Arial"/>
                <w:sz w:val="14"/>
                <w:szCs w:val="14"/>
                <w:color w:val="auto"/>
                <w:w w:val="89"/>
              </w:rPr>
              <w:t>50</w:t>
            </w:r>
          </w:p>
        </w:tc>
        <w:tc>
          <w:tcPr>
            <w:tcW w:w="86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4"/>
                <w:szCs w:val="14"/>
                <w:color w:val="auto"/>
                <w:w w:val="96"/>
              </w:rPr>
              <w:t>Executive Vice President, Group Executive, International, of TJX since 2001. Managing Director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-111125</wp:posOffset>
            </wp:positionV>
            <wp:extent cx="6903085" cy="339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03085" cy="339090"/>
                    </a:xfrm>
                    <a:prstGeom prst="rect">
                      <a:avLst/>
                    </a:prstGeom>
                    <a:noFill/>
                  </pic:spPr>
                </pic:pic>
              </a:graphicData>
            </a:graphic>
          </wp:anchor>
        </w:drawing>
      </w:r>
    </w:p>
    <w:p>
      <w:pPr>
        <w:ind w:left="5260" w:right="140"/>
        <w:spacing w:after="0" w:line="331" w:lineRule="auto"/>
        <w:rPr>
          <w:sz w:val="20"/>
          <w:szCs w:val="20"/>
          <w:color w:val="auto"/>
        </w:rPr>
      </w:pPr>
      <w:r>
        <w:rPr>
          <w:rFonts w:ascii="Arial" w:cs="Arial" w:eastAsia="Arial" w:hAnsi="Arial"/>
          <w:sz w:val="13"/>
          <w:szCs w:val="13"/>
          <w:color w:val="auto"/>
        </w:rPr>
        <w:t>T.K. Maxx from 1995 to 2001. Managing Director of Lane Crawford from 1994 to 1995. Managing Director of Owen Owen plc from 1990 to 1993 and Merchandise Director from 1987 to 1990.</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All officers hold office until the next annual meeting of the Board in June 2003 and until their successors are elected, or appointed, and qualified.</w:t>
      </w:r>
    </w:p>
    <w:p>
      <w:pPr>
        <w:spacing w:after="0" w:line="195"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160"/>
          </w:cols>
          <w:pgMar w:left="220" w:top="370" w:right="51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PART II</w:t>
      </w:r>
    </w:p>
    <w:p>
      <w:pPr>
        <w:spacing w:after="0" w:line="195"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ITEM 5.</w:t>
      </w:r>
      <w:r>
        <w:rPr>
          <w:sz w:val="20"/>
          <w:szCs w:val="20"/>
          <w:color w:val="auto"/>
        </w:rPr>
        <w:tab/>
      </w:r>
      <w:r>
        <w:rPr>
          <w:rFonts w:ascii="Arial" w:cs="Arial" w:eastAsia="Arial" w:hAnsi="Arial"/>
          <w:sz w:val="13"/>
          <w:szCs w:val="13"/>
          <w:color w:val="auto"/>
        </w:rPr>
        <w:t>Market for the Registrant’s Common Stock and Related Security Holder Matters</w:t>
      </w:r>
    </w:p>
    <w:p>
      <w:pPr>
        <w:spacing w:after="0" w:line="195" w:lineRule="exact"/>
        <w:rPr>
          <w:sz w:val="20"/>
          <w:szCs w:val="20"/>
          <w:color w:val="auto"/>
        </w:rPr>
      </w:pPr>
    </w:p>
    <w:p>
      <w:pPr>
        <w:ind w:left="700" w:right="240"/>
        <w:spacing w:after="0" w:line="298" w:lineRule="auto"/>
        <w:rPr>
          <w:sz w:val="20"/>
          <w:szCs w:val="20"/>
          <w:color w:val="auto"/>
        </w:rPr>
      </w:pPr>
      <w:r>
        <w:rPr>
          <w:rFonts w:ascii="Arial" w:cs="Arial" w:eastAsia="Arial" w:hAnsi="Arial"/>
          <w:sz w:val="14"/>
          <w:szCs w:val="14"/>
          <w:color w:val="auto"/>
        </w:rPr>
        <w:t>The information required by this Item is incorporated by reference from page 54 of the Annual Report, under the caption “Price Range of Common Stock,” and from inside the back-cover of the Annual Report, under the caption “Shareholder Information.”</w:t>
      </w:r>
    </w:p>
    <w:p>
      <w:pPr>
        <w:spacing w:after="0" w:line="134"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ITEM 6.</w:t>
      </w:r>
      <w:r>
        <w:rPr>
          <w:sz w:val="20"/>
          <w:szCs w:val="20"/>
          <w:color w:val="auto"/>
        </w:rPr>
        <w:tab/>
      </w:r>
      <w:r>
        <w:rPr>
          <w:rFonts w:ascii="Arial" w:cs="Arial" w:eastAsia="Arial" w:hAnsi="Arial"/>
          <w:sz w:val="13"/>
          <w:szCs w:val="13"/>
          <w:color w:val="auto"/>
        </w:rPr>
        <w:t>Selected Financial Data</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information required by this Item is incorporated by reference from page 17 of the Annual Report, under the caption “Selected Financial Data.”</w:t>
      </w:r>
    </w:p>
    <w:p>
      <w:pPr>
        <w:spacing w:after="0" w:line="195"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ITEM 7.</w:t>
      </w:r>
      <w:r>
        <w:rPr>
          <w:sz w:val="20"/>
          <w:szCs w:val="20"/>
          <w:color w:val="auto"/>
        </w:rPr>
        <w:tab/>
      </w:r>
      <w:r>
        <w:rPr>
          <w:rFonts w:ascii="Arial" w:cs="Arial" w:eastAsia="Arial" w:hAnsi="Arial"/>
          <w:sz w:val="13"/>
          <w:szCs w:val="13"/>
          <w:color w:val="auto"/>
        </w:rPr>
        <w:t>Management’s Discussion and Analysis of Financial Condition and Results of Operations</w:t>
      </w:r>
    </w:p>
    <w:p>
      <w:pPr>
        <w:spacing w:after="0" w:line="195" w:lineRule="exact"/>
        <w:rPr>
          <w:sz w:val="20"/>
          <w:szCs w:val="20"/>
          <w:color w:val="auto"/>
        </w:rPr>
      </w:pPr>
    </w:p>
    <w:p>
      <w:pPr>
        <w:ind w:left="700"/>
        <w:spacing w:after="0" w:line="298" w:lineRule="auto"/>
        <w:rPr>
          <w:sz w:val="20"/>
          <w:szCs w:val="20"/>
          <w:color w:val="auto"/>
        </w:rPr>
      </w:pPr>
      <w:r>
        <w:rPr>
          <w:rFonts w:ascii="Arial" w:cs="Arial" w:eastAsia="Arial" w:hAnsi="Arial"/>
          <w:sz w:val="14"/>
          <w:szCs w:val="14"/>
          <w:color w:val="auto"/>
        </w:rPr>
        <w:t>The information required by this Item is incorporated by reference from pages 43 through 53 of the Annual Report, under the caption “Management’s Discussion and Analysis of Results of Operations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ITEM 7A.  Quantitative and Qualitative Disclosure about Market Risk</w:t>
      </w:r>
    </w:p>
    <w:p>
      <w:pPr>
        <w:spacing w:after="0" w:line="195" w:lineRule="exact"/>
        <w:rPr>
          <w:sz w:val="20"/>
          <w:szCs w:val="20"/>
          <w:color w:val="auto"/>
        </w:rPr>
      </w:pPr>
    </w:p>
    <w:p>
      <w:pPr>
        <w:ind w:left="700" w:right="100"/>
        <w:spacing w:after="0" w:line="270" w:lineRule="auto"/>
        <w:rPr>
          <w:sz w:val="20"/>
          <w:szCs w:val="20"/>
          <w:color w:val="auto"/>
        </w:rPr>
      </w:pPr>
      <w:r>
        <w:rPr>
          <w:rFonts w:ascii="Arial" w:cs="Arial" w:eastAsia="Arial" w:hAnsi="Arial"/>
          <w:sz w:val="14"/>
          <w:szCs w:val="14"/>
          <w:color w:val="auto"/>
        </w:rPr>
        <w:t>TJX is exposed to foreign currency exchange rate risk on its investment in its Canadian (Winners) and European (T.K. Maxx) operations. As more fully described in Note C to our consolidated financial statements, on pages 27-28 of our Annual Report, we hedge a significant portion of our net investment and certain merchandise commitments in these operations with derivative financial instruments. TJX enters into derivative contracts only when there is an underlying economic exposure. TJX utilizes currency forward and swap contracts, designed to offset the gains or losses in the underlying exposures, most of which are recorded directly in shareholders’ equity. The contracts are executed with banks we believe are creditworthy and are denominated in currencies of major industrial countries. We have performed a sensitivity analysis assuming a hypothetical 10% adverse movement in foreign currency exchange rates applied to the hedging contracts and the underlying exposures described above. As of January 25, 2003 the analysis indicated that such market movements would not have a material effect on our consolidated financial position, results of operations or cash flows.</w:t>
      </w:r>
    </w:p>
    <w:p>
      <w:pPr>
        <w:spacing w:after="0" w:line="156" w:lineRule="exact"/>
        <w:rPr>
          <w:sz w:val="20"/>
          <w:szCs w:val="20"/>
          <w:color w:val="auto"/>
        </w:rPr>
      </w:pPr>
    </w:p>
    <w:p>
      <w:pPr>
        <w:jc w:val="both"/>
        <w:ind w:left="700" w:right="140"/>
        <w:spacing w:after="0" w:line="281" w:lineRule="auto"/>
        <w:rPr>
          <w:sz w:val="20"/>
          <w:szCs w:val="20"/>
          <w:color w:val="auto"/>
        </w:rPr>
      </w:pPr>
      <w:r>
        <w:rPr>
          <w:rFonts w:ascii="Arial" w:cs="Arial" w:eastAsia="Arial" w:hAnsi="Arial"/>
          <w:sz w:val="14"/>
          <w:szCs w:val="14"/>
          <w:color w:val="auto"/>
        </w:rPr>
        <w:t>TJX’s cash equivalents and short-term investments and certain lines of credit bear variable interest rates. Changes in interest rates affect interest earned and paid by the Company. TJX generally does not use derivative instruments to offset the exposure to changes in interest rates on these items. Instead, TJX believes that the use of primarily fixed rate debt minimizes exposure to market conditions and the ensuing increases and decreases that could arise with variable rate financing.</w:t>
      </w:r>
    </w:p>
    <w:p>
      <w:pPr>
        <w:spacing w:after="0" w:line="147" w:lineRule="exact"/>
        <w:rPr>
          <w:sz w:val="20"/>
          <w:szCs w:val="20"/>
          <w:color w:val="auto"/>
        </w:rPr>
      </w:pPr>
    </w:p>
    <w:p>
      <w:pPr>
        <w:jc w:val="both"/>
        <w:ind w:left="700" w:right="260"/>
        <w:spacing w:after="0" w:line="281" w:lineRule="auto"/>
        <w:rPr>
          <w:sz w:val="20"/>
          <w:szCs w:val="20"/>
          <w:color w:val="auto"/>
        </w:rPr>
      </w:pPr>
      <w:r>
        <w:rPr>
          <w:rFonts w:ascii="Arial" w:cs="Arial" w:eastAsia="Arial" w:hAnsi="Arial"/>
          <w:sz w:val="14"/>
          <w:szCs w:val="14"/>
          <w:color w:val="auto"/>
        </w:rPr>
        <w:t>TJX has performed a sensitivity analysis assuming a hypothetical 10% adverse movement in interest rates applied to the maximum variable rate debt outstanding during the previous year. As of January 25, 2003, the analysis indicated that such market movements would not have a material effect on our consolidated financial position, results of operations or cash flows.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ITEM 8.</w:t>
      </w:r>
      <w:r>
        <w:rPr>
          <w:sz w:val="20"/>
          <w:szCs w:val="20"/>
          <w:color w:val="auto"/>
        </w:rPr>
        <w:tab/>
      </w:r>
      <w:r>
        <w:rPr>
          <w:rFonts w:ascii="Arial" w:cs="Arial" w:eastAsia="Arial" w:hAnsi="Arial"/>
          <w:sz w:val="12"/>
          <w:szCs w:val="12"/>
          <w:color w:val="auto"/>
        </w:rPr>
        <w:t>Financial Statements and Supplementary Data</w:t>
      </w:r>
    </w:p>
    <w:p>
      <w:pPr>
        <w:spacing w:after="0" w:line="195" w:lineRule="exact"/>
        <w:rPr>
          <w:sz w:val="20"/>
          <w:szCs w:val="20"/>
          <w:color w:val="auto"/>
        </w:rPr>
      </w:pPr>
    </w:p>
    <w:p>
      <w:pPr>
        <w:jc w:val="both"/>
        <w:ind w:left="700" w:right="40"/>
        <w:spacing w:after="0" w:line="281" w:lineRule="auto"/>
        <w:rPr>
          <w:sz w:val="20"/>
          <w:szCs w:val="20"/>
          <w:color w:val="auto"/>
        </w:rPr>
      </w:pPr>
      <w:r>
        <w:rPr>
          <w:rFonts w:ascii="Arial" w:cs="Arial" w:eastAsia="Arial" w:hAnsi="Arial"/>
          <w:sz w:val="14"/>
          <w:szCs w:val="14"/>
          <w:color w:val="auto"/>
        </w:rPr>
        <w:t>The information required by this Item and not filed with this report as Financial Statement Schedules is incorporated by reference from pages 18 through 41 of the Annual Report, under the captions; “Consolidated Statements of Income,” “Consolidated Balance Sheets,” “Consolidated Statements of Cash Flows,” “Consolidated Statements of Shareholders’ Equity,” and “Notes to Consolidated Financial Statements.”</w:t>
      </w:r>
    </w:p>
    <w:p>
      <w:pPr>
        <w:spacing w:after="0" w:line="147"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ITEM 9.</w:t>
      </w:r>
      <w:r>
        <w:rPr>
          <w:sz w:val="20"/>
          <w:szCs w:val="20"/>
          <w:color w:val="auto"/>
        </w:rPr>
        <w:tab/>
      </w:r>
      <w:r>
        <w:rPr>
          <w:rFonts w:ascii="Arial" w:cs="Arial" w:eastAsia="Arial" w:hAnsi="Arial"/>
          <w:sz w:val="13"/>
          <w:szCs w:val="13"/>
          <w:color w:val="auto"/>
        </w:rPr>
        <w:t>Disagreements on Accounting and Financial Disclosure</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Not applicable.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PART III</w:t>
      </w:r>
    </w:p>
    <w:p>
      <w:pPr>
        <w:spacing w:after="0" w:line="195"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ITEM 10.</w:t>
      </w:r>
      <w:r>
        <w:rPr>
          <w:sz w:val="20"/>
          <w:szCs w:val="20"/>
          <w:color w:val="auto"/>
        </w:rPr>
        <w:tab/>
      </w:r>
      <w:r>
        <w:rPr>
          <w:rFonts w:ascii="Arial" w:cs="Arial" w:eastAsia="Arial" w:hAnsi="Arial"/>
          <w:sz w:val="13"/>
          <w:szCs w:val="13"/>
          <w:color w:val="auto"/>
        </w:rPr>
        <w:t>Directors and Executive Officers of the Registrant</w:t>
      </w:r>
    </w:p>
    <w:p>
      <w:pPr>
        <w:spacing w:after="0" w:line="195" w:lineRule="exact"/>
        <w:rPr>
          <w:sz w:val="20"/>
          <w:szCs w:val="20"/>
          <w:color w:val="auto"/>
        </w:rPr>
      </w:pPr>
    </w:p>
    <w:p>
      <w:pPr>
        <w:ind w:left="700"/>
        <w:spacing w:after="0" w:line="276" w:lineRule="auto"/>
        <w:rPr>
          <w:sz w:val="20"/>
          <w:szCs w:val="20"/>
          <w:color w:val="auto"/>
        </w:rPr>
      </w:pPr>
      <w:r>
        <w:rPr>
          <w:rFonts w:ascii="Arial" w:cs="Arial" w:eastAsia="Arial" w:hAnsi="Arial"/>
          <w:sz w:val="14"/>
          <w:szCs w:val="14"/>
          <w:color w:val="auto"/>
        </w:rPr>
        <w:t>TJX will file with the Securities and Exchange Commission a definitive proxy statement no later than 120 days after the close of its fiscal year ended January 25, 2003. The information required by this Item and not given in Item 4A, under the caption “Executive Officers of the Registrant,” is incorporated by reference from pages 2 through 10 and 12 of the Proxy Statement, under the captions “Election of Directors,” “Corporate Governance-Code of Ethics for TJX Executives”, “Audit Committee Report” and “Section 16(a) Beneficial Ownership Reporting Compliance.”</w:t>
      </w:r>
    </w:p>
    <w:p>
      <w:pPr>
        <w:spacing w:after="0" w:line="150"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ITEM 11.</w:t>
      </w:r>
      <w:r>
        <w:rPr>
          <w:sz w:val="20"/>
          <w:szCs w:val="20"/>
          <w:color w:val="auto"/>
        </w:rPr>
        <w:tab/>
      </w:r>
      <w:r>
        <w:rPr>
          <w:rFonts w:ascii="Arial" w:cs="Arial" w:eastAsia="Arial" w:hAnsi="Arial"/>
          <w:sz w:val="13"/>
          <w:szCs w:val="13"/>
          <w:color w:val="auto"/>
        </w:rPr>
        <w:t>Executive Compensation</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information required by this Item is incorporated by reference from pages 13 through 20 of the Proxy Statement, under the caption “Executive Compensation.”</w:t>
      </w:r>
    </w:p>
    <w:p>
      <w:pPr>
        <w:spacing w:after="0" w:line="195"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ITEM 12.</w:t>
      </w:r>
      <w:r>
        <w:rPr>
          <w:sz w:val="20"/>
          <w:szCs w:val="20"/>
          <w:color w:val="auto"/>
        </w:rPr>
        <w:tab/>
      </w:r>
      <w:r>
        <w:rPr>
          <w:rFonts w:ascii="Arial" w:cs="Arial" w:eastAsia="Arial" w:hAnsi="Arial"/>
          <w:sz w:val="13"/>
          <w:szCs w:val="13"/>
          <w:color w:val="auto"/>
        </w:rPr>
        <w:t>Security Ownership of Certain Beneficial Owners and Management</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information required by this Item is incorporated by reference from pages 11 through 12 of the Proxy Statement, under the caption “Beneficial Ownership.”</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following table provides certain information as of January 25, 2003 with respect to our equity compensation plans: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40"/>
          </w:cols>
          <w:pgMar w:left="220" w:top="370" w:right="23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60" w:type="dxa"/>
            <w:vAlign w:val="bottom"/>
            <w:gridSpan w:val="4"/>
          </w:tcPr>
          <w:p>
            <w:pPr>
              <w:ind w:left="140"/>
              <w:spacing w:after="0"/>
              <w:rPr>
                <w:sz w:val="20"/>
                <w:szCs w:val="20"/>
                <w:color w:val="auto"/>
              </w:rPr>
            </w:pPr>
            <w:r>
              <w:rPr>
                <w:rFonts w:ascii="Arial" w:cs="Arial" w:eastAsia="Arial" w:hAnsi="Arial"/>
                <w:sz w:val="14"/>
                <w:szCs w:val="14"/>
                <w:b w:val="1"/>
                <w:bCs w:val="1"/>
                <w:color w:val="auto"/>
                <w:w w:val="96"/>
              </w:rPr>
              <w:t>Equity Compensation Plan Information</w:t>
            </w:r>
          </w:p>
        </w:tc>
        <w:tc>
          <w:tcPr>
            <w:tcW w:w="1820" w:type="dxa"/>
            <w:vAlign w:val="bottom"/>
          </w:tcPr>
          <w:p>
            <w:pPr>
              <w:spacing w:after="0"/>
              <w:rPr>
                <w:sz w:val="15"/>
                <w:szCs w:val="15"/>
                <w:color w:val="auto"/>
              </w:rPr>
            </w:pPr>
          </w:p>
        </w:tc>
      </w:tr>
      <w:tr>
        <w:trPr>
          <w:trHeight w:val="143"/>
        </w:trPr>
        <w:tc>
          <w:tcPr>
            <w:tcW w:w="4800" w:type="dxa"/>
            <w:vAlign w:val="bottom"/>
          </w:tcPr>
          <w:p>
            <w:pPr>
              <w:spacing w:after="0"/>
              <w:rPr>
                <w:sz w:val="20"/>
                <w:szCs w:val="20"/>
                <w:color w:val="auto"/>
              </w:rPr>
            </w:pPr>
            <w:r>
              <w:rPr>
                <w:rFonts w:ascii="Arial" w:cs="Arial" w:eastAsia="Arial" w:hAnsi="Arial"/>
                <w:sz w:val="11"/>
                <w:szCs w:val="11"/>
                <w:b w:val="1"/>
                <w:bCs w:val="1"/>
                <w:color w:val="auto"/>
              </w:rPr>
              <w:t>Plan Category</w:t>
            </w:r>
          </w:p>
        </w:tc>
        <w:tc>
          <w:tcPr>
            <w:tcW w:w="420" w:type="dxa"/>
            <w:vAlign w:val="bottom"/>
          </w:tcPr>
          <w:p>
            <w:pPr>
              <w:spacing w:after="0"/>
              <w:rPr>
                <w:sz w:val="12"/>
                <w:szCs w:val="12"/>
                <w:color w:val="auto"/>
              </w:rPr>
            </w:pPr>
          </w:p>
        </w:tc>
        <w:tc>
          <w:tcPr>
            <w:tcW w:w="1760" w:type="dxa"/>
            <w:vAlign w:val="bottom"/>
          </w:tcPr>
          <w:p>
            <w:pPr>
              <w:jc w:val="center"/>
              <w:ind w:left="442"/>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9"/>
              </w:rPr>
              <w:t>(b)</w:t>
            </w:r>
          </w:p>
        </w:tc>
        <w:tc>
          <w:tcPr>
            <w:tcW w:w="1820" w:type="dxa"/>
            <w:vAlign w:val="bottom"/>
          </w:tcPr>
          <w:p>
            <w:pPr>
              <w:jc w:val="center"/>
              <w:spacing w:after="0"/>
              <w:rPr>
                <w:sz w:val="20"/>
                <w:szCs w:val="20"/>
                <w:color w:val="auto"/>
              </w:rPr>
            </w:pPr>
            <w:r>
              <w:rPr>
                <w:rFonts w:ascii="Arial" w:cs="Arial" w:eastAsia="Arial" w:hAnsi="Arial"/>
                <w:sz w:val="11"/>
                <w:szCs w:val="11"/>
                <w:b w:val="1"/>
                <w:bCs w:val="1"/>
                <w:color w:val="auto"/>
                <w:w w:val="88"/>
              </w:rPr>
              <w:t>(c)</w:t>
            </w:r>
          </w:p>
        </w:tc>
      </w:tr>
      <w:tr>
        <w:trPr>
          <w:trHeight w:val="79"/>
        </w:trPr>
        <w:tc>
          <w:tcPr>
            <w:tcW w:w="4800" w:type="dxa"/>
            <w:vAlign w:val="bottom"/>
            <w:tcBorders>
              <w:bottom w:val="single" w:sz="8" w:color="808080"/>
            </w:tcBorders>
          </w:tcPr>
          <w:p>
            <w:pPr>
              <w:spacing w:after="0"/>
              <w:rPr>
                <w:sz w:val="6"/>
                <w:szCs w:val="6"/>
                <w:color w:val="auto"/>
              </w:rPr>
            </w:pPr>
          </w:p>
        </w:tc>
        <w:tc>
          <w:tcPr>
            <w:tcW w:w="4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20" w:type="dxa"/>
            <w:vAlign w:val="bottom"/>
          </w:tcPr>
          <w:p>
            <w:pPr>
              <w:spacing w:after="0"/>
              <w:rPr>
                <w:sz w:val="6"/>
                <w:szCs w:val="6"/>
                <w:color w:val="auto"/>
              </w:rPr>
            </w:pPr>
          </w:p>
        </w:tc>
      </w:tr>
      <w:tr>
        <w:trPr>
          <w:trHeight w:val="20"/>
        </w:trPr>
        <w:tc>
          <w:tcPr>
            <w:tcW w:w="4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Borders>
              <w:bottom w:val="single" w:sz="8" w:color="808080"/>
            </w:tcBorders>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Borders>
              <w:bottom w:val="single" w:sz="8" w:color="808080"/>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tcBorders>
              <w:bottom w:val="single" w:sz="8" w:color="808080"/>
            </w:tcBorders>
          </w:tcPr>
          <w:p>
            <w:pPr>
              <w:spacing w:after="0" w:line="20" w:lineRule="exact"/>
              <w:rPr>
                <w:sz w:val="1"/>
                <w:szCs w:val="1"/>
                <w:color w:val="auto"/>
              </w:rPr>
            </w:pPr>
          </w:p>
        </w:tc>
      </w:tr>
      <w:tr>
        <w:trPr>
          <w:trHeight w:val="152"/>
        </w:trPr>
        <w:tc>
          <w:tcPr>
            <w:tcW w:w="4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Arial" w:cs="Arial" w:eastAsia="Arial" w:hAnsi="Arial"/>
                <w:sz w:val="11"/>
                <w:szCs w:val="11"/>
                <w:b w:val="1"/>
                <w:bCs w:val="1"/>
                <w:color w:val="auto"/>
                <w:w w:val="89"/>
              </w:rPr>
              <w:t>Number of securities</w:t>
            </w:r>
          </w:p>
        </w:tc>
      </w:tr>
      <w:tr>
        <w:trPr>
          <w:trHeight w:val="122"/>
        </w:trPr>
        <w:tc>
          <w:tcPr>
            <w:tcW w:w="4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60" w:type="dxa"/>
            <w:vAlign w:val="bottom"/>
          </w:tcPr>
          <w:p>
            <w:pPr>
              <w:jc w:val="center"/>
              <w:ind w:left="442"/>
              <w:spacing w:after="0" w:line="123" w:lineRule="exact"/>
              <w:rPr>
                <w:sz w:val="20"/>
                <w:szCs w:val="20"/>
                <w:color w:val="auto"/>
              </w:rPr>
            </w:pPr>
            <w:r>
              <w:rPr>
                <w:rFonts w:ascii="Arial" w:cs="Arial" w:eastAsia="Arial" w:hAnsi="Arial"/>
                <w:sz w:val="11"/>
                <w:szCs w:val="11"/>
                <w:b w:val="1"/>
                <w:bCs w:val="1"/>
                <w:color w:val="auto"/>
                <w:w w:val="89"/>
              </w:rPr>
              <w:t>Number of securities</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1"/>
              </w:rPr>
              <w:t>remaining available for</w:t>
            </w:r>
          </w:p>
        </w:tc>
      </w:tr>
      <w:tr>
        <w:trPr>
          <w:trHeight w:val="122"/>
        </w:trPr>
        <w:tc>
          <w:tcPr>
            <w:tcW w:w="4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60" w:type="dxa"/>
            <w:vAlign w:val="bottom"/>
          </w:tcPr>
          <w:p>
            <w:pPr>
              <w:jc w:val="center"/>
              <w:ind w:left="442"/>
              <w:spacing w:after="0" w:line="123" w:lineRule="exact"/>
              <w:rPr>
                <w:sz w:val="20"/>
                <w:szCs w:val="20"/>
                <w:color w:val="auto"/>
              </w:rPr>
            </w:pPr>
            <w:r>
              <w:rPr>
                <w:rFonts w:ascii="Arial" w:cs="Arial" w:eastAsia="Arial" w:hAnsi="Arial"/>
                <w:sz w:val="11"/>
                <w:szCs w:val="11"/>
                <w:b w:val="1"/>
                <w:bCs w:val="1"/>
                <w:color w:val="auto"/>
                <w:w w:val="87"/>
              </w:rPr>
              <w:t>to be issued upon</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60" w:type="dxa"/>
            <w:vAlign w:val="bottom"/>
            <w:gridSpan w:val="2"/>
          </w:tcPr>
          <w:p>
            <w:pPr>
              <w:jc w:val="center"/>
              <w:ind w:right="420"/>
              <w:spacing w:after="0" w:line="123" w:lineRule="exact"/>
              <w:rPr>
                <w:sz w:val="20"/>
                <w:szCs w:val="20"/>
                <w:color w:val="auto"/>
              </w:rPr>
            </w:pPr>
            <w:r>
              <w:rPr>
                <w:rFonts w:ascii="Arial" w:cs="Arial" w:eastAsia="Arial" w:hAnsi="Arial"/>
                <w:sz w:val="11"/>
                <w:szCs w:val="11"/>
                <w:b w:val="1"/>
                <w:bCs w:val="1"/>
                <w:color w:val="auto"/>
                <w:w w:val="90"/>
              </w:rPr>
              <w:t>Weighted-average</w:t>
            </w:r>
          </w:p>
        </w:tc>
        <w:tc>
          <w:tcPr>
            <w:tcW w:w="18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9"/>
              </w:rPr>
              <w:t>future issuance under equity</w:t>
            </w:r>
          </w:p>
        </w:tc>
      </w:tr>
      <w:tr>
        <w:trPr>
          <w:trHeight w:val="122"/>
        </w:trPr>
        <w:tc>
          <w:tcPr>
            <w:tcW w:w="4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60" w:type="dxa"/>
            <w:vAlign w:val="bottom"/>
          </w:tcPr>
          <w:p>
            <w:pPr>
              <w:jc w:val="center"/>
              <w:ind w:left="442"/>
              <w:spacing w:after="0" w:line="123" w:lineRule="exact"/>
              <w:rPr>
                <w:sz w:val="20"/>
                <w:szCs w:val="20"/>
                <w:color w:val="auto"/>
              </w:rPr>
            </w:pPr>
            <w:r>
              <w:rPr>
                <w:rFonts w:ascii="Arial" w:cs="Arial" w:eastAsia="Arial" w:hAnsi="Arial"/>
                <w:sz w:val="11"/>
                <w:szCs w:val="11"/>
                <w:b w:val="1"/>
                <w:bCs w:val="1"/>
                <w:color w:val="auto"/>
                <w:w w:val="86"/>
              </w:rPr>
              <w:t>exercise of</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60" w:type="dxa"/>
            <w:vAlign w:val="bottom"/>
            <w:gridSpan w:val="2"/>
          </w:tcPr>
          <w:p>
            <w:pPr>
              <w:jc w:val="center"/>
              <w:ind w:right="420"/>
              <w:spacing w:after="0" w:line="123" w:lineRule="exact"/>
              <w:rPr>
                <w:sz w:val="20"/>
                <w:szCs w:val="20"/>
                <w:color w:val="auto"/>
              </w:rPr>
            </w:pPr>
            <w:r>
              <w:rPr>
                <w:rFonts w:ascii="Arial" w:cs="Arial" w:eastAsia="Arial" w:hAnsi="Arial"/>
                <w:sz w:val="11"/>
                <w:szCs w:val="11"/>
                <w:b w:val="1"/>
                <w:bCs w:val="1"/>
                <w:color w:val="auto"/>
                <w:w w:val="89"/>
              </w:rPr>
              <w:t>exercise price of</w:t>
            </w:r>
          </w:p>
        </w:tc>
        <w:tc>
          <w:tcPr>
            <w:tcW w:w="18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8"/>
              </w:rPr>
              <w:t>compensation plans</w:t>
            </w:r>
          </w:p>
        </w:tc>
      </w:tr>
      <w:tr>
        <w:trPr>
          <w:trHeight w:val="122"/>
        </w:trPr>
        <w:tc>
          <w:tcPr>
            <w:tcW w:w="4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60" w:type="dxa"/>
            <w:vAlign w:val="bottom"/>
          </w:tcPr>
          <w:p>
            <w:pPr>
              <w:jc w:val="center"/>
              <w:ind w:left="422"/>
              <w:spacing w:after="0" w:line="123" w:lineRule="exact"/>
              <w:rPr>
                <w:sz w:val="20"/>
                <w:szCs w:val="20"/>
                <w:color w:val="auto"/>
              </w:rPr>
            </w:pPr>
            <w:r>
              <w:rPr>
                <w:rFonts w:ascii="Arial" w:cs="Arial" w:eastAsia="Arial" w:hAnsi="Arial"/>
                <w:sz w:val="11"/>
                <w:szCs w:val="11"/>
                <w:b w:val="1"/>
                <w:bCs w:val="1"/>
                <w:color w:val="auto"/>
                <w:w w:val="88"/>
              </w:rPr>
              <w:t>outstanding options,</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60" w:type="dxa"/>
            <w:vAlign w:val="bottom"/>
            <w:gridSpan w:val="2"/>
          </w:tcPr>
          <w:p>
            <w:pPr>
              <w:jc w:val="center"/>
              <w:ind w:right="420"/>
              <w:spacing w:after="0" w:line="123" w:lineRule="exact"/>
              <w:rPr>
                <w:sz w:val="20"/>
                <w:szCs w:val="20"/>
                <w:color w:val="auto"/>
              </w:rPr>
            </w:pPr>
            <w:r>
              <w:rPr>
                <w:rFonts w:ascii="Arial" w:cs="Arial" w:eastAsia="Arial" w:hAnsi="Arial"/>
                <w:sz w:val="11"/>
                <w:szCs w:val="11"/>
                <w:b w:val="1"/>
                <w:bCs w:val="1"/>
                <w:color w:val="auto"/>
                <w:w w:val="90"/>
              </w:rPr>
              <w:t>outstanding options,</w:t>
            </w:r>
          </w:p>
        </w:tc>
        <w:tc>
          <w:tcPr>
            <w:tcW w:w="18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89"/>
              </w:rPr>
              <w:t>(excluding securities</w:t>
            </w:r>
          </w:p>
        </w:tc>
      </w:tr>
      <w:tr>
        <w:trPr>
          <w:trHeight w:val="133"/>
        </w:trPr>
        <w:tc>
          <w:tcPr>
            <w:tcW w:w="4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jc w:val="center"/>
              <w:ind w:left="442"/>
              <w:spacing w:after="0"/>
              <w:rPr>
                <w:sz w:val="20"/>
                <w:szCs w:val="20"/>
                <w:color w:val="auto"/>
              </w:rPr>
            </w:pPr>
            <w:r>
              <w:rPr>
                <w:rFonts w:ascii="Arial" w:cs="Arial" w:eastAsia="Arial" w:hAnsi="Arial"/>
                <w:sz w:val="11"/>
                <w:szCs w:val="11"/>
                <w:b w:val="1"/>
                <w:bCs w:val="1"/>
                <w:color w:val="auto"/>
                <w:w w:val="92"/>
              </w:rPr>
              <w:t>warrants and rights</w:t>
            </w: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2"/>
              </w:rPr>
              <w:t>warrants and rights</w:t>
            </w:r>
          </w:p>
        </w:tc>
        <w:tc>
          <w:tcPr>
            <w:tcW w:w="1820" w:type="dxa"/>
            <w:vAlign w:val="bottom"/>
          </w:tcPr>
          <w:p>
            <w:pPr>
              <w:jc w:val="center"/>
              <w:spacing w:after="0"/>
              <w:rPr>
                <w:sz w:val="20"/>
                <w:szCs w:val="20"/>
                <w:color w:val="auto"/>
              </w:rPr>
            </w:pPr>
            <w:r>
              <w:rPr>
                <w:rFonts w:ascii="Arial" w:cs="Arial" w:eastAsia="Arial" w:hAnsi="Arial"/>
                <w:sz w:val="11"/>
                <w:szCs w:val="11"/>
                <w:b w:val="1"/>
                <w:bCs w:val="1"/>
                <w:color w:val="auto"/>
                <w:w w:val="93"/>
              </w:rPr>
              <w:t>reflected in (a))</w:t>
            </w:r>
          </w:p>
        </w:tc>
      </w:tr>
      <w:tr>
        <w:trPr>
          <w:trHeight w:val="178"/>
        </w:trPr>
        <w:tc>
          <w:tcPr>
            <w:tcW w:w="4800" w:type="dxa"/>
            <w:vAlign w:val="bottom"/>
            <w:shd w:val="clear" w:color="auto" w:fill="EEEEEE"/>
          </w:tcPr>
          <w:p>
            <w:pPr>
              <w:spacing w:after="0"/>
              <w:rPr>
                <w:sz w:val="20"/>
                <w:szCs w:val="20"/>
                <w:color w:val="auto"/>
              </w:rPr>
            </w:pPr>
            <w:r>
              <w:rPr>
                <w:rFonts w:ascii="Arial" w:cs="Arial" w:eastAsia="Arial" w:hAnsi="Arial"/>
                <w:sz w:val="14"/>
                <w:szCs w:val="14"/>
                <w:color w:val="auto"/>
              </w:rPr>
              <w:t>Equity compensation plans approved by security holders</w:t>
            </w:r>
          </w:p>
        </w:tc>
        <w:tc>
          <w:tcPr>
            <w:tcW w:w="2180" w:type="dxa"/>
            <w:vAlign w:val="bottom"/>
            <w:gridSpan w:val="2"/>
            <w:shd w:val="clear" w:color="auto" w:fill="EEEEEE"/>
          </w:tcPr>
          <w:p>
            <w:pPr>
              <w:jc w:val="center"/>
              <w:ind w:left="848"/>
              <w:spacing w:after="0"/>
              <w:rPr>
                <w:sz w:val="20"/>
                <w:szCs w:val="20"/>
                <w:color w:val="auto"/>
              </w:rPr>
            </w:pPr>
            <w:r>
              <w:rPr>
                <w:rFonts w:ascii="Arial" w:cs="Arial" w:eastAsia="Arial" w:hAnsi="Arial"/>
                <w:sz w:val="14"/>
                <w:szCs w:val="14"/>
                <w:color w:val="auto"/>
                <w:w w:val="94"/>
              </w:rPr>
              <w:t>37,195,769</w:t>
            </w:r>
          </w:p>
        </w:tc>
        <w:tc>
          <w:tcPr>
            <w:tcW w:w="2240" w:type="dxa"/>
            <w:vAlign w:val="bottom"/>
            <w:gridSpan w:val="3"/>
            <w:shd w:val="clear" w:color="auto" w:fill="EEEEEE"/>
          </w:tcPr>
          <w:p>
            <w:pPr>
              <w:jc w:val="right"/>
              <w:ind w:right="502"/>
              <w:spacing w:after="0"/>
              <w:rPr>
                <w:sz w:val="20"/>
                <w:szCs w:val="20"/>
                <w:color w:val="auto"/>
              </w:rPr>
            </w:pPr>
            <w:r>
              <w:rPr>
                <w:rFonts w:ascii="Arial" w:cs="Arial" w:eastAsia="Arial" w:hAnsi="Arial"/>
                <w:sz w:val="14"/>
                <w:szCs w:val="14"/>
                <w:color w:val="auto"/>
              </w:rPr>
              <w:t>$15.28</w:t>
            </w:r>
          </w:p>
        </w:tc>
        <w:tc>
          <w:tcPr>
            <w:tcW w:w="420" w:type="dxa"/>
            <w:vAlign w:val="bottom"/>
            <w:shd w:val="clear" w:color="auto" w:fill="EEEEEE"/>
          </w:tcPr>
          <w:p>
            <w:pPr>
              <w:spacing w:after="0"/>
              <w:rPr>
                <w:sz w:val="15"/>
                <w:szCs w:val="15"/>
                <w:color w:val="auto"/>
              </w:rPr>
            </w:pPr>
          </w:p>
        </w:tc>
        <w:tc>
          <w:tcPr>
            <w:tcW w:w="1820" w:type="dxa"/>
            <w:vAlign w:val="bottom"/>
            <w:shd w:val="clear" w:color="auto" w:fill="EEEEEE"/>
          </w:tcPr>
          <w:p>
            <w:pPr>
              <w:jc w:val="right"/>
              <w:ind w:right="579"/>
              <w:spacing w:after="0"/>
              <w:rPr>
                <w:sz w:val="20"/>
                <w:szCs w:val="20"/>
                <w:color w:val="auto"/>
              </w:rPr>
            </w:pPr>
            <w:r>
              <w:rPr>
                <w:rFonts w:ascii="Arial" w:cs="Arial" w:eastAsia="Arial" w:hAnsi="Arial"/>
                <w:sz w:val="14"/>
                <w:szCs w:val="14"/>
                <w:color w:val="auto"/>
              </w:rPr>
              <w:t>21,035,054</w:t>
            </w:r>
          </w:p>
        </w:tc>
      </w:tr>
      <w:tr>
        <w:trPr>
          <w:trHeight w:val="178"/>
        </w:trPr>
        <w:tc>
          <w:tcPr>
            <w:tcW w:w="4800" w:type="dxa"/>
            <w:vAlign w:val="bottom"/>
          </w:tcPr>
          <w:p>
            <w:pPr>
              <w:spacing w:after="0"/>
              <w:rPr>
                <w:sz w:val="20"/>
                <w:szCs w:val="20"/>
                <w:color w:val="auto"/>
              </w:rPr>
            </w:pPr>
            <w:r>
              <w:rPr>
                <w:rFonts w:ascii="Arial" w:cs="Arial" w:eastAsia="Arial" w:hAnsi="Arial"/>
                <w:sz w:val="14"/>
                <w:szCs w:val="14"/>
                <w:color w:val="auto"/>
              </w:rPr>
              <w:t>Equity compensation plans not approved by security holders(1)</w:t>
            </w:r>
          </w:p>
        </w:tc>
        <w:tc>
          <w:tcPr>
            <w:tcW w:w="420" w:type="dxa"/>
            <w:vAlign w:val="bottom"/>
          </w:tcPr>
          <w:p>
            <w:pPr>
              <w:spacing w:after="0"/>
              <w:rPr>
                <w:sz w:val="15"/>
                <w:szCs w:val="15"/>
                <w:color w:val="auto"/>
              </w:rPr>
            </w:pPr>
          </w:p>
        </w:tc>
        <w:tc>
          <w:tcPr>
            <w:tcW w:w="1760" w:type="dxa"/>
            <w:vAlign w:val="bottom"/>
          </w:tcPr>
          <w:p>
            <w:pPr>
              <w:ind w:left="1200"/>
              <w:spacing w:after="0"/>
              <w:rPr>
                <w:sz w:val="20"/>
                <w:szCs w:val="20"/>
                <w:color w:val="auto"/>
              </w:rPr>
            </w:pPr>
            <w:r>
              <w:rPr>
                <w:rFonts w:ascii="Arial" w:cs="Arial" w:eastAsia="Arial" w:hAnsi="Arial"/>
                <w:sz w:val="14"/>
                <w:szCs w:val="14"/>
                <w:color w:val="auto"/>
              </w:rPr>
              <w:t>N/A</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4"/>
                <w:szCs w:val="14"/>
                <w:color w:val="auto"/>
              </w:rPr>
              <w:t>N/A</w:t>
            </w:r>
          </w:p>
        </w:tc>
        <w:tc>
          <w:tcPr>
            <w:tcW w:w="1820" w:type="dxa"/>
            <w:vAlign w:val="bottom"/>
          </w:tcPr>
          <w:p>
            <w:pPr>
              <w:jc w:val="right"/>
              <w:ind w:right="579"/>
              <w:spacing w:after="0"/>
              <w:rPr>
                <w:sz w:val="20"/>
                <w:szCs w:val="20"/>
                <w:color w:val="auto"/>
              </w:rPr>
            </w:pPr>
            <w:r>
              <w:rPr>
                <w:rFonts w:ascii="Arial" w:cs="Arial" w:eastAsia="Arial" w:hAnsi="Arial"/>
                <w:sz w:val="14"/>
                <w:szCs w:val="14"/>
                <w:color w:val="auto"/>
              </w:rPr>
              <w:t>N/A</w:t>
            </w:r>
          </w:p>
        </w:tc>
      </w:tr>
      <w:tr>
        <w:trPr>
          <w:trHeight w:val="178"/>
        </w:trPr>
        <w:tc>
          <w:tcPr>
            <w:tcW w:w="4800" w:type="dxa"/>
            <w:vAlign w:val="bottom"/>
            <w:shd w:val="clear" w:color="auto" w:fill="EEEEEE"/>
          </w:tcPr>
          <w:p>
            <w:pPr>
              <w:spacing w:after="0"/>
              <w:rPr>
                <w:sz w:val="20"/>
                <w:szCs w:val="20"/>
                <w:color w:val="auto"/>
              </w:rPr>
            </w:pPr>
            <w:r>
              <w:rPr>
                <w:rFonts w:ascii="Arial" w:cs="Arial" w:eastAsia="Arial" w:hAnsi="Arial"/>
                <w:sz w:val="14"/>
                <w:szCs w:val="14"/>
                <w:color w:val="auto"/>
              </w:rPr>
              <w:t>Total</w:t>
            </w:r>
          </w:p>
        </w:tc>
        <w:tc>
          <w:tcPr>
            <w:tcW w:w="2180" w:type="dxa"/>
            <w:vAlign w:val="bottom"/>
            <w:gridSpan w:val="2"/>
            <w:shd w:val="clear" w:color="auto" w:fill="EEEEEE"/>
          </w:tcPr>
          <w:p>
            <w:pPr>
              <w:jc w:val="center"/>
              <w:ind w:left="848"/>
              <w:spacing w:after="0"/>
              <w:rPr>
                <w:sz w:val="20"/>
                <w:szCs w:val="20"/>
                <w:color w:val="auto"/>
              </w:rPr>
            </w:pPr>
            <w:r>
              <w:rPr>
                <w:rFonts w:ascii="Arial" w:cs="Arial" w:eastAsia="Arial" w:hAnsi="Arial"/>
                <w:sz w:val="14"/>
                <w:szCs w:val="14"/>
                <w:color w:val="auto"/>
                <w:w w:val="94"/>
              </w:rPr>
              <w:t>37,195,769</w:t>
            </w:r>
          </w:p>
        </w:tc>
        <w:tc>
          <w:tcPr>
            <w:tcW w:w="2240" w:type="dxa"/>
            <w:vAlign w:val="bottom"/>
            <w:gridSpan w:val="3"/>
            <w:shd w:val="clear" w:color="auto" w:fill="EEEEEE"/>
          </w:tcPr>
          <w:p>
            <w:pPr>
              <w:jc w:val="right"/>
              <w:ind w:right="502"/>
              <w:spacing w:after="0"/>
              <w:rPr>
                <w:sz w:val="20"/>
                <w:szCs w:val="20"/>
                <w:color w:val="auto"/>
              </w:rPr>
            </w:pPr>
            <w:r>
              <w:rPr>
                <w:rFonts w:ascii="Arial" w:cs="Arial" w:eastAsia="Arial" w:hAnsi="Arial"/>
                <w:sz w:val="14"/>
                <w:szCs w:val="14"/>
                <w:color w:val="auto"/>
              </w:rPr>
              <w:t>$15.28</w:t>
            </w:r>
          </w:p>
        </w:tc>
        <w:tc>
          <w:tcPr>
            <w:tcW w:w="420" w:type="dxa"/>
            <w:vAlign w:val="bottom"/>
            <w:shd w:val="clear" w:color="auto" w:fill="EEEEEE"/>
          </w:tcPr>
          <w:p>
            <w:pPr>
              <w:spacing w:after="0"/>
              <w:rPr>
                <w:sz w:val="15"/>
                <w:szCs w:val="15"/>
                <w:color w:val="auto"/>
              </w:rPr>
            </w:pPr>
          </w:p>
        </w:tc>
        <w:tc>
          <w:tcPr>
            <w:tcW w:w="1820" w:type="dxa"/>
            <w:vAlign w:val="bottom"/>
            <w:shd w:val="clear" w:color="auto" w:fill="EEEEEE"/>
          </w:tcPr>
          <w:p>
            <w:pPr>
              <w:jc w:val="right"/>
              <w:ind w:right="579"/>
              <w:spacing w:after="0"/>
              <w:rPr>
                <w:sz w:val="20"/>
                <w:szCs w:val="20"/>
                <w:color w:val="auto"/>
              </w:rPr>
            </w:pPr>
            <w:r>
              <w:rPr>
                <w:rFonts w:ascii="Arial" w:cs="Arial" w:eastAsia="Arial" w:hAnsi="Arial"/>
                <w:sz w:val="14"/>
                <w:szCs w:val="14"/>
                <w:color w:val="auto"/>
              </w:rPr>
              <w:t>21,035,054</w:t>
            </w:r>
          </w:p>
        </w:tc>
      </w:tr>
      <w:tr>
        <w:trPr>
          <w:trHeight w:val="354"/>
        </w:trPr>
        <w:tc>
          <w:tcPr>
            <w:tcW w:w="4800" w:type="dxa"/>
            <w:vAlign w:val="bottom"/>
          </w:tcPr>
          <w:p>
            <w:pPr>
              <w:ind w:left="360"/>
              <w:spacing w:after="0"/>
              <w:rPr>
                <w:sz w:val="20"/>
                <w:szCs w:val="20"/>
                <w:color w:val="auto"/>
              </w:rPr>
            </w:pPr>
            <w:r>
              <w:rPr>
                <w:rFonts w:ascii="Arial" w:cs="Arial" w:eastAsia="Arial" w:hAnsi="Arial"/>
                <w:sz w:val="14"/>
                <w:szCs w:val="14"/>
                <w:color w:val="auto"/>
              </w:rPr>
              <w:t>(1) There are no plans that are not subject to shareholder approval.</w:t>
            </w:r>
          </w:p>
        </w:tc>
        <w:tc>
          <w:tcPr>
            <w:tcW w:w="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173" w:lineRule="exact"/>
        <w:rPr>
          <w:sz w:val="20"/>
          <w:szCs w:val="20"/>
          <w:color w:val="auto"/>
        </w:rPr>
      </w:pPr>
    </w:p>
    <w:p>
      <w:pPr>
        <w:ind w:left="360" w:right="560"/>
        <w:spacing w:after="0" w:line="298" w:lineRule="auto"/>
        <w:rPr>
          <w:sz w:val="20"/>
          <w:szCs w:val="20"/>
          <w:color w:val="auto"/>
        </w:rPr>
      </w:pPr>
      <w:r>
        <w:rPr>
          <w:rFonts w:ascii="Arial" w:cs="Arial" w:eastAsia="Arial" w:hAnsi="Arial"/>
          <w:sz w:val="14"/>
          <w:szCs w:val="14"/>
          <w:color w:val="auto"/>
        </w:rPr>
        <w:t>For additional information concerning our equity compensation plans, see Note E to our consolidated financial statements, on page 29 of our Annual Report, which is incorporated by reference.</w:t>
      </w:r>
    </w:p>
    <w:p>
      <w:pPr>
        <w:spacing w:after="0" w:line="134"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ITEM 13.</w:t>
      </w:r>
      <w:r>
        <w:rPr>
          <w:sz w:val="20"/>
          <w:szCs w:val="20"/>
          <w:color w:val="auto"/>
        </w:rPr>
        <w:tab/>
      </w:r>
      <w:r>
        <w:rPr>
          <w:rFonts w:ascii="Arial" w:cs="Arial" w:eastAsia="Arial" w:hAnsi="Arial"/>
          <w:sz w:val="12"/>
          <w:szCs w:val="12"/>
          <w:color w:val="auto"/>
        </w:rPr>
        <w:t>Certain Relationships and Related Transactions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information required by this Item is incorporated by reference from page 18 of the Proxy Statement, under the caption “Retirement Plans.”</w:t>
      </w:r>
    </w:p>
    <w:p>
      <w:pPr>
        <w:spacing w:after="0" w:line="195"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ITEM 14.</w:t>
      </w:r>
      <w:r>
        <w:rPr>
          <w:sz w:val="20"/>
          <w:szCs w:val="20"/>
          <w:color w:val="auto"/>
        </w:rPr>
        <w:tab/>
      </w:r>
      <w:r>
        <w:rPr>
          <w:rFonts w:ascii="Arial" w:cs="Arial" w:eastAsia="Arial" w:hAnsi="Arial"/>
          <w:sz w:val="12"/>
          <w:szCs w:val="12"/>
          <w:color w:val="auto"/>
        </w:rPr>
        <w:t>Controls and Procedures</w:t>
      </w:r>
    </w:p>
    <w:p>
      <w:pPr>
        <w:spacing w:after="0" w:line="195" w:lineRule="exact"/>
        <w:rPr>
          <w:sz w:val="20"/>
          <w:szCs w:val="20"/>
          <w:color w:val="auto"/>
        </w:rPr>
      </w:pPr>
    </w:p>
    <w:p>
      <w:pPr>
        <w:ind w:left="700" w:right="40"/>
        <w:spacing w:after="0" w:line="270" w:lineRule="auto"/>
        <w:rPr>
          <w:sz w:val="20"/>
          <w:szCs w:val="20"/>
          <w:color w:val="auto"/>
        </w:rPr>
      </w:pPr>
      <w:r>
        <w:rPr>
          <w:rFonts w:ascii="Arial" w:cs="Arial" w:eastAsia="Arial" w:hAnsi="Arial"/>
          <w:sz w:val="14"/>
          <w:szCs w:val="14"/>
          <w:color w:val="auto"/>
        </w:rPr>
        <w:t>Within the 90 days prior to the date of this report,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pursuant to Rule 13a-14 and 15d-14 of the Securities Exchange Act of 1934, as amended. Based upon that evaluation, the Chief Executive Officer and Chief Financial Officer concluded that the Company’s disclosure controls and procedures are effective in ensuring that all material information required to be filed in this annual report has been made known to them in a timely fashion. There have been no significant changes in internal controls, or in other factors that could significantly affect internal controls, subsequent to the date the Chief Executive Officer and Chief Financial Officer completed their evaluation, nor were there any significant deficiencies or material weaknesses in the Company’s internal controls. As a result, no corrective actions were required or undertaken.</w:t>
      </w:r>
    </w:p>
    <w:p>
      <w:pPr>
        <w:spacing w:after="0" w:line="156"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ITEM 15.</w:t>
      </w:r>
      <w:r>
        <w:rPr>
          <w:sz w:val="20"/>
          <w:szCs w:val="20"/>
          <w:color w:val="auto"/>
        </w:rPr>
        <w:tab/>
      </w:r>
      <w:r>
        <w:rPr>
          <w:rFonts w:ascii="Arial" w:cs="Arial" w:eastAsia="Arial" w:hAnsi="Arial"/>
          <w:sz w:val="13"/>
          <w:szCs w:val="13"/>
          <w:color w:val="auto"/>
        </w:rPr>
        <w:t>Principal Accountant Fees and Services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information required by this Item is incorporated by reference from page 8 of the Proxy Statement, under the caption “Audit Committee Report.”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PART IV</w:t>
      </w:r>
    </w:p>
    <w:p>
      <w:pPr>
        <w:spacing w:after="0" w:line="195"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color w:val="auto"/>
        </w:rPr>
        <w:t>ITEM 16.</w:t>
      </w:r>
      <w:r>
        <w:rPr>
          <w:sz w:val="20"/>
          <w:szCs w:val="20"/>
          <w:color w:val="auto"/>
        </w:rPr>
        <w:tab/>
      </w:r>
      <w:r>
        <w:rPr>
          <w:rFonts w:ascii="Arial" w:cs="Arial" w:eastAsia="Arial" w:hAnsi="Arial"/>
          <w:sz w:val="13"/>
          <w:szCs w:val="13"/>
          <w:color w:val="auto"/>
        </w:rPr>
        <w:t>Exhibits, Financial Statement Schedules, and Reports on Form 8-K</w:t>
      </w:r>
    </w:p>
    <w:p>
      <w:pPr>
        <w:spacing w:after="0" w:line="195" w:lineRule="exact"/>
        <w:rPr>
          <w:sz w:val="20"/>
          <w:szCs w:val="20"/>
          <w:color w:val="auto"/>
        </w:rPr>
      </w:pPr>
    </w:p>
    <w:p>
      <w:pPr>
        <w:ind w:left="1180" w:hanging="503"/>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Financial Statement Schedules</w:t>
      </w:r>
    </w:p>
    <w:p>
      <w:pPr>
        <w:spacing w:after="0" w:line="373" w:lineRule="exact"/>
        <w:rPr>
          <w:rFonts w:ascii="Arial" w:cs="Arial" w:eastAsia="Arial" w:hAnsi="Arial"/>
          <w:sz w:val="14"/>
          <w:szCs w:val="14"/>
          <w:color w:val="auto"/>
        </w:rPr>
      </w:pPr>
    </w:p>
    <w:p>
      <w:pPr>
        <w:ind w:left="1180"/>
        <w:spacing w:after="0"/>
        <w:rPr>
          <w:rFonts w:ascii="Arial" w:cs="Arial" w:eastAsia="Arial" w:hAnsi="Arial"/>
          <w:sz w:val="14"/>
          <w:szCs w:val="14"/>
          <w:color w:val="auto"/>
        </w:rPr>
      </w:pPr>
      <w:r>
        <w:rPr>
          <w:rFonts w:ascii="Arial" w:cs="Arial" w:eastAsia="Arial" w:hAnsi="Arial"/>
          <w:sz w:val="14"/>
          <w:szCs w:val="14"/>
          <w:color w:val="auto"/>
        </w:rPr>
        <w:t>The Financial Statements filed as part of this report are listed and indexed at Page F-1.</w:t>
      </w:r>
    </w:p>
    <w:p>
      <w:pPr>
        <w:spacing w:after="0" w:line="195" w:lineRule="exact"/>
        <w:rPr>
          <w:rFonts w:ascii="Arial" w:cs="Arial" w:eastAsia="Arial" w:hAnsi="Arial"/>
          <w:sz w:val="14"/>
          <w:szCs w:val="14"/>
          <w:color w:val="auto"/>
        </w:rPr>
      </w:pPr>
    </w:p>
    <w:p>
      <w:pPr>
        <w:ind w:left="1180" w:hanging="503"/>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Reports on Form 8-K</w:t>
      </w:r>
    </w:p>
    <w:p>
      <w:pPr>
        <w:spacing w:after="0" w:line="195" w:lineRule="exact"/>
        <w:rPr>
          <w:rFonts w:ascii="Arial" w:cs="Arial" w:eastAsia="Arial" w:hAnsi="Arial"/>
          <w:sz w:val="14"/>
          <w:szCs w:val="14"/>
          <w:color w:val="auto"/>
        </w:rPr>
      </w:pPr>
    </w:p>
    <w:p>
      <w:pPr>
        <w:ind w:left="1180"/>
        <w:spacing w:after="0"/>
        <w:rPr>
          <w:rFonts w:ascii="Arial" w:cs="Arial" w:eastAsia="Arial" w:hAnsi="Arial"/>
          <w:sz w:val="14"/>
          <w:szCs w:val="14"/>
          <w:color w:val="auto"/>
        </w:rPr>
      </w:pPr>
      <w:r>
        <w:rPr>
          <w:rFonts w:ascii="Arial" w:cs="Arial" w:eastAsia="Arial" w:hAnsi="Arial"/>
          <w:sz w:val="14"/>
          <w:szCs w:val="14"/>
          <w:color w:val="auto"/>
        </w:rPr>
        <w:t>TJX did not file any Current Reports on Form 8-K during the fourth quarter of fiscal 2003.</w:t>
      </w:r>
    </w:p>
    <w:p>
      <w:pPr>
        <w:spacing w:after="0" w:line="195" w:lineRule="exact"/>
        <w:rPr>
          <w:rFonts w:ascii="Arial" w:cs="Arial" w:eastAsia="Arial" w:hAnsi="Arial"/>
          <w:sz w:val="14"/>
          <w:szCs w:val="14"/>
          <w:color w:val="auto"/>
        </w:rPr>
      </w:pPr>
    </w:p>
    <w:p>
      <w:pPr>
        <w:ind w:left="1180" w:hanging="503"/>
        <w:spacing w:after="0"/>
        <w:tabs>
          <w:tab w:leader="none" w:pos="1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Exhibits</w:t>
      </w:r>
    </w:p>
    <w:p>
      <w:pPr>
        <w:spacing w:after="0" w:line="195" w:lineRule="exact"/>
        <w:rPr>
          <w:rFonts w:ascii="Arial" w:cs="Arial" w:eastAsia="Arial" w:hAnsi="Arial"/>
          <w:sz w:val="14"/>
          <w:szCs w:val="14"/>
          <w:color w:val="auto"/>
        </w:rPr>
      </w:pPr>
    </w:p>
    <w:p>
      <w:pPr>
        <w:ind w:left="1180" w:right="160"/>
        <w:spacing w:after="0" w:line="298" w:lineRule="auto"/>
        <w:rPr>
          <w:rFonts w:ascii="Arial" w:cs="Arial" w:eastAsia="Arial" w:hAnsi="Arial"/>
          <w:sz w:val="14"/>
          <w:szCs w:val="14"/>
          <w:color w:val="auto"/>
        </w:rPr>
      </w:pPr>
      <w:r>
        <w:rPr>
          <w:rFonts w:ascii="Arial" w:cs="Arial" w:eastAsia="Arial" w:hAnsi="Arial"/>
          <w:sz w:val="14"/>
          <w:szCs w:val="14"/>
          <w:color w:val="auto"/>
        </w:rPr>
        <w:t>Listed below are all exhibits filed as part of this report. Some exhibits are filed by the Registrant with the Securities and Exchange Commission pursuant to Rule 12b-32 under the Securities Exchange Act of 1934, as amended.</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44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8"/>
              </w:rPr>
              <w:t>Exhibit</w:t>
            </w:r>
          </w:p>
        </w:tc>
        <w:tc>
          <w:tcPr>
            <w:tcW w:w="4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143"/>
        </w:trPr>
        <w:tc>
          <w:tcPr>
            <w:tcW w:w="144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0"/>
              </w:rPr>
              <w:t>No.</w:t>
            </w:r>
          </w:p>
        </w:tc>
        <w:tc>
          <w:tcPr>
            <w:tcW w:w="420" w:type="dxa"/>
            <w:vAlign w:val="bottom"/>
          </w:tcPr>
          <w:p>
            <w:pPr>
              <w:spacing w:after="0"/>
              <w:rPr>
                <w:sz w:val="12"/>
                <w:szCs w:val="12"/>
                <w:color w:val="auto"/>
              </w:rPr>
            </w:pPr>
          </w:p>
        </w:tc>
        <w:tc>
          <w:tcPr>
            <w:tcW w:w="7280" w:type="dxa"/>
            <w:vAlign w:val="bottom"/>
          </w:tcPr>
          <w:p>
            <w:pPr>
              <w:ind w:left="3120"/>
              <w:spacing w:after="0"/>
              <w:rPr>
                <w:sz w:val="20"/>
                <w:szCs w:val="20"/>
                <w:color w:val="auto"/>
              </w:rPr>
            </w:pPr>
            <w:r>
              <w:rPr>
                <w:rFonts w:ascii="Arial" w:cs="Arial" w:eastAsia="Arial" w:hAnsi="Arial"/>
                <w:sz w:val="11"/>
                <w:szCs w:val="11"/>
                <w:b w:val="1"/>
                <w:bCs w:val="1"/>
                <w:color w:val="auto"/>
              </w:rPr>
              <w:t>Description of Exhibit</w:t>
            </w:r>
          </w:p>
        </w:tc>
        <w:tc>
          <w:tcPr>
            <w:tcW w:w="1440" w:type="dxa"/>
            <w:vAlign w:val="bottom"/>
          </w:tcPr>
          <w:p>
            <w:pPr>
              <w:spacing w:after="0"/>
              <w:rPr>
                <w:sz w:val="12"/>
                <w:szCs w:val="12"/>
                <w:color w:val="auto"/>
              </w:rPr>
            </w:pPr>
          </w:p>
        </w:tc>
      </w:tr>
      <w:tr>
        <w:trPr>
          <w:trHeight w:val="79"/>
        </w:trPr>
        <w:tc>
          <w:tcPr>
            <w:tcW w:w="1440" w:type="dxa"/>
            <w:vAlign w:val="bottom"/>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420" w:type="dxa"/>
            <w:vAlign w:val="bottom"/>
          </w:tcPr>
          <w:p>
            <w:pPr>
              <w:spacing w:after="0"/>
              <w:rPr>
                <w:sz w:val="6"/>
                <w:szCs w:val="6"/>
                <w:color w:val="auto"/>
              </w:rPr>
            </w:pPr>
          </w:p>
        </w:tc>
        <w:tc>
          <w:tcPr>
            <w:tcW w:w="7280" w:type="dxa"/>
            <w:vAlign w:val="bottom"/>
            <w:tcBorders>
              <w:bottom w:val="single" w:sz="8" w:color="808080"/>
            </w:tcBorders>
          </w:tcPr>
          <w:p>
            <w:pPr>
              <w:spacing w:after="0"/>
              <w:rPr>
                <w:sz w:val="6"/>
                <w:szCs w:val="6"/>
                <w:color w:val="auto"/>
              </w:rPr>
            </w:pPr>
          </w:p>
        </w:tc>
        <w:tc>
          <w:tcPr>
            <w:tcW w:w="1440" w:type="dxa"/>
            <w:vAlign w:val="bottom"/>
          </w:tcPr>
          <w:p>
            <w:pPr>
              <w:spacing w:after="0"/>
              <w:rPr>
                <w:sz w:val="6"/>
                <w:szCs w:val="6"/>
                <w:color w:val="auto"/>
              </w:rPr>
            </w:pPr>
          </w:p>
        </w:tc>
      </w:tr>
      <w:tr>
        <w:trPr>
          <w:trHeight w:val="251"/>
        </w:trPr>
        <w:tc>
          <w:tcPr>
            <w:tcW w:w="2320" w:type="dxa"/>
            <w:vAlign w:val="bottom"/>
            <w:gridSpan w:val="2"/>
          </w:tcPr>
          <w:p>
            <w:pPr>
              <w:ind w:left="1440"/>
              <w:spacing w:after="0"/>
              <w:rPr>
                <w:sz w:val="20"/>
                <w:szCs w:val="20"/>
                <w:color w:val="auto"/>
              </w:rPr>
            </w:pPr>
            <w:r>
              <w:rPr>
                <w:rFonts w:ascii="Arial" w:cs="Arial" w:eastAsia="Arial" w:hAnsi="Arial"/>
                <w:sz w:val="14"/>
                <w:szCs w:val="14"/>
                <w:color w:val="auto"/>
              </w:rPr>
              <w:t>3(i).1</w:t>
            </w:r>
          </w:p>
        </w:tc>
        <w:tc>
          <w:tcPr>
            <w:tcW w:w="420" w:type="dxa"/>
            <w:vAlign w:val="bottom"/>
          </w:tcPr>
          <w:p>
            <w:pPr>
              <w:spacing w:after="0"/>
              <w:rPr>
                <w:sz w:val="21"/>
                <w:szCs w:val="21"/>
                <w:color w:val="auto"/>
              </w:rPr>
            </w:pPr>
          </w:p>
        </w:tc>
        <w:tc>
          <w:tcPr>
            <w:tcW w:w="7280" w:type="dxa"/>
            <w:vAlign w:val="bottom"/>
          </w:tcPr>
          <w:p>
            <w:pPr>
              <w:spacing w:after="0"/>
              <w:rPr>
                <w:sz w:val="20"/>
                <w:szCs w:val="20"/>
                <w:color w:val="auto"/>
              </w:rPr>
            </w:pPr>
            <w:r>
              <w:rPr>
                <w:rFonts w:ascii="Arial" w:cs="Arial" w:eastAsia="Arial" w:hAnsi="Arial"/>
                <w:sz w:val="14"/>
                <w:szCs w:val="14"/>
                <w:color w:val="auto"/>
              </w:rPr>
              <w:t>Fourth Restated Certificate of Incorporation is incorporated herein by reference to Exhibit 99.1 to the Form 8-A/A filed</w:t>
            </w:r>
          </w:p>
        </w:tc>
        <w:tc>
          <w:tcPr>
            <w:tcW w:w="1440" w:type="dxa"/>
            <w:vAlign w:val="bottom"/>
          </w:tcPr>
          <w:p>
            <w:pPr>
              <w:spacing w:after="0"/>
              <w:rPr>
                <w:sz w:val="21"/>
                <w:szCs w:val="21"/>
                <w:color w:val="auto"/>
              </w:rPr>
            </w:pPr>
          </w:p>
        </w:tc>
      </w:tr>
      <w:tr>
        <w:trPr>
          <w:trHeight w:val="183"/>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80" w:type="dxa"/>
            <w:vAlign w:val="bottom"/>
          </w:tcPr>
          <w:p>
            <w:pPr>
              <w:spacing w:after="0"/>
              <w:rPr>
                <w:sz w:val="20"/>
                <w:szCs w:val="20"/>
                <w:color w:val="auto"/>
              </w:rPr>
            </w:pPr>
            <w:r>
              <w:rPr>
                <w:rFonts w:ascii="Arial" w:cs="Arial" w:eastAsia="Arial" w:hAnsi="Arial"/>
                <w:sz w:val="14"/>
                <w:szCs w:val="14"/>
                <w:color w:val="auto"/>
              </w:rPr>
              <w:t>September 9, 1999.</w:t>
            </w:r>
          </w:p>
        </w:tc>
        <w:tc>
          <w:tcPr>
            <w:tcW w:w="1440" w:type="dxa"/>
            <w:vAlign w:val="bottom"/>
          </w:tcPr>
          <w:p>
            <w:pPr>
              <w:spacing w:after="0"/>
              <w:rPr>
                <w:sz w:val="15"/>
                <w:szCs w:val="15"/>
                <w:color w:val="auto"/>
              </w:rPr>
            </w:pPr>
          </w:p>
        </w:tc>
      </w:tr>
      <w:tr>
        <w:trPr>
          <w:trHeight w:val="351"/>
        </w:trPr>
        <w:tc>
          <w:tcPr>
            <w:tcW w:w="2320" w:type="dxa"/>
            <w:vAlign w:val="bottom"/>
            <w:gridSpan w:val="2"/>
          </w:tcPr>
          <w:p>
            <w:pPr>
              <w:ind w:left="1440"/>
              <w:spacing w:after="0"/>
              <w:rPr>
                <w:sz w:val="20"/>
                <w:szCs w:val="20"/>
                <w:color w:val="auto"/>
              </w:rPr>
            </w:pPr>
            <w:r>
              <w:rPr>
                <w:rFonts w:ascii="Arial" w:cs="Arial" w:eastAsia="Arial" w:hAnsi="Arial"/>
                <w:sz w:val="14"/>
                <w:szCs w:val="14"/>
                <w:color w:val="auto"/>
              </w:rPr>
              <w:t>3(ii).1</w:t>
            </w:r>
          </w:p>
        </w:tc>
        <w:tc>
          <w:tcPr>
            <w:tcW w:w="42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Arial" w:cs="Arial" w:eastAsia="Arial" w:hAnsi="Arial"/>
                <w:sz w:val="14"/>
                <w:szCs w:val="14"/>
                <w:color w:val="auto"/>
                <w:w w:val="95"/>
              </w:rPr>
              <w:t>The by-laws of TJX, as amended, are incorporated herein by reference to Exhibit 99.2 to the Form 8-A/A filed September 9,</w:t>
            </w:r>
          </w:p>
        </w:tc>
        <w:tc>
          <w:tcPr>
            <w:tcW w:w="1440" w:type="dxa"/>
            <w:vAlign w:val="bottom"/>
          </w:tcPr>
          <w:p>
            <w:pPr>
              <w:spacing w:after="0"/>
              <w:rPr>
                <w:sz w:val="24"/>
                <w:szCs w:val="24"/>
                <w:color w:val="auto"/>
              </w:rPr>
            </w:pPr>
          </w:p>
        </w:tc>
      </w:tr>
      <w:tr>
        <w:trPr>
          <w:trHeight w:val="183"/>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700" w:type="dxa"/>
            <w:vAlign w:val="bottom"/>
            <w:gridSpan w:val="2"/>
          </w:tcPr>
          <w:p>
            <w:pPr>
              <w:ind w:left="420"/>
              <w:spacing w:after="0"/>
              <w:rPr>
                <w:sz w:val="20"/>
                <w:szCs w:val="20"/>
                <w:color w:val="auto"/>
              </w:rPr>
            </w:pPr>
            <w:r>
              <w:rPr>
                <w:rFonts w:ascii="Arial" w:cs="Arial" w:eastAsia="Arial" w:hAnsi="Arial"/>
                <w:sz w:val="14"/>
                <w:szCs w:val="14"/>
                <w:color w:val="auto"/>
              </w:rPr>
              <w:t>1999.</w:t>
            </w:r>
          </w:p>
        </w:tc>
        <w:tc>
          <w:tcPr>
            <w:tcW w:w="1440" w:type="dxa"/>
            <w:vAlign w:val="bottom"/>
          </w:tcPr>
          <w:p>
            <w:pPr>
              <w:spacing w:after="0"/>
              <w:rPr>
                <w:sz w:val="15"/>
                <w:szCs w:val="15"/>
                <w:color w:val="auto"/>
              </w:rPr>
            </w:pPr>
          </w:p>
        </w:tc>
      </w:tr>
      <w:tr>
        <w:trPr>
          <w:trHeight w:val="351"/>
        </w:trPr>
        <w:tc>
          <w:tcPr>
            <w:tcW w:w="2320" w:type="dxa"/>
            <w:vAlign w:val="bottom"/>
            <w:gridSpan w:val="2"/>
          </w:tcPr>
          <w:p>
            <w:pPr>
              <w:ind w:left="1440"/>
              <w:spacing w:after="0"/>
              <w:rPr>
                <w:sz w:val="20"/>
                <w:szCs w:val="20"/>
                <w:color w:val="auto"/>
              </w:rPr>
            </w:pPr>
            <w:r>
              <w:rPr>
                <w:rFonts w:ascii="Arial" w:cs="Arial" w:eastAsia="Arial" w:hAnsi="Arial"/>
                <w:sz w:val="14"/>
                <w:szCs w:val="14"/>
                <w:color w:val="auto"/>
              </w:rPr>
              <w:t>4.1</w:t>
            </w:r>
          </w:p>
        </w:tc>
        <w:tc>
          <w:tcPr>
            <w:tcW w:w="42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Arial" w:cs="Arial" w:eastAsia="Arial" w:hAnsi="Arial"/>
                <w:sz w:val="14"/>
                <w:szCs w:val="14"/>
                <w:color w:val="auto"/>
                <w:w w:val="95"/>
              </w:rPr>
              <w:t>Indenture between TJX and The Bank of New York dated as of February 13, 2001, incorporated by reference to Exhibit 4.1</w:t>
            </w:r>
          </w:p>
        </w:tc>
        <w:tc>
          <w:tcPr>
            <w:tcW w:w="1440" w:type="dxa"/>
            <w:vAlign w:val="bottom"/>
          </w:tcPr>
          <w:p>
            <w:pPr>
              <w:spacing w:after="0"/>
              <w:rPr>
                <w:sz w:val="24"/>
                <w:szCs w:val="24"/>
                <w:color w:val="auto"/>
              </w:rPr>
            </w:pPr>
          </w:p>
        </w:tc>
      </w:tr>
      <w:tr>
        <w:trPr>
          <w:trHeight w:val="183"/>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80" w:type="dxa"/>
            <w:vAlign w:val="bottom"/>
          </w:tcPr>
          <w:p>
            <w:pPr>
              <w:spacing w:after="0"/>
              <w:rPr>
                <w:sz w:val="20"/>
                <w:szCs w:val="20"/>
                <w:color w:val="auto"/>
              </w:rPr>
            </w:pPr>
            <w:r>
              <w:rPr>
                <w:rFonts w:ascii="Arial" w:cs="Arial" w:eastAsia="Arial" w:hAnsi="Arial"/>
                <w:sz w:val="14"/>
                <w:szCs w:val="14"/>
                <w:color w:val="auto"/>
              </w:rPr>
              <w:t>of the Registration Statement on Form S-3 filed on May 9, 2001.</w:t>
            </w:r>
          </w:p>
        </w:tc>
        <w:tc>
          <w:tcPr>
            <w:tcW w:w="1440" w:type="dxa"/>
            <w:vAlign w:val="bottom"/>
          </w:tcPr>
          <w:p>
            <w:pPr>
              <w:spacing w:after="0"/>
              <w:rPr>
                <w:sz w:val="15"/>
                <w:szCs w:val="15"/>
                <w:color w:val="auto"/>
              </w:rPr>
            </w:pPr>
          </w:p>
        </w:tc>
      </w:tr>
      <w:tr>
        <w:trPr>
          <w:trHeight w:val="351"/>
        </w:trPr>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Arial" w:cs="Arial" w:eastAsia="Arial" w:hAnsi="Arial"/>
                <w:sz w:val="14"/>
                <w:szCs w:val="14"/>
                <w:color w:val="auto"/>
                <w:w w:val="94"/>
              </w:rPr>
              <w:t>Each other instrument relates to long-term debt securities the total amount of which does not exceed 10% of the total assets</w:t>
            </w:r>
          </w:p>
        </w:tc>
        <w:tc>
          <w:tcPr>
            <w:tcW w:w="1440" w:type="dxa"/>
            <w:vAlign w:val="bottom"/>
          </w:tcPr>
          <w:p>
            <w:pPr>
              <w:spacing w:after="0"/>
              <w:rPr>
                <w:sz w:val="24"/>
                <w:szCs w:val="24"/>
                <w:color w:val="auto"/>
              </w:rPr>
            </w:pPr>
          </w:p>
        </w:tc>
      </w:tr>
      <w:tr>
        <w:trPr>
          <w:trHeight w:val="178"/>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80" w:type="dxa"/>
            <w:vAlign w:val="bottom"/>
          </w:tcPr>
          <w:p>
            <w:pPr>
              <w:spacing w:after="0"/>
              <w:rPr>
                <w:sz w:val="20"/>
                <w:szCs w:val="20"/>
                <w:color w:val="auto"/>
              </w:rPr>
            </w:pPr>
            <w:r>
              <w:rPr>
                <w:rFonts w:ascii="Arial" w:cs="Arial" w:eastAsia="Arial" w:hAnsi="Arial"/>
                <w:sz w:val="14"/>
                <w:szCs w:val="14"/>
                <w:color w:val="auto"/>
                <w:w w:val="93"/>
              </w:rPr>
              <w:t>of TJX and its subsidiaries on a consolidated basis. TJX agrees to furnish to the Securities and Exchange Commission copies</w:t>
            </w:r>
          </w:p>
        </w:tc>
        <w:tc>
          <w:tcPr>
            <w:tcW w:w="144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80" w:type="dxa"/>
            <w:vAlign w:val="bottom"/>
          </w:tcPr>
          <w:p>
            <w:pPr>
              <w:spacing w:after="0"/>
              <w:rPr>
                <w:sz w:val="20"/>
                <w:szCs w:val="20"/>
                <w:color w:val="auto"/>
              </w:rPr>
            </w:pPr>
            <w:r>
              <w:rPr>
                <w:rFonts w:ascii="Arial" w:cs="Arial" w:eastAsia="Arial" w:hAnsi="Arial"/>
                <w:sz w:val="14"/>
                <w:szCs w:val="14"/>
                <w:color w:val="auto"/>
              </w:rPr>
              <w:t>of each such instrument not otherwise filed herewith or incorporated herein by reference.</w:t>
            </w:r>
          </w:p>
        </w:tc>
        <w:tc>
          <w:tcPr>
            <w:tcW w:w="1440" w:type="dxa"/>
            <w:vAlign w:val="bottom"/>
          </w:tcPr>
          <w:p>
            <w:pPr>
              <w:spacing w:after="0"/>
              <w:rPr>
                <w:sz w:val="15"/>
                <w:szCs w:val="15"/>
                <w:color w:val="auto"/>
              </w:rPr>
            </w:pPr>
          </w:p>
        </w:tc>
      </w:tr>
      <w:tr>
        <w:trPr>
          <w:trHeight w:val="351"/>
        </w:trPr>
        <w:tc>
          <w:tcPr>
            <w:tcW w:w="2320" w:type="dxa"/>
            <w:vAlign w:val="bottom"/>
            <w:gridSpan w:val="2"/>
          </w:tcPr>
          <w:p>
            <w:pPr>
              <w:ind w:left="1440"/>
              <w:spacing w:after="0"/>
              <w:rPr>
                <w:sz w:val="20"/>
                <w:szCs w:val="20"/>
                <w:color w:val="auto"/>
              </w:rPr>
            </w:pPr>
            <w:r>
              <w:rPr>
                <w:rFonts w:ascii="Arial" w:cs="Arial" w:eastAsia="Arial" w:hAnsi="Arial"/>
                <w:sz w:val="14"/>
                <w:szCs w:val="14"/>
                <w:color w:val="auto"/>
              </w:rPr>
              <w:t>10.1</w:t>
            </w:r>
          </w:p>
        </w:tc>
        <w:tc>
          <w:tcPr>
            <w:tcW w:w="42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Arial" w:cs="Arial" w:eastAsia="Arial" w:hAnsi="Arial"/>
                <w:sz w:val="14"/>
                <w:szCs w:val="14"/>
                <w:color w:val="auto"/>
                <w:w w:val="96"/>
              </w:rPr>
              <w:t>Five-Year Revolving Credit Agreement dated as of March 26, 2002 among the financial institutions as lenders, Bank One,</w:t>
            </w:r>
          </w:p>
        </w:tc>
        <w:tc>
          <w:tcPr>
            <w:tcW w:w="1440" w:type="dxa"/>
            <w:vAlign w:val="bottom"/>
          </w:tcPr>
          <w:p>
            <w:pPr>
              <w:spacing w:after="0"/>
              <w:rPr>
                <w:sz w:val="24"/>
                <w:szCs w:val="24"/>
                <w:color w:val="auto"/>
              </w:rPr>
            </w:pPr>
          </w:p>
        </w:tc>
      </w:tr>
      <w:tr>
        <w:trPr>
          <w:trHeight w:val="178"/>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80" w:type="dxa"/>
            <w:vAlign w:val="bottom"/>
          </w:tcPr>
          <w:p>
            <w:pPr>
              <w:spacing w:after="0"/>
              <w:rPr>
                <w:sz w:val="20"/>
                <w:szCs w:val="20"/>
                <w:color w:val="auto"/>
              </w:rPr>
            </w:pPr>
            <w:r>
              <w:rPr>
                <w:rFonts w:ascii="Arial" w:cs="Arial" w:eastAsia="Arial" w:hAnsi="Arial"/>
                <w:sz w:val="14"/>
                <w:szCs w:val="14"/>
                <w:color w:val="auto"/>
                <w:w w:val="94"/>
              </w:rPr>
              <w:t>NA, Fleet National Bank, The Bank of New York, Bank of America, N.A. and JPMorgan Chase Bank, as co-agents, and TJX</w:t>
            </w:r>
          </w:p>
        </w:tc>
        <w:tc>
          <w:tcPr>
            <w:tcW w:w="1440" w:type="dxa"/>
            <w:vAlign w:val="bottom"/>
          </w:tcPr>
          <w:p>
            <w:pPr>
              <w:spacing w:after="0"/>
              <w:rPr>
                <w:sz w:val="15"/>
                <w:szCs w:val="15"/>
                <w:color w:val="auto"/>
              </w:rPr>
            </w:pPr>
          </w:p>
        </w:tc>
      </w:tr>
      <w:tr>
        <w:trPr>
          <w:trHeight w:val="178"/>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80" w:type="dxa"/>
            <w:vAlign w:val="bottom"/>
          </w:tcPr>
          <w:p>
            <w:pPr>
              <w:spacing w:after="0"/>
              <w:rPr>
                <w:sz w:val="20"/>
                <w:szCs w:val="20"/>
                <w:color w:val="auto"/>
              </w:rPr>
            </w:pPr>
            <w:r>
              <w:rPr>
                <w:rFonts w:ascii="Arial" w:cs="Arial" w:eastAsia="Arial" w:hAnsi="Arial"/>
                <w:sz w:val="14"/>
                <w:szCs w:val="14"/>
                <w:color w:val="auto"/>
                <w:w w:val="94"/>
              </w:rPr>
              <w:t>is incorporated herein by reference to Exhibit 10.1 to the Form 10-K for the fiscal year ended January 26, 2002. Amendment</w:t>
            </w:r>
          </w:p>
        </w:tc>
        <w:tc>
          <w:tcPr>
            <w:tcW w:w="1440" w:type="dxa"/>
            <w:vAlign w:val="bottom"/>
          </w:tcPr>
          <w:p>
            <w:pPr>
              <w:spacing w:after="0"/>
              <w:rPr>
                <w:sz w:val="15"/>
                <w:szCs w:val="15"/>
                <w:color w:val="auto"/>
              </w:rPr>
            </w:pPr>
          </w:p>
        </w:tc>
      </w:tr>
      <w:tr>
        <w:trPr>
          <w:trHeight w:val="178"/>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80" w:type="dxa"/>
            <w:vAlign w:val="bottom"/>
          </w:tcPr>
          <w:p>
            <w:pPr>
              <w:spacing w:after="0"/>
              <w:rPr>
                <w:sz w:val="20"/>
                <w:szCs w:val="20"/>
                <w:color w:val="auto"/>
              </w:rPr>
            </w:pPr>
            <w:r>
              <w:rPr>
                <w:rFonts w:ascii="Arial" w:cs="Arial" w:eastAsia="Arial" w:hAnsi="Arial"/>
                <w:sz w:val="14"/>
                <w:szCs w:val="14"/>
                <w:color w:val="auto"/>
              </w:rPr>
              <w:t>No. 1 to the Five-Year Revolving Credit Agreement, dated as of May 3, 2002 is incorporated herein by reference to</w:t>
            </w:r>
          </w:p>
        </w:tc>
        <w:tc>
          <w:tcPr>
            <w:tcW w:w="1440" w:type="dxa"/>
            <w:vAlign w:val="bottom"/>
          </w:tcPr>
          <w:p>
            <w:pPr>
              <w:spacing w:after="0"/>
              <w:rPr>
                <w:sz w:val="15"/>
                <w:szCs w:val="15"/>
                <w:color w:val="auto"/>
              </w:rPr>
            </w:pPr>
          </w:p>
        </w:tc>
      </w:tr>
      <w:tr>
        <w:trPr>
          <w:trHeight w:val="178"/>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80" w:type="dxa"/>
            <w:vAlign w:val="bottom"/>
          </w:tcPr>
          <w:p>
            <w:pPr>
              <w:spacing w:after="0"/>
              <w:rPr>
                <w:sz w:val="20"/>
                <w:szCs w:val="20"/>
                <w:color w:val="auto"/>
              </w:rPr>
            </w:pPr>
            <w:r>
              <w:rPr>
                <w:rFonts w:ascii="Arial" w:cs="Arial" w:eastAsia="Arial" w:hAnsi="Arial"/>
                <w:sz w:val="14"/>
                <w:szCs w:val="14"/>
                <w:color w:val="auto"/>
                <w:w w:val="99"/>
              </w:rPr>
              <w:t>Exhibit 10.1 to the Form 10-Q filed for the quarter ended April 27, 2002. Amendment No. 2 to the Five-Year Revolving</w:t>
            </w:r>
          </w:p>
        </w:tc>
        <w:tc>
          <w:tcPr>
            <w:tcW w:w="1440" w:type="dxa"/>
            <w:vAlign w:val="bottom"/>
          </w:tcPr>
          <w:p>
            <w:pPr>
              <w:spacing w:after="0"/>
              <w:rPr>
                <w:sz w:val="15"/>
                <w:szCs w:val="15"/>
                <w:color w:val="auto"/>
              </w:rPr>
            </w:pPr>
          </w:p>
        </w:tc>
      </w:tr>
      <w:tr>
        <w:trPr>
          <w:trHeight w:val="178"/>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80" w:type="dxa"/>
            <w:vAlign w:val="bottom"/>
          </w:tcPr>
          <w:p>
            <w:pPr>
              <w:spacing w:after="0"/>
              <w:rPr>
                <w:sz w:val="20"/>
                <w:szCs w:val="20"/>
                <w:color w:val="auto"/>
              </w:rPr>
            </w:pPr>
            <w:r>
              <w:rPr>
                <w:rFonts w:ascii="Arial" w:cs="Arial" w:eastAsia="Arial" w:hAnsi="Arial"/>
                <w:sz w:val="14"/>
                <w:szCs w:val="14"/>
                <w:color w:val="auto"/>
                <w:w w:val="94"/>
              </w:rPr>
              <w:t>Credit Agreement, dated as of July 19, 2002 is incorporated herein by reference to Exhibit 10.1 to the Form 10-Q filed for the</w:t>
            </w:r>
          </w:p>
        </w:tc>
        <w:tc>
          <w:tcPr>
            <w:tcW w:w="144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80" w:type="dxa"/>
            <w:vAlign w:val="bottom"/>
          </w:tcPr>
          <w:p>
            <w:pPr>
              <w:spacing w:after="0"/>
              <w:rPr>
                <w:sz w:val="20"/>
                <w:szCs w:val="20"/>
                <w:color w:val="auto"/>
              </w:rPr>
            </w:pPr>
            <w:r>
              <w:rPr>
                <w:rFonts w:ascii="Arial" w:cs="Arial" w:eastAsia="Arial" w:hAnsi="Arial"/>
                <w:sz w:val="14"/>
                <w:szCs w:val="14"/>
                <w:color w:val="auto"/>
              </w:rPr>
              <w:t>quarter ended July 27, 2002.</w:t>
            </w:r>
          </w:p>
        </w:tc>
        <w:tc>
          <w:tcPr>
            <w:tcW w:w="1440" w:type="dxa"/>
            <w:vAlign w:val="bottom"/>
          </w:tcPr>
          <w:p>
            <w:pPr>
              <w:spacing w:after="0"/>
              <w:rPr>
                <w:sz w:val="15"/>
                <w:szCs w:val="15"/>
                <w:color w:val="auto"/>
              </w:rPr>
            </w:pPr>
          </w:p>
        </w:tc>
      </w:tr>
      <w:tr>
        <w:trPr>
          <w:trHeight w:val="351"/>
        </w:trPr>
        <w:tc>
          <w:tcPr>
            <w:tcW w:w="2320" w:type="dxa"/>
            <w:vAlign w:val="bottom"/>
            <w:gridSpan w:val="2"/>
          </w:tcPr>
          <w:p>
            <w:pPr>
              <w:ind w:left="1440"/>
              <w:spacing w:after="0"/>
              <w:rPr>
                <w:sz w:val="20"/>
                <w:szCs w:val="20"/>
                <w:color w:val="auto"/>
              </w:rPr>
            </w:pPr>
            <w:r>
              <w:rPr>
                <w:rFonts w:ascii="Arial" w:cs="Arial" w:eastAsia="Arial" w:hAnsi="Arial"/>
                <w:sz w:val="14"/>
                <w:szCs w:val="14"/>
                <w:color w:val="auto"/>
              </w:rPr>
              <w:t>10.2</w:t>
            </w:r>
          </w:p>
        </w:tc>
        <w:tc>
          <w:tcPr>
            <w:tcW w:w="420" w:type="dxa"/>
            <w:vAlign w:val="bottom"/>
          </w:tcPr>
          <w:p>
            <w:pPr>
              <w:spacing w:after="0"/>
              <w:rPr>
                <w:sz w:val="24"/>
                <w:szCs w:val="24"/>
                <w:color w:val="auto"/>
              </w:rPr>
            </w:pPr>
          </w:p>
        </w:tc>
        <w:tc>
          <w:tcPr>
            <w:tcW w:w="7280" w:type="dxa"/>
            <w:vAlign w:val="bottom"/>
          </w:tcPr>
          <w:p>
            <w:pPr>
              <w:spacing w:after="0"/>
              <w:rPr>
                <w:sz w:val="20"/>
                <w:szCs w:val="20"/>
                <w:color w:val="auto"/>
              </w:rPr>
            </w:pPr>
            <w:r>
              <w:rPr>
                <w:rFonts w:ascii="Arial" w:cs="Arial" w:eastAsia="Arial" w:hAnsi="Arial"/>
                <w:sz w:val="14"/>
                <w:szCs w:val="14"/>
                <w:color w:val="auto"/>
                <w:w w:val="94"/>
              </w:rPr>
              <w:t>364-day Revolving Credit Agreement dated as of March 26, 2002 among the financial institutions as lenders, Bank One, NA,</w:t>
            </w:r>
          </w:p>
        </w:tc>
        <w:tc>
          <w:tcPr>
            <w:tcW w:w="1440" w:type="dxa"/>
            <w:vAlign w:val="bottom"/>
          </w:tcPr>
          <w:p>
            <w:pPr>
              <w:spacing w:after="0"/>
              <w:rPr>
                <w:sz w:val="24"/>
                <w:szCs w:val="24"/>
                <w:color w:val="auto"/>
              </w:rPr>
            </w:pPr>
          </w:p>
        </w:tc>
      </w:tr>
      <w:tr>
        <w:trPr>
          <w:trHeight w:val="178"/>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80" w:type="dxa"/>
            <w:vAlign w:val="bottom"/>
          </w:tcPr>
          <w:p>
            <w:pPr>
              <w:spacing w:after="0"/>
              <w:rPr>
                <w:sz w:val="20"/>
                <w:szCs w:val="20"/>
                <w:color w:val="auto"/>
              </w:rPr>
            </w:pPr>
            <w:r>
              <w:rPr>
                <w:rFonts w:ascii="Arial" w:cs="Arial" w:eastAsia="Arial" w:hAnsi="Arial"/>
                <w:sz w:val="14"/>
                <w:szCs w:val="14"/>
                <w:color w:val="auto"/>
                <w:w w:val="96"/>
              </w:rPr>
              <w:t>Fleet National Bank, The Bank of New York, Bank of America, N.A. and JPMorgan Chase Bank, as co-agents, and TJX is</w:t>
            </w:r>
          </w:p>
        </w:tc>
        <w:tc>
          <w:tcPr>
            <w:tcW w:w="1440" w:type="dxa"/>
            <w:vAlign w:val="bottom"/>
          </w:tcPr>
          <w:p>
            <w:pPr>
              <w:spacing w:after="0"/>
              <w:rPr>
                <w:sz w:val="15"/>
                <w:szCs w:val="15"/>
                <w:color w:val="auto"/>
              </w:rPr>
            </w:pPr>
          </w:p>
        </w:tc>
      </w:tr>
      <w:tr>
        <w:trPr>
          <w:trHeight w:val="183"/>
        </w:trPr>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80" w:type="dxa"/>
            <w:vAlign w:val="bottom"/>
          </w:tcPr>
          <w:p>
            <w:pPr>
              <w:spacing w:after="0"/>
              <w:rPr>
                <w:sz w:val="20"/>
                <w:szCs w:val="20"/>
                <w:color w:val="auto"/>
              </w:rPr>
            </w:pPr>
            <w:r>
              <w:rPr>
                <w:rFonts w:ascii="Arial" w:cs="Arial" w:eastAsia="Arial" w:hAnsi="Arial"/>
                <w:sz w:val="14"/>
                <w:szCs w:val="14"/>
                <w:color w:val="auto"/>
              </w:rPr>
              <w:t>incorporated herein by reference to Exhibit 10.2 to the Form 10-K for the fiscal year ended January 26,</w:t>
            </w:r>
          </w:p>
        </w:tc>
        <w:tc>
          <w:tcPr>
            <w:tcW w:w="1440" w:type="dxa"/>
            <w:vAlign w:val="bottom"/>
          </w:tcPr>
          <w:p>
            <w:pPr>
              <w:spacing w:after="0"/>
              <w:rPr>
                <w:sz w:val="15"/>
                <w:szCs w:val="15"/>
                <w:color w:val="auto"/>
              </w:rPr>
            </w:pPr>
          </w:p>
        </w:tc>
      </w:tr>
      <w:tr>
        <w:trPr>
          <w:trHeight w:val="356"/>
        </w:trPr>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700" w:type="dxa"/>
            <w:vAlign w:val="bottom"/>
            <w:gridSpan w:val="2"/>
          </w:tcPr>
          <w:p>
            <w:pPr>
              <w:jc w:val="right"/>
              <w:ind w:right="4149"/>
              <w:spacing w:after="0"/>
              <w:rPr>
                <w:sz w:val="20"/>
                <w:szCs w:val="20"/>
                <w:color w:val="auto"/>
              </w:rPr>
            </w:pPr>
            <w:r>
              <w:rPr>
                <w:rFonts w:ascii="Arial" w:cs="Arial" w:eastAsia="Arial" w:hAnsi="Arial"/>
                <w:sz w:val="14"/>
                <w:szCs w:val="14"/>
                <w:color w:val="auto"/>
              </w:rPr>
              <w:t>15</w:t>
            </w:r>
          </w:p>
        </w:tc>
        <w:tc>
          <w:tcPr>
            <w:tcW w:w="1440" w:type="dxa"/>
            <w:vAlign w:val="bottom"/>
          </w:tcPr>
          <w:p>
            <w:pPr>
              <w:spacing w:after="0"/>
              <w:rPr>
                <w:sz w:val="24"/>
                <w:szCs w:val="24"/>
                <w:color w:val="auto"/>
              </w:rPr>
            </w:pPr>
          </w:p>
        </w:tc>
      </w:tr>
      <w:tr>
        <w:trPr>
          <w:trHeight w:val="187"/>
        </w:trPr>
        <w:tc>
          <w:tcPr>
            <w:tcW w:w="1440" w:type="dxa"/>
            <w:vAlign w:val="bottom"/>
            <w:tcBorders>
              <w:bottom w:val="single" w:sz="8" w:color="808080"/>
            </w:tcBorders>
          </w:tcPr>
          <w:p>
            <w:pPr>
              <w:spacing w:after="0"/>
              <w:rPr>
                <w:sz w:val="16"/>
                <w:szCs w:val="16"/>
                <w:color w:val="auto"/>
              </w:rPr>
            </w:pPr>
          </w:p>
        </w:tc>
        <w:tc>
          <w:tcPr>
            <w:tcW w:w="88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7280" w:type="dxa"/>
            <w:vAlign w:val="bottom"/>
            <w:tcBorders>
              <w:bottom w:val="single" w:sz="8" w:color="808080"/>
            </w:tcBorders>
          </w:tcPr>
          <w:p>
            <w:pPr>
              <w:spacing w:after="0"/>
              <w:rPr>
                <w:sz w:val="16"/>
                <w:szCs w:val="16"/>
                <w:color w:val="auto"/>
              </w:rPr>
            </w:pPr>
          </w:p>
        </w:tc>
        <w:tc>
          <w:tcPr>
            <w:tcW w:w="14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2002. Amendment No. 1 to the 364-Day Revolving Credit Agreement, dated as of May 3, 2002 is incorporated herein by</w:t>
            </w:r>
          </w:p>
        </w:tc>
      </w:tr>
      <w:tr>
        <w:trPr>
          <w:trHeight w:val="178"/>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reference to Exhibit 10.2 to the Form 10-Q filed for the quarter ended April 27, 2002. Amendment No. 2 to the 364-Day</w:t>
            </w:r>
          </w:p>
        </w:tc>
      </w:tr>
      <w:tr>
        <w:trPr>
          <w:trHeight w:val="178"/>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Revolving Credit Agreement, dated as of July 19, 2002 is incorporated herein by reference to Exhibit 10.2 to the Form 10-Q</w:t>
            </w:r>
          </w:p>
        </w:tc>
      </w:tr>
      <w:tr>
        <w:trPr>
          <w:trHeight w:val="178"/>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filed for the quarter ended July 27, 2002. Amendment No. 3 to the 364-Day Revolving Credit Agreement dated as of</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March 24, 2003 is filed herewith.</w:t>
            </w:r>
          </w:p>
        </w:tc>
      </w:tr>
      <w:tr>
        <w:trPr>
          <w:trHeight w:val="351"/>
        </w:trPr>
        <w:tc>
          <w:tcPr>
            <w:tcW w:w="2200" w:type="dxa"/>
            <w:vAlign w:val="bottom"/>
          </w:tcPr>
          <w:p>
            <w:pPr>
              <w:ind w:left="1440"/>
              <w:spacing w:after="0"/>
              <w:rPr>
                <w:sz w:val="20"/>
                <w:szCs w:val="20"/>
                <w:color w:val="auto"/>
              </w:rPr>
            </w:pPr>
            <w:r>
              <w:rPr>
                <w:rFonts w:ascii="Arial" w:cs="Arial" w:eastAsia="Arial" w:hAnsi="Arial"/>
                <w:sz w:val="14"/>
                <w:szCs w:val="14"/>
                <w:color w:val="auto"/>
              </w:rPr>
              <w:t>10.3</w:t>
            </w:r>
          </w:p>
        </w:tc>
        <w:tc>
          <w:tcPr>
            <w:tcW w:w="9260" w:type="dxa"/>
            <w:vAlign w:val="bottom"/>
          </w:tcPr>
          <w:p>
            <w:pPr>
              <w:ind w:left="440"/>
              <w:spacing w:after="0"/>
              <w:rPr>
                <w:sz w:val="20"/>
                <w:szCs w:val="20"/>
                <w:color w:val="auto"/>
              </w:rPr>
            </w:pPr>
            <w:r>
              <w:rPr>
                <w:rFonts w:ascii="Arial" w:cs="Arial" w:eastAsia="Arial" w:hAnsi="Arial"/>
                <w:sz w:val="14"/>
                <w:szCs w:val="14"/>
                <w:color w:val="auto"/>
              </w:rPr>
              <w:t>The Employment Agreement dated as of April 17, 2000 between Edmond J. English and TJX is incorporated herein by</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reference to Exhibit 10.1 to the Form 10-Q filed for the quarter ended April 29, 2000. *</w:t>
            </w:r>
          </w:p>
        </w:tc>
      </w:tr>
      <w:tr>
        <w:trPr>
          <w:trHeight w:val="351"/>
        </w:trPr>
        <w:tc>
          <w:tcPr>
            <w:tcW w:w="2200" w:type="dxa"/>
            <w:vAlign w:val="bottom"/>
          </w:tcPr>
          <w:p>
            <w:pPr>
              <w:ind w:left="1440"/>
              <w:spacing w:after="0"/>
              <w:rPr>
                <w:sz w:val="20"/>
                <w:szCs w:val="20"/>
                <w:color w:val="auto"/>
              </w:rPr>
            </w:pPr>
            <w:r>
              <w:rPr>
                <w:rFonts w:ascii="Arial" w:cs="Arial" w:eastAsia="Arial" w:hAnsi="Arial"/>
                <w:sz w:val="14"/>
                <w:szCs w:val="14"/>
                <w:color w:val="auto"/>
              </w:rPr>
              <w:t>10.4</w:t>
            </w:r>
          </w:p>
        </w:tc>
        <w:tc>
          <w:tcPr>
            <w:tcW w:w="9260" w:type="dxa"/>
            <w:vAlign w:val="bottom"/>
          </w:tcPr>
          <w:p>
            <w:pPr>
              <w:ind w:left="440"/>
              <w:spacing w:after="0"/>
              <w:rPr>
                <w:sz w:val="20"/>
                <w:szCs w:val="20"/>
                <w:color w:val="auto"/>
              </w:rPr>
            </w:pPr>
            <w:r>
              <w:rPr>
                <w:rFonts w:ascii="Arial" w:cs="Arial" w:eastAsia="Arial" w:hAnsi="Arial"/>
                <w:sz w:val="14"/>
                <w:szCs w:val="14"/>
                <w:color w:val="auto"/>
              </w:rPr>
              <w:t>The Employment Agreement dated as of April 17, 2000 between Bernard Cammarata and TJX is incorporated herein by</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reference to Exhibit 10.2 to the Form 10-Q filed for the quarter ended April 29, 2000. *</w:t>
            </w:r>
          </w:p>
        </w:tc>
      </w:tr>
      <w:tr>
        <w:trPr>
          <w:trHeight w:val="351"/>
        </w:trPr>
        <w:tc>
          <w:tcPr>
            <w:tcW w:w="2200" w:type="dxa"/>
            <w:vAlign w:val="bottom"/>
          </w:tcPr>
          <w:p>
            <w:pPr>
              <w:ind w:left="1440"/>
              <w:spacing w:after="0"/>
              <w:rPr>
                <w:sz w:val="20"/>
                <w:szCs w:val="20"/>
                <w:color w:val="auto"/>
              </w:rPr>
            </w:pPr>
            <w:r>
              <w:rPr>
                <w:rFonts w:ascii="Arial" w:cs="Arial" w:eastAsia="Arial" w:hAnsi="Arial"/>
                <w:sz w:val="14"/>
                <w:szCs w:val="14"/>
                <w:color w:val="auto"/>
              </w:rPr>
              <w:t>10.5</w:t>
            </w:r>
          </w:p>
        </w:tc>
        <w:tc>
          <w:tcPr>
            <w:tcW w:w="9260" w:type="dxa"/>
            <w:vAlign w:val="bottom"/>
          </w:tcPr>
          <w:p>
            <w:pPr>
              <w:ind w:left="440"/>
              <w:spacing w:after="0"/>
              <w:rPr>
                <w:sz w:val="20"/>
                <w:szCs w:val="20"/>
                <w:color w:val="auto"/>
              </w:rPr>
            </w:pPr>
            <w:r>
              <w:rPr>
                <w:rFonts w:ascii="Arial" w:cs="Arial" w:eastAsia="Arial" w:hAnsi="Arial"/>
                <w:sz w:val="14"/>
                <w:szCs w:val="14"/>
                <w:color w:val="auto"/>
              </w:rPr>
              <w:t>The Amended and Restated Employment Agreement dated as of January 31, 1998 with Richard Lesser is incorporated herein</w:t>
            </w:r>
          </w:p>
        </w:tc>
      </w:tr>
      <w:tr>
        <w:trPr>
          <w:trHeight w:val="178"/>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by reference to Exhibit 10.3 to the Form 10-K filed for the fiscal year ended January 31, 1998. The Amendment to the</w:t>
            </w:r>
          </w:p>
        </w:tc>
      </w:tr>
      <w:tr>
        <w:trPr>
          <w:trHeight w:val="178"/>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Employment Agreement dated as of December 6, 2001 is incorporated herein by reference to Exhibit 10.5 to the Form 10-K</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for the fiscal year ended January 26, 2002. *</w:t>
            </w:r>
          </w:p>
        </w:tc>
      </w:tr>
      <w:tr>
        <w:trPr>
          <w:trHeight w:val="351"/>
        </w:trPr>
        <w:tc>
          <w:tcPr>
            <w:tcW w:w="2200" w:type="dxa"/>
            <w:vAlign w:val="bottom"/>
          </w:tcPr>
          <w:p>
            <w:pPr>
              <w:ind w:left="1440"/>
              <w:spacing w:after="0"/>
              <w:rPr>
                <w:sz w:val="20"/>
                <w:szCs w:val="20"/>
                <w:color w:val="auto"/>
              </w:rPr>
            </w:pPr>
            <w:r>
              <w:rPr>
                <w:rFonts w:ascii="Arial" w:cs="Arial" w:eastAsia="Arial" w:hAnsi="Arial"/>
                <w:sz w:val="14"/>
                <w:szCs w:val="14"/>
                <w:color w:val="auto"/>
              </w:rPr>
              <w:t>10.6</w:t>
            </w:r>
          </w:p>
        </w:tc>
        <w:tc>
          <w:tcPr>
            <w:tcW w:w="9260" w:type="dxa"/>
            <w:vAlign w:val="bottom"/>
          </w:tcPr>
          <w:p>
            <w:pPr>
              <w:ind w:left="440"/>
              <w:spacing w:after="0"/>
              <w:rPr>
                <w:sz w:val="20"/>
                <w:szCs w:val="20"/>
                <w:color w:val="auto"/>
              </w:rPr>
            </w:pPr>
            <w:r>
              <w:rPr>
                <w:rFonts w:ascii="Arial" w:cs="Arial" w:eastAsia="Arial" w:hAnsi="Arial"/>
                <w:sz w:val="14"/>
                <w:szCs w:val="14"/>
                <w:color w:val="auto"/>
              </w:rPr>
              <w:t>The Amended and Restated Employment Agreement dated as of January 28, 2001 with Donald G. Campbell is incorporated</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herein by reference to Exhibit 10.3 to the Form 10-Q filed for the quarter ended April 28, 2001. *</w:t>
            </w:r>
          </w:p>
        </w:tc>
      </w:tr>
      <w:tr>
        <w:trPr>
          <w:trHeight w:val="351"/>
        </w:trPr>
        <w:tc>
          <w:tcPr>
            <w:tcW w:w="2200" w:type="dxa"/>
            <w:vAlign w:val="bottom"/>
          </w:tcPr>
          <w:p>
            <w:pPr>
              <w:ind w:left="1440"/>
              <w:spacing w:after="0"/>
              <w:rPr>
                <w:sz w:val="20"/>
                <w:szCs w:val="20"/>
                <w:color w:val="auto"/>
              </w:rPr>
            </w:pPr>
            <w:r>
              <w:rPr>
                <w:rFonts w:ascii="Arial" w:cs="Arial" w:eastAsia="Arial" w:hAnsi="Arial"/>
                <w:sz w:val="14"/>
                <w:szCs w:val="14"/>
                <w:color w:val="auto"/>
              </w:rPr>
              <w:t>10.7</w:t>
            </w:r>
          </w:p>
        </w:tc>
        <w:tc>
          <w:tcPr>
            <w:tcW w:w="9260" w:type="dxa"/>
            <w:vAlign w:val="bottom"/>
          </w:tcPr>
          <w:p>
            <w:pPr>
              <w:ind w:left="440"/>
              <w:spacing w:after="0"/>
              <w:rPr>
                <w:sz w:val="20"/>
                <w:szCs w:val="20"/>
                <w:color w:val="auto"/>
              </w:rPr>
            </w:pPr>
            <w:r>
              <w:rPr>
                <w:rFonts w:ascii="Arial" w:cs="Arial" w:eastAsia="Arial" w:hAnsi="Arial"/>
                <w:sz w:val="14"/>
                <w:szCs w:val="14"/>
                <w:color w:val="auto"/>
              </w:rPr>
              <w:t>The Employment Agreement and the Change of Control Severance Agreement dated as of January 28, 2001 with Carol</w:t>
            </w:r>
          </w:p>
        </w:tc>
      </w:tr>
      <w:tr>
        <w:trPr>
          <w:trHeight w:val="178"/>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Meyrowitz are incorporated herein by reference to Exhibit 10.1 and 10.2 to the Form 10-Q filed for the quarter ended April 28,</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2001. *</w:t>
            </w:r>
          </w:p>
        </w:tc>
      </w:tr>
      <w:tr>
        <w:trPr>
          <w:trHeight w:val="351"/>
        </w:trPr>
        <w:tc>
          <w:tcPr>
            <w:tcW w:w="2200" w:type="dxa"/>
            <w:vAlign w:val="bottom"/>
          </w:tcPr>
          <w:p>
            <w:pPr>
              <w:ind w:left="1440"/>
              <w:spacing w:after="0"/>
              <w:rPr>
                <w:sz w:val="20"/>
                <w:szCs w:val="20"/>
                <w:color w:val="auto"/>
              </w:rPr>
            </w:pPr>
            <w:r>
              <w:rPr>
                <w:rFonts w:ascii="Arial" w:cs="Arial" w:eastAsia="Arial" w:hAnsi="Arial"/>
                <w:sz w:val="14"/>
                <w:szCs w:val="14"/>
                <w:color w:val="auto"/>
              </w:rPr>
              <w:t>10.8</w:t>
            </w:r>
          </w:p>
        </w:tc>
        <w:tc>
          <w:tcPr>
            <w:tcW w:w="9260" w:type="dxa"/>
            <w:vAlign w:val="bottom"/>
          </w:tcPr>
          <w:p>
            <w:pPr>
              <w:ind w:left="440"/>
              <w:spacing w:after="0"/>
              <w:rPr>
                <w:sz w:val="20"/>
                <w:szCs w:val="20"/>
                <w:color w:val="auto"/>
              </w:rPr>
            </w:pPr>
            <w:r>
              <w:rPr>
                <w:rFonts w:ascii="Arial" w:cs="Arial" w:eastAsia="Arial" w:hAnsi="Arial"/>
                <w:sz w:val="14"/>
                <w:szCs w:val="14"/>
                <w:color w:val="auto"/>
              </w:rPr>
              <w:t>The Employment Agreement dated as of January 31, 2000 with Arnold Barron is incorporated herein by reference to</w:t>
            </w:r>
          </w:p>
        </w:tc>
      </w:tr>
      <w:tr>
        <w:trPr>
          <w:trHeight w:val="178"/>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Exhibit 10.1 to the Form 10-Q filed for the quarter ended October 28, 2000. The amendment to the Employment Agreement</w:t>
            </w:r>
          </w:p>
        </w:tc>
      </w:tr>
      <w:tr>
        <w:trPr>
          <w:trHeight w:val="178"/>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dated August 30, 2001 is incorporated herein by reference to Exhibit 10.8 to the Form 10-K for the fiscal year ended</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January 26, 2002. *</w:t>
            </w:r>
          </w:p>
        </w:tc>
      </w:tr>
      <w:tr>
        <w:trPr>
          <w:trHeight w:val="351"/>
        </w:trPr>
        <w:tc>
          <w:tcPr>
            <w:tcW w:w="2200" w:type="dxa"/>
            <w:vAlign w:val="bottom"/>
          </w:tcPr>
          <w:p>
            <w:pPr>
              <w:ind w:left="1440"/>
              <w:spacing w:after="0"/>
              <w:rPr>
                <w:sz w:val="20"/>
                <w:szCs w:val="20"/>
                <w:color w:val="auto"/>
              </w:rPr>
            </w:pPr>
            <w:r>
              <w:rPr>
                <w:rFonts w:ascii="Arial" w:cs="Arial" w:eastAsia="Arial" w:hAnsi="Arial"/>
                <w:sz w:val="14"/>
                <w:szCs w:val="14"/>
                <w:color w:val="auto"/>
              </w:rPr>
              <w:t>10.9</w:t>
            </w:r>
          </w:p>
        </w:tc>
        <w:tc>
          <w:tcPr>
            <w:tcW w:w="9260" w:type="dxa"/>
            <w:vAlign w:val="bottom"/>
          </w:tcPr>
          <w:p>
            <w:pPr>
              <w:ind w:left="440"/>
              <w:spacing w:after="0"/>
              <w:rPr>
                <w:sz w:val="20"/>
                <w:szCs w:val="20"/>
                <w:color w:val="auto"/>
              </w:rPr>
            </w:pPr>
            <w:r>
              <w:rPr>
                <w:rFonts w:ascii="Arial" w:cs="Arial" w:eastAsia="Arial" w:hAnsi="Arial"/>
                <w:sz w:val="14"/>
                <w:szCs w:val="14"/>
                <w:color w:val="auto"/>
              </w:rPr>
              <w:t>The TJX Companies, Inc. Management Incentive Plan, as amended, is incorporated herein by reference to Exhibit 10.2 to the</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Form 10-Q filed for the quarter ended July 26, 1997. *</w:t>
            </w:r>
          </w:p>
        </w:tc>
      </w:tr>
      <w:tr>
        <w:trPr>
          <w:trHeight w:val="351"/>
        </w:trPr>
        <w:tc>
          <w:tcPr>
            <w:tcW w:w="2200" w:type="dxa"/>
            <w:vAlign w:val="bottom"/>
          </w:tcPr>
          <w:p>
            <w:pPr>
              <w:ind w:left="1440"/>
              <w:spacing w:after="0"/>
              <w:rPr>
                <w:sz w:val="20"/>
                <w:szCs w:val="20"/>
                <w:color w:val="auto"/>
              </w:rPr>
            </w:pPr>
            <w:r>
              <w:rPr>
                <w:rFonts w:ascii="Arial" w:cs="Arial" w:eastAsia="Arial" w:hAnsi="Arial"/>
                <w:sz w:val="14"/>
                <w:szCs w:val="14"/>
                <w:color w:val="auto"/>
              </w:rPr>
              <w:t>10.10</w:t>
            </w:r>
          </w:p>
        </w:tc>
        <w:tc>
          <w:tcPr>
            <w:tcW w:w="9260" w:type="dxa"/>
            <w:vAlign w:val="bottom"/>
          </w:tcPr>
          <w:p>
            <w:pPr>
              <w:ind w:left="440"/>
              <w:spacing w:after="0"/>
              <w:rPr>
                <w:sz w:val="20"/>
                <w:szCs w:val="20"/>
                <w:color w:val="auto"/>
              </w:rPr>
            </w:pPr>
            <w:r>
              <w:rPr>
                <w:rFonts w:ascii="Arial" w:cs="Arial" w:eastAsia="Arial" w:hAnsi="Arial"/>
                <w:sz w:val="14"/>
                <w:szCs w:val="14"/>
                <w:color w:val="auto"/>
              </w:rPr>
              <w:t>The 1982 Long Range Management Incentive Plan, as amended, is incorporated herein by reference to Exhibit 10(h) to the</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Form 10-K filed for the fiscal year ended January 29, 1994. *</w:t>
            </w:r>
          </w:p>
        </w:tc>
      </w:tr>
      <w:tr>
        <w:trPr>
          <w:trHeight w:val="351"/>
        </w:trPr>
        <w:tc>
          <w:tcPr>
            <w:tcW w:w="2200" w:type="dxa"/>
            <w:vAlign w:val="bottom"/>
          </w:tcPr>
          <w:p>
            <w:pPr>
              <w:ind w:left="1440"/>
              <w:spacing w:after="0"/>
              <w:rPr>
                <w:sz w:val="20"/>
                <w:szCs w:val="20"/>
                <w:color w:val="auto"/>
              </w:rPr>
            </w:pPr>
            <w:r>
              <w:rPr>
                <w:rFonts w:ascii="Arial" w:cs="Arial" w:eastAsia="Arial" w:hAnsi="Arial"/>
                <w:sz w:val="14"/>
                <w:szCs w:val="14"/>
                <w:color w:val="auto"/>
              </w:rPr>
              <w:t>10.11</w:t>
            </w:r>
          </w:p>
        </w:tc>
        <w:tc>
          <w:tcPr>
            <w:tcW w:w="9260" w:type="dxa"/>
            <w:vAlign w:val="bottom"/>
          </w:tcPr>
          <w:p>
            <w:pPr>
              <w:ind w:left="440"/>
              <w:spacing w:after="0"/>
              <w:rPr>
                <w:sz w:val="20"/>
                <w:szCs w:val="20"/>
                <w:color w:val="auto"/>
              </w:rPr>
            </w:pPr>
            <w:r>
              <w:rPr>
                <w:rFonts w:ascii="Arial" w:cs="Arial" w:eastAsia="Arial" w:hAnsi="Arial"/>
                <w:sz w:val="14"/>
                <w:szCs w:val="14"/>
                <w:color w:val="auto"/>
              </w:rPr>
              <w:t>The Stock Incentive Plan, as amended through June 5, 2001, is incorporated herein by reference to Exhibit 10.1 to the</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Form 10-Q filed for the quarter ended July 28, 2001. *</w:t>
            </w:r>
          </w:p>
        </w:tc>
      </w:tr>
      <w:tr>
        <w:trPr>
          <w:trHeight w:val="351"/>
        </w:trPr>
        <w:tc>
          <w:tcPr>
            <w:tcW w:w="2200" w:type="dxa"/>
            <w:vAlign w:val="bottom"/>
          </w:tcPr>
          <w:p>
            <w:pPr>
              <w:ind w:left="1440"/>
              <w:spacing w:after="0"/>
              <w:rPr>
                <w:sz w:val="20"/>
                <w:szCs w:val="20"/>
                <w:color w:val="auto"/>
              </w:rPr>
            </w:pPr>
            <w:r>
              <w:rPr>
                <w:rFonts w:ascii="Arial" w:cs="Arial" w:eastAsia="Arial" w:hAnsi="Arial"/>
                <w:sz w:val="14"/>
                <w:szCs w:val="14"/>
                <w:color w:val="auto"/>
              </w:rPr>
              <w:t>10.12</w:t>
            </w:r>
          </w:p>
        </w:tc>
        <w:tc>
          <w:tcPr>
            <w:tcW w:w="9260" w:type="dxa"/>
            <w:vAlign w:val="bottom"/>
          </w:tcPr>
          <w:p>
            <w:pPr>
              <w:ind w:left="440"/>
              <w:spacing w:after="0"/>
              <w:rPr>
                <w:sz w:val="20"/>
                <w:szCs w:val="20"/>
                <w:color w:val="auto"/>
              </w:rPr>
            </w:pPr>
            <w:r>
              <w:rPr>
                <w:rFonts w:ascii="Arial" w:cs="Arial" w:eastAsia="Arial" w:hAnsi="Arial"/>
                <w:sz w:val="14"/>
                <w:szCs w:val="14"/>
                <w:color w:val="auto"/>
              </w:rPr>
              <w:t>The TJX Companies, Inc. Long Range Performance Incentive Plan, as amended, is incorporated herein by reference to</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Exhibit 10.3 to the Form 10-Q filed for the quarter ended July 26, 1997. *</w:t>
            </w:r>
          </w:p>
        </w:tc>
      </w:tr>
      <w:tr>
        <w:trPr>
          <w:trHeight w:val="351"/>
        </w:trPr>
        <w:tc>
          <w:tcPr>
            <w:tcW w:w="2200" w:type="dxa"/>
            <w:vAlign w:val="bottom"/>
          </w:tcPr>
          <w:p>
            <w:pPr>
              <w:ind w:left="1440"/>
              <w:spacing w:after="0"/>
              <w:rPr>
                <w:sz w:val="20"/>
                <w:szCs w:val="20"/>
                <w:color w:val="auto"/>
              </w:rPr>
            </w:pPr>
            <w:r>
              <w:rPr>
                <w:rFonts w:ascii="Arial" w:cs="Arial" w:eastAsia="Arial" w:hAnsi="Arial"/>
                <w:sz w:val="14"/>
                <w:szCs w:val="14"/>
                <w:color w:val="auto"/>
              </w:rPr>
              <w:t>10.13</w:t>
            </w:r>
          </w:p>
        </w:tc>
        <w:tc>
          <w:tcPr>
            <w:tcW w:w="9260" w:type="dxa"/>
            <w:vAlign w:val="bottom"/>
          </w:tcPr>
          <w:p>
            <w:pPr>
              <w:ind w:left="440"/>
              <w:spacing w:after="0"/>
              <w:rPr>
                <w:sz w:val="20"/>
                <w:szCs w:val="20"/>
                <w:color w:val="auto"/>
              </w:rPr>
            </w:pPr>
            <w:r>
              <w:rPr>
                <w:rFonts w:ascii="Arial" w:cs="Arial" w:eastAsia="Arial" w:hAnsi="Arial"/>
                <w:sz w:val="14"/>
                <w:szCs w:val="14"/>
                <w:color w:val="auto"/>
              </w:rPr>
              <w:t>The General Deferred Compensation Plan (1998 Restatement) and related First Amendment, effective January 1, 1999, are</w:t>
            </w:r>
          </w:p>
        </w:tc>
      </w:tr>
      <w:tr>
        <w:trPr>
          <w:trHeight w:val="178"/>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incorporated herein by reference to Exhibit 10.9 to the Form 10-K for the fiscal year ended January 30, 1999. The related</w:t>
            </w:r>
          </w:p>
        </w:tc>
      </w:tr>
      <w:tr>
        <w:trPr>
          <w:trHeight w:val="178"/>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Second Amendment, effective January 1, 2000, is incorporated herein by reference to Exhibit 10.10 to the Form 10-K filed for</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the fiscal year ended January 29, 2000. *</w:t>
            </w:r>
          </w:p>
        </w:tc>
      </w:tr>
      <w:tr>
        <w:trPr>
          <w:trHeight w:val="356"/>
        </w:trPr>
        <w:tc>
          <w:tcPr>
            <w:tcW w:w="2200" w:type="dxa"/>
            <w:vAlign w:val="bottom"/>
          </w:tcPr>
          <w:p>
            <w:pPr>
              <w:spacing w:after="0"/>
              <w:rPr>
                <w:sz w:val="24"/>
                <w:szCs w:val="24"/>
                <w:color w:val="auto"/>
              </w:rPr>
            </w:pPr>
          </w:p>
        </w:tc>
        <w:tc>
          <w:tcPr>
            <w:tcW w:w="9260" w:type="dxa"/>
            <w:vAlign w:val="bottom"/>
          </w:tcPr>
          <w:p>
            <w:pPr>
              <w:ind w:left="3460"/>
              <w:spacing w:after="0"/>
              <w:rPr>
                <w:sz w:val="20"/>
                <w:szCs w:val="20"/>
                <w:color w:val="auto"/>
              </w:rPr>
            </w:pPr>
            <w:r>
              <w:rPr>
                <w:rFonts w:ascii="Arial" w:cs="Arial" w:eastAsia="Arial" w:hAnsi="Arial"/>
                <w:sz w:val="14"/>
                <w:szCs w:val="14"/>
                <w:color w:val="auto"/>
              </w:rPr>
              <w:t>16</w:t>
            </w:r>
          </w:p>
        </w:tc>
      </w:tr>
      <w:tr>
        <w:trPr>
          <w:trHeight w:val="187"/>
        </w:trPr>
        <w:tc>
          <w:tcPr>
            <w:tcW w:w="2200" w:type="dxa"/>
            <w:vAlign w:val="bottom"/>
            <w:tcBorders>
              <w:bottom w:val="single" w:sz="8" w:color="808080"/>
            </w:tcBorders>
          </w:tcPr>
          <w:p>
            <w:pPr>
              <w:spacing w:after="0"/>
              <w:rPr>
                <w:sz w:val="16"/>
                <w:szCs w:val="16"/>
                <w:color w:val="auto"/>
              </w:rPr>
            </w:pPr>
          </w:p>
        </w:tc>
        <w:tc>
          <w:tcPr>
            <w:tcW w:w="92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00" w:type="dxa"/>
            <w:vAlign w:val="bottom"/>
          </w:tcPr>
          <w:p>
            <w:pPr>
              <w:jc w:val="right"/>
              <w:ind w:right="348"/>
              <w:spacing w:after="0"/>
              <w:rPr>
                <w:sz w:val="20"/>
                <w:szCs w:val="20"/>
                <w:color w:val="auto"/>
              </w:rPr>
            </w:pPr>
            <w:r>
              <w:rPr>
                <w:rFonts w:ascii="Arial" w:cs="Arial" w:eastAsia="Arial" w:hAnsi="Arial"/>
                <w:sz w:val="14"/>
                <w:szCs w:val="14"/>
                <w:color w:val="auto"/>
              </w:rPr>
              <w:t>10.14</w:t>
            </w:r>
          </w:p>
        </w:tc>
        <w:tc>
          <w:tcPr>
            <w:tcW w:w="9260" w:type="dxa"/>
            <w:vAlign w:val="bottom"/>
          </w:tcPr>
          <w:p>
            <w:pPr>
              <w:ind w:left="440"/>
              <w:spacing w:after="0"/>
              <w:rPr>
                <w:sz w:val="20"/>
                <w:szCs w:val="20"/>
                <w:color w:val="auto"/>
              </w:rPr>
            </w:pPr>
            <w:r>
              <w:rPr>
                <w:rFonts w:ascii="Arial" w:cs="Arial" w:eastAsia="Arial" w:hAnsi="Arial"/>
                <w:sz w:val="14"/>
                <w:szCs w:val="14"/>
                <w:color w:val="auto"/>
              </w:rPr>
              <w:t>The Supplemental Executive Retirement Plan, as amended, is incorporated herein by reference to Exhibit 10(l) to the Form 10-</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K filed for the fiscal year ended January 25, 1992. *</w:t>
            </w:r>
          </w:p>
        </w:tc>
      </w:tr>
      <w:tr>
        <w:trPr>
          <w:trHeight w:val="351"/>
        </w:trPr>
        <w:tc>
          <w:tcPr>
            <w:tcW w:w="2200" w:type="dxa"/>
            <w:vAlign w:val="bottom"/>
          </w:tcPr>
          <w:p>
            <w:pPr>
              <w:jc w:val="right"/>
              <w:ind w:right="348"/>
              <w:spacing w:after="0"/>
              <w:rPr>
                <w:sz w:val="20"/>
                <w:szCs w:val="20"/>
                <w:color w:val="auto"/>
              </w:rPr>
            </w:pPr>
            <w:r>
              <w:rPr>
                <w:rFonts w:ascii="Arial" w:cs="Arial" w:eastAsia="Arial" w:hAnsi="Arial"/>
                <w:sz w:val="14"/>
                <w:szCs w:val="14"/>
                <w:color w:val="auto"/>
              </w:rPr>
              <w:t>10.15</w:t>
            </w:r>
          </w:p>
        </w:tc>
        <w:tc>
          <w:tcPr>
            <w:tcW w:w="9260" w:type="dxa"/>
            <w:vAlign w:val="bottom"/>
          </w:tcPr>
          <w:p>
            <w:pPr>
              <w:ind w:left="440"/>
              <w:spacing w:after="0"/>
              <w:rPr>
                <w:sz w:val="20"/>
                <w:szCs w:val="20"/>
                <w:color w:val="auto"/>
              </w:rPr>
            </w:pPr>
            <w:r>
              <w:rPr>
                <w:rFonts w:ascii="Arial" w:cs="Arial" w:eastAsia="Arial" w:hAnsi="Arial"/>
                <w:sz w:val="14"/>
                <w:szCs w:val="14"/>
                <w:color w:val="auto"/>
              </w:rPr>
              <w:t>The Executive Savings Plan and related Amendments No. 1 and No. 2, effective as of October 1, 1998, is incorporated herein</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by reference to Exhibit 10.12 to the Form 10-K filed for the fiscal year ended January 30, 1999. *</w:t>
            </w:r>
          </w:p>
        </w:tc>
      </w:tr>
      <w:tr>
        <w:trPr>
          <w:trHeight w:val="351"/>
        </w:trPr>
        <w:tc>
          <w:tcPr>
            <w:tcW w:w="2200" w:type="dxa"/>
            <w:vAlign w:val="bottom"/>
          </w:tcPr>
          <w:p>
            <w:pPr>
              <w:jc w:val="right"/>
              <w:ind w:right="348"/>
              <w:spacing w:after="0"/>
              <w:rPr>
                <w:sz w:val="20"/>
                <w:szCs w:val="20"/>
                <w:color w:val="auto"/>
              </w:rPr>
            </w:pPr>
            <w:r>
              <w:rPr>
                <w:rFonts w:ascii="Arial" w:cs="Arial" w:eastAsia="Arial" w:hAnsi="Arial"/>
                <w:sz w:val="14"/>
                <w:szCs w:val="14"/>
                <w:color w:val="auto"/>
              </w:rPr>
              <w:t>10.16</w:t>
            </w:r>
          </w:p>
        </w:tc>
        <w:tc>
          <w:tcPr>
            <w:tcW w:w="9260" w:type="dxa"/>
            <w:vAlign w:val="bottom"/>
          </w:tcPr>
          <w:p>
            <w:pPr>
              <w:ind w:left="440"/>
              <w:spacing w:after="0"/>
              <w:rPr>
                <w:sz w:val="20"/>
                <w:szCs w:val="20"/>
                <w:color w:val="auto"/>
              </w:rPr>
            </w:pPr>
            <w:r>
              <w:rPr>
                <w:rFonts w:ascii="Arial" w:cs="Arial" w:eastAsia="Arial" w:hAnsi="Arial"/>
                <w:sz w:val="14"/>
                <w:szCs w:val="14"/>
                <w:color w:val="auto"/>
              </w:rPr>
              <w:t>The Agreement and the Form of the related Split Dollar Agreements dated October 28, 1999 between TJX and Bernard</w:t>
            </w:r>
          </w:p>
        </w:tc>
      </w:tr>
      <w:tr>
        <w:trPr>
          <w:trHeight w:val="178"/>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Cammarata are incorporated herein by reference to Exhibit 10.1 to the Form 10-Q filed for the quarter ended October 31, 1999.</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w:t>
            </w:r>
          </w:p>
        </w:tc>
      </w:tr>
      <w:tr>
        <w:trPr>
          <w:trHeight w:val="351"/>
        </w:trPr>
        <w:tc>
          <w:tcPr>
            <w:tcW w:w="2200" w:type="dxa"/>
            <w:vAlign w:val="bottom"/>
          </w:tcPr>
          <w:p>
            <w:pPr>
              <w:jc w:val="right"/>
              <w:ind w:right="348"/>
              <w:spacing w:after="0"/>
              <w:rPr>
                <w:sz w:val="20"/>
                <w:szCs w:val="20"/>
                <w:color w:val="auto"/>
              </w:rPr>
            </w:pPr>
            <w:r>
              <w:rPr>
                <w:rFonts w:ascii="Arial" w:cs="Arial" w:eastAsia="Arial" w:hAnsi="Arial"/>
                <w:sz w:val="14"/>
                <w:szCs w:val="14"/>
                <w:color w:val="auto"/>
              </w:rPr>
              <w:t>10.17</w:t>
            </w:r>
          </w:p>
        </w:tc>
        <w:tc>
          <w:tcPr>
            <w:tcW w:w="9260" w:type="dxa"/>
            <w:vAlign w:val="bottom"/>
          </w:tcPr>
          <w:p>
            <w:pPr>
              <w:ind w:left="440"/>
              <w:spacing w:after="0"/>
              <w:rPr>
                <w:sz w:val="20"/>
                <w:szCs w:val="20"/>
                <w:color w:val="auto"/>
              </w:rPr>
            </w:pPr>
            <w:r>
              <w:rPr>
                <w:rFonts w:ascii="Arial" w:cs="Arial" w:eastAsia="Arial" w:hAnsi="Arial"/>
                <w:sz w:val="14"/>
                <w:szCs w:val="14"/>
                <w:color w:val="auto"/>
              </w:rPr>
              <w:t>The Restoration Agreement and related letter agreement regarding conditional reimbursement dated December 31, 2002</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between TJX and Bernard Cammarata are filed herewith. *</w:t>
            </w:r>
          </w:p>
        </w:tc>
      </w:tr>
      <w:tr>
        <w:trPr>
          <w:trHeight w:val="351"/>
        </w:trPr>
        <w:tc>
          <w:tcPr>
            <w:tcW w:w="2200" w:type="dxa"/>
            <w:vAlign w:val="bottom"/>
          </w:tcPr>
          <w:p>
            <w:pPr>
              <w:jc w:val="right"/>
              <w:ind w:right="348"/>
              <w:spacing w:after="0"/>
              <w:rPr>
                <w:sz w:val="20"/>
                <w:szCs w:val="20"/>
                <w:color w:val="auto"/>
              </w:rPr>
            </w:pPr>
            <w:r>
              <w:rPr>
                <w:rFonts w:ascii="Arial" w:cs="Arial" w:eastAsia="Arial" w:hAnsi="Arial"/>
                <w:sz w:val="14"/>
                <w:szCs w:val="14"/>
                <w:color w:val="auto"/>
              </w:rPr>
              <w:t>10.18</w:t>
            </w:r>
          </w:p>
        </w:tc>
        <w:tc>
          <w:tcPr>
            <w:tcW w:w="9260" w:type="dxa"/>
            <w:vAlign w:val="bottom"/>
          </w:tcPr>
          <w:p>
            <w:pPr>
              <w:ind w:left="440"/>
              <w:spacing w:after="0"/>
              <w:rPr>
                <w:sz w:val="20"/>
                <w:szCs w:val="20"/>
                <w:color w:val="auto"/>
              </w:rPr>
            </w:pPr>
            <w:r>
              <w:rPr>
                <w:rFonts w:ascii="Arial" w:cs="Arial" w:eastAsia="Arial" w:hAnsi="Arial"/>
                <w:sz w:val="14"/>
                <w:szCs w:val="14"/>
                <w:color w:val="auto"/>
              </w:rPr>
              <w:t>The Agreement and the Form of the related Split Dollar Agreements dated February 29, 2000 between TJX and Richard Lesser</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are incorporated herein by reference to Exhibit 10.16 to the Form 10-K filed for the fiscal year ended January 29, 2000. *</w:t>
            </w:r>
          </w:p>
        </w:tc>
      </w:tr>
      <w:tr>
        <w:trPr>
          <w:trHeight w:val="356"/>
        </w:trPr>
        <w:tc>
          <w:tcPr>
            <w:tcW w:w="2200" w:type="dxa"/>
            <w:vAlign w:val="bottom"/>
          </w:tcPr>
          <w:p>
            <w:pPr>
              <w:jc w:val="right"/>
              <w:ind w:right="348"/>
              <w:spacing w:after="0"/>
              <w:rPr>
                <w:sz w:val="20"/>
                <w:szCs w:val="20"/>
                <w:color w:val="auto"/>
              </w:rPr>
            </w:pPr>
            <w:r>
              <w:rPr>
                <w:rFonts w:ascii="Arial" w:cs="Arial" w:eastAsia="Arial" w:hAnsi="Arial"/>
                <w:sz w:val="14"/>
                <w:szCs w:val="14"/>
                <w:color w:val="auto"/>
              </w:rPr>
              <w:t>10.19</w:t>
            </w:r>
          </w:p>
        </w:tc>
        <w:tc>
          <w:tcPr>
            <w:tcW w:w="9260" w:type="dxa"/>
            <w:vAlign w:val="bottom"/>
          </w:tcPr>
          <w:p>
            <w:pPr>
              <w:ind w:left="440"/>
              <w:spacing w:after="0"/>
              <w:rPr>
                <w:sz w:val="20"/>
                <w:szCs w:val="20"/>
                <w:color w:val="auto"/>
              </w:rPr>
            </w:pPr>
            <w:r>
              <w:rPr>
                <w:rFonts w:ascii="Arial" w:cs="Arial" w:eastAsia="Arial" w:hAnsi="Arial"/>
                <w:sz w:val="14"/>
                <w:szCs w:val="14"/>
                <w:color w:val="auto"/>
              </w:rPr>
              <w:t>The Restoration Agreement dated January 20, 2003 between TJX and Richard Lesser is filed herewith. *</w:t>
            </w:r>
          </w:p>
        </w:tc>
      </w:tr>
      <w:tr>
        <w:trPr>
          <w:trHeight w:val="351"/>
        </w:trPr>
        <w:tc>
          <w:tcPr>
            <w:tcW w:w="2200" w:type="dxa"/>
            <w:vAlign w:val="bottom"/>
          </w:tcPr>
          <w:p>
            <w:pPr>
              <w:jc w:val="right"/>
              <w:ind w:right="348"/>
              <w:spacing w:after="0"/>
              <w:rPr>
                <w:sz w:val="20"/>
                <w:szCs w:val="20"/>
                <w:color w:val="auto"/>
              </w:rPr>
            </w:pPr>
            <w:r>
              <w:rPr>
                <w:rFonts w:ascii="Arial" w:cs="Arial" w:eastAsia="Arial" w:hAnsi="Arial"/>
                <w:sz w:val="14"/>
                <w:szCs w:val="14"/>
                <w:color w:val="auto"/>
              </w:rPr>
              <w:t>10.20</w:t>
            </w:r>
          </w:p>
        </w:tc>
        <w:tc>
          <w:tcPr>
            <w:tcW w:w="9260" w:type="dxa"/>
            <w:vAlign w:val="bottom"/>
          </w:tcPr>
          <w:p>
            <w:pPr>
              <w:ind w:left="440"/>
              <w:spacing w:after="0"/>
              <w:rPr>
                <w:sz w:val="20"/>
                <w:szCs w:val="20"/>
                <w:color w:val="auto"/>
              </w:rPr>
            </w:pPr>
            <w:r>
              <w:rPr>
                <w:rFonts w:ascii="Arial" w:cs="Arial" w:eastAsia="Arial" w:hAnsi="Arial"/>
                <w:sz w:val="14"/>
                <w:szCs w:val="14"/>
                <w:color w:val="auto"/>
              </w:rPr>
              <w:t>The Modification Agreement dated January 20, 2003 among TJX, Boston Private Bank and Trust Company, Trustee, and</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Richard G. Lesser is filed herewith.*</w:t>
            </w:r>
          </w:p>
        </w:tc>
      </w:tr>
      <w:tr>
        <w:trPr>
          <w:trHeight w:val="351"/>
        </w:trPr>
        <w:tc>
          <w:tcPr>
            <w:tcW w:w="2200" w:type="dxa"/>
            <w:vAlign w:val="bottom"/>
          </w:tcPr>
          <w:p>
            <w:pPr>
              <w:jc w:val="right"/>
              <w:ind w:right="348"/>
              <w:spacing w:after="0"/>
              <w:rPr>
                <w:sz w:val="20"/>
                <w:szCs w:val="20"/>
                <w:color w:val="auto"/>
              </w:rPr>
            </w:pPr>
            <w:r>
              <w:rPr>
                <w:rFonts w:ascii="Arial" w:cs="Arial" w:eastAsia="Arial" w:hAnsi="Arial"/>
                <w:sz w:val="14"/>
                <w:szCs w:val="14"/>
                <w:color w:val="auto"/>
              </w:rPr>
              <w:t>10.21</w:t>
            </w:r>
          </w:p>
        </w:tc>
        <w:tc>
          <w:tcPr>
            <w:tcW w:w="9260" w:type="dxa"/>
            <w:vAlign w:val="bottom"/>
          </w:tcPr>
          <w:p>
            <w:pPr>
              <w:ind w:left="440"/>
              <w:spacing w:after="0"/>
              <w:rPr>
                <w:sz w:val="20"/>
                <w:szCs w:val="20"/>
                <w:color w:val="auto"/>
              </w:rPr>
            </w:pPr>
            <w:r>
              <w:rPr>
                <w:rFonts w:ascii="Arial" w:cs="Arial" w:eastAsia="Arial" w:hAnsi="Arial"/>
                <w:sz w:val="14"/>
                <w:szCs w:val="14"/>
                <w:color w:val="auto"/>
              </w:rPr>
              <w:t>The form of Indemnification Agreement between TJX and each of its officers and directors is incorporated herein by reference</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to Exhibit 10(r) to the Form 10-K filed for the fiscal year ended January 27, 1990. *</w:t>
            </w:r>
          </w:p>
        </w:tc>
      </w:tr>
      <w:tr>
        <w:trPr>
          <w:trHeight w:val="351"/>
        </w:trPr>
        <w:tc>
          <w:tcPr>
            <w:tcW w:w="2200" w:type="dxa"/>
            <w:vAlign w:val="bottom"/>
          </w:tcPr>
          <w:p>
            <w:pPr>
              <w:jc w:val="right"/>
              <w:ind w:right="348"/>
              <w:spacing w:after="0"/>
              <w:rPr>
                <w:sz w:val="20"/>
                <w:szCs w:val="20"/>
                <w:color w:val="auto"/>
              </w:rPr>
            </w:pPr>
            <w:r>
              <w:rPr>
                <w:rFonts w:ascii="Arial" w:cs="Arial" w:eastAsia="Arial" w:hAnsi="Arial"/>
                <w:sz w:val="14"/>
                <w:szCs w:val="14"/>
                <w:color w:val="auto"/>
              </w:rPr>
              <w:t>10.22</w:t>
            </w:r>
          </w:p>
        </w:tc>
        <w:tc>
          <w:tcPr>
            <w:tcW w:w="9260" w:type="dxa"/>
            <w:vAlign w:val="bottom"/>
          </w:tcPr>
          <w:p>
            <w:pPr>
              <w:ind w:left="440"/>
              <w:spacing w:after="0"/>
              <w:rPr>
                <w:sz w:val="20"/>
                <w:szCs w:val="20"/>
                <w:color w:val="auto"/>
              </w:rPr>
            </w:pPr>
            <w:r>
              <w:rPr>
                <w:rFonts w:ascii="Arial" w:cs="Arial" w:eastAsia="Arial" w:hAnsi="Arial"/>
                <w:sz w:val="14"/>
                <w:szCs w:val="14"/>
                <w:color w:val="auto"/>
              </w:rPr>
              <w:t>The Trust Agreement dated as of April 8, 1988 between TJX and State Street Bank and Trust Company is incorporated herein</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by reference to Exhibit 10(y) to the Form 10-K filed for the fiscal year ended January 30, 1988. *</w:t>
            </w:r>
          </w:p>
        </w:tc>
      </w:tr>
      <w:tr>
        <w:trPr>
          <w:trHeight w:val="351"/>
        </w:trPr>
        <w:tc>
          <w:tcPr>
            <w:tcW w:w="2200" w:type="dxa"/>
            <w:vAlign w:val="bottom"/>
          </w:tcPr>
          <w:p>
            <w:pPr>
              <w:jc w:val="right"/>
              <w:ind w:right="348"/>
              <w:spacing w:after="0"/>
              <w:rPr>
                <w:sz w:val="20"/>
                <w:szCs w:val="20"/>
                <w:color w:val="auto"/>
              </w:rPr>
            </w:pPr>
            <w:r>
              <w:rPr>
                <w:rFonts w:ascii="Arial" w:cs="Arial" w:eastAsia="Arial" w:hAnsi="Arial"/>
                <w:sz w:val="14"/>
                <w:szCs w:val="14"/>
                <w:color w:val="auto"/>
              </w:rPr>
              <w:t>10.23</w:t>
            </w:r>
          </w:p>
        </w:tc>
        <w:tc>
          <w:tcPr>
            <w:tcW w:w="9260" w:type="dxa"/>
            <w:vAlign w:val="bottom"/>
          </w:tcPr>
          <w:p>
            <w:pPr>
              <w:ind w:left="440"/>
              <w:spacing w:after="0"/>
              <w:rPr>
                <w:sz w:val="20"/>
                <w:szCs w:val="20"/>
                <w:color w:val="auto"/>
              </w:rPr>
            </w:pPr>
            <w:r>
              <w:rPr>
                <w:rFonts w:ascii="Arial" w:cs="Arial" w:eastAsia="Arial" w:hAnsi="Arial"/>
                <w:sz w:val="14"/>
                <w:szCs w:val="14"/>
                <w:color w:val="auto"/>
              </w:rPr>
              <w:t>The Trust Agreement dated as of April 8, 1988 between TJX and Fleet Bank (formerly Shawmut Bank of Boston, N.A.) is</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incorporated herein by reference to Exhibit 10(z) to the Form 10-K filed for the fiscal year ended January 30, 1988. *</w:t>
            </w:r>
          </w:p>
        </w:tc>
      </w:tr>
      <w:tr>
        <w:trPr>
          <w:trHeight w:val="351"/>
        </w:trPr>
        <w:tc>
          <w:tcPr>
            <w:tcW w:w="2200" w:type="dxa"/>
            <w:vAlign w:val="bottom"/>
          </w:tcPr>
          <w:p>
            <w:pPr>
              <w:jc w:val="right"/>
              <w:ind w:right="348"/>
              <w:spacing w:after="0"/>
              <w:rPr>
                <w:sz w:val="20"/>
                <w:szCs w:val="20"/>
                <w:color w:val="auto"/>
              </w:rPr>
            </w:pPr>
            <w:r>
              <w:rPr>
                <w:rFonts w:ascii="Arial" w:cs="Arial" w:eastAsia="Arial" w:hAnsi="Arial"/>
                <w:sz w:val="14"/>
                <w:szCs w:val="14"/>
                <w:color w:val="auto"/>
              </w:rPr>
              <w:t>10.24</w:t>
            </w:r>
          </w:p>
        </w:tc>
        <w:tc>
          <w:tcPr>
            <w:tcW w:w="9260" w:type="dxa"/>
            <w:vAlign w:val="bottom"/>
          </w:tcPr>
          <w:p>
            <w:pPr>
              <w:ind w:left="440"/>
              <w:spacing w:after="0"/>
              <w:rPr>
                <w:sz w:val="20"/>
                <w:szCs w:val="20"/>
                <w:color w:val="auto"/>
              </w:rPr>
            </w:pPr>
            <w:r>
              <w:rPr>
                <w:rFonts w:ascii="Arial" w:cs="Arial" w:eastAsia="Arial" w:hAnsi="Arial"/>
                <w:sz w:val="14"/>
                <w:szCs w:val="14"/>
                <w:color w:val="auto"/>
              </w:rPr>
              <w:t>The Trust Agreement for Executive Savings Plan dated as of October 6, 1998 between TJX and Fleet Financial Bank is</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incorporated herein by reference to Exhibit 10.21 to the Form 10-K filed for the fiscal year ended January 29, 2000. *</w:t>
            </w:r>
          </w:p>
        </w:tc>
      </w:tr>
      <w:tr>
        <w:trPr>
          <w:trHeight w:val="351"/>
        </w:trPr>
        <w:tc>
          <w:tcPr>
            <w:tcW w:w="2200" w:type="dxa"/>
            <w:vAlign w:val="bottom"/>
          </w:tcPr>
          <w:p>
            <w:pPr>
              <w:jc w:val="right"/>
              <w:ind w:right="348"/>
              <w:spacing w:after="0"/>
              <w:rPr>
                <w:sz w:val="20"/>
                <w:szCs w:val="20"/>
                <w:color w:val="auto"/>
              </w:rPr>
            </w:pPr>
            <w:r>
              <w:rPr>
                <w:rFonts w:ascii="Arial" w:cs="Arial" w:eastAsia="Arial" w:hAnsi="Arial"/>
                <w:sz w:val="14"/>
                <w:szCs w:val="14"/>
                <w:color w:val="auto"/>
              </w:rPr>
              <w:t>10.25</w:t>
            </w:r>
          </w:p>
        </w:tc>
        <w:tc>
          <w:tcPr>
            <w:tcW w:w="9260" w:type="dxa"/>
            <w:vAlign w:val="bottom"/>
          </w:tcPr>
          <w:p>
            <w:pPr>
              <w:ind w:left="440"/>
              <w:spacing w:after="0"/>
              <w:rPr>
                <w:sz w:val="20"/>
                <w:szCs w:val="20"/>
                <w:color w:val="auto"/>
              </w:rPr>
            </w:pPr>
            <w:r>
              <w:rPr>
                <w:rFonts w:ascii="Arial" w:cs="Arial" w:eastAsia="Arial" w:hAnsi="Arial"/>
                <w:sz w:val="14"/>
                <w:szCs w:val="14"/>
                <w:color w:val="auto"/>
              </w:rPr>
              <w:t>The Distribution Agreement dated as of May 1, 1989 between TJX and HomeBase, Inc. (formerly Waban Inc.) is incorporated</w:t>
            </w:r>
          </w:p>
        </w:tc>
      </w:tr>
      <w:tr>
        <w:trPr>
          <w:trHeight w:val="178"/>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herein by reference to Exhibit 3 to TJX’s Current Report on Form 8-K dated June 21, 1989. The First Amendment to</w:t>
            </w:r>
          </w:p>
        </w:tc>
      </w:tr>
      <w:tr>
        <w:trPr>
          <w:trHeight w:val="178"/>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Distribution Agreement dated as of April 18, 1997 between TJX and HomeBase, Inc. (formerly Waban Inc.) is incorporated</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herein by reference to Exhibit 10.22 to the Form 10-K filed for the fiscal year ended January 25, 1997.</w:t>
            </w:r>
          </w:p>
        </w:tc>
      </w:tr>
      <w:tr>
        <w:trPr>
          <w:trHeight w:val="351"/>
        </w:trPr>
        <w:tc>
          <w:tcPr>
            <w:tcW w:w="2200" w:type="dxa"/>
            <w:vAlign w:val="bottom"/>
          </w:tcPr>
          <w:p>
            <w:pPr>
              <w:jc w:val="right"/>
              <w:ind w:right="348"/>
              <w:spacing w:after="0"/>
              <w:rPr>
                <w:sz w:val="20"/>
                <w:szCs w:val="20"/>
                <w:color w:val="auto"/>
              </w:rPr>
            </w:pPr>
            <w:r>
              <w:rPr>
                <w:rFonts w:ascii="Arial" w:cs="Arial" w:eastAsia="Arial" w:hAnsi="Arial"/>
                <w:sz w:val="14"/>
                <w:szCs w:val="14"/>
                <w:color w:val="auto"/>
              </w:rPr>
              <w:t>10.26</w:t>
            </w:r>
          </w:p>
        </w:tc>
        <w:tc>
          <w:tcPr>
            <w:tcW w:w="9260" w:type="dxa"/>
            <w:vAlign w:val="bottom"/>
          </w:tcPr>
          <w:p>
            <w:pPr>
              <w:ind w:left="440"/>
              <w:spacing w:after="0"/>
              <w:rPr>
                <w:sz w:val="20"/>
                <w:szCs w:val="20"/>
                <w:color w:val="auto"/>
              </w:rPr>
            </w:pPr>
            <w:r>
              <w:rPr>
                <w:rFonts w:ascii="Arial" w:cs="Arial" w:eastAsia="Arial" w:hAnsi="Arial"/>
                <w:sz w:val="14"/>
                <w:szCs w:val="14"/>
                <w:color w:val="auto"/>
              </w:rPr>
              <w:t>The Indemnification Agreement dated as of April 18, 1997 by and between TJX and BJ’s Wholesale Club, Inc. is incorporated</w:t>
            </w:r>
          </w:p>
        </w:tc>
      </w:tr>
      <w:tr>
        <w:trPr>
          <w:trHeight w:val="183"/>
        </w:trPr>
        <w:tc>
          <w:tcPr>
            <w:tcW w:w="2200" w:type="dxa"/>
            <w:vAlign w:val="bottom"/>
          </w:tcPr>
          <w:p>
            <w:pPr>
              <w:spacing w:after="0"/>
              <w:rPr>
                <w:sz w:val="15"/>
                <w:szCs w:val="15"/>
                <w:color w:val="auto"/>
              </w:rPr>
            </w:pPr>
          </w:p>
        </w:tc>
        <w:tc>
          <w:tcPr>
            <w:tcW w:w="9260" w:type="dxa"/>
            <w:vAlign w:val="bottom"/>
          </w:tcPr>
          <w:p>
            <w:pPr>
              <w:ind w:left="440"/>
              <w:spacing w:after="0"/>
              <w:rPr>
                <w:sz w:val="20"/>
                <w:szCs w:val="20"/>
                <w:color w:val="auto"/>
              </w:rPr>
            </w:pPr>
            <w:r>
              <w:rPr>
                <w:rFonts w:ascii="Arial" w:cs="Arial" w:eastAsia="Arial" w:hAnsi="Arial"/>
                <w:sz w:val="14"/>
                <w:szCs w:val="14"/>
                <w:color w:val="auto"/>
              </w:rPr>
              <w:t>herein by reference to Exhibit 10.23 to the Form 10-K filed for the fiscal year ended January 25, 1997.</w:t>
            </w:r>
          </w:p>
        </w:tc>
      </w:tr>
      <w:tr>
        <w:trPr>
          <w:trHeight w:val="356"/>
        </w:trPr>
        <w:tc>
          <w:tcPr>
            <w:tcW w:w="2200" w:type="dxa"/>
            <w:vAlign w:val="bottom"/>
          </w:tcPr>
          <w:p>
            <w:pPr>
              <w:spacing w:after="0"/>
              <w:rPr>
                <w:sz w:val="24"/>
                <w:szCs w:val="24"/>
                <w:color w:val="auto"/>
              </w:rPr>
            </w:pPr>
          </w:p>
        </w:tc>
        <w:tc>
          <w:tcPr>
            <w:tcW w:w="9260" w:type="dxa"/>
            <w:vAlign w:val="bottom"/>
          </w:tcPr>
          <w:p>
            <w:pPr>
              <w:ind w:left="3460"/>
              <w:spacing w:after="0"/>
              <w:rPr>
                <w:sz w:val="20"/>
                <w:szCs w:val="20"/>
                <w:color w:val="auto"/>
              </w:rPr>
            </w:pPr>
            <w:r>
              <w:rPr>
                <w:rFonts w:ascii="Arial" w:cs="Arial" w:eastAsia="Arial" w:hAnsi="Arial"/>
                <w:sz w:val="14"/>
                <w:szCs w:val="14"/>
                <w:color w:val="auto"/>
              </w:rPr>
              <w:t>17</w:t>
            </w:r>
          </w:p>
        </w:tc>
      </w:tr>
      <w:tr>
        <w:trPr>
          <w:trHeight w:val="187"/>
        </w:trPr>
        <w:tc>
          <w:tcPr>
            <w:tcW w:w="2200" w:type="dxa"/>
            <w:vAlign w:val="bottom"/>
            <w:tcBorders>
              <w:bottom w:val="single" w:sz="8" w:color="808080"/>
            </w:tcBorders>
          </w:tcPr>
          <w:p>
            <w:pPr>
              <w:spacing w:after="0"/>
              <w:rPr>
                <w:sz w:val="16"/>
                <w:szCs w:val="16"/>
                <w:color w:val="auto"/>
              </w:rPr>
            </w:pPr>
          </w:p>
        </w:tc>
        <w:tc>
          <w:tcPr>
            <w:tcW w:w="92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57" w:lineRule="exact"/>
        <w:rPr>
          <w:sz w:val="20"/>
          <w:szCs w:val="20"/>
          <w:color w:val="auto"/>
        </w:rPr>
      </w:pPr>
    </w:p>
    <w:p>
      <w:pPr>
        <w:ind w:left="2640" w:hanging="1196"/>
        <w:spacing w:after="0"/>
        <w:tabs>
          <w:tab w:leader="none" w:pos="2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Annual Report to Security Holders:</w:t>
      </w:r>
    </w:p>
    <w:p>
      <w:pPr>
        <w:spacing w:after="0" w:line="195" w:lineRule="exact"/>
        <w:rPr>
          <w:rFonts w:ascii="Arial" w:cs="Arial" w:eastAsia="Arial" w:hAnsi="Arial"/>
          <w:sz w:val="14"/>
          <w:szCs w:val="14"/>
          <w:color w:val="auto"/>
        </w:rPr>
      </w:pPr>
    </w:p>
    <w:p>
      <w:pPr>
        <w:ind w:left="2640"/>
        <w:spacing w:after="0"/>
        <w:rPr>
          <w:rFonts w:ascii="Arial" w:cs="Arial" w:eastAsia="Arial" w:hAnsi="Arial"/>
          <w:sz w:val="14"/>
          <w:szCs w:val="14"/>
          <w:color w:val="auto"/>
        </w:rPr>
      </w:pPr>
      <w:r>
        <w:rPr>
          <w:rFonts w:ascii="Arial" w:cs="Arial" w:eastAsia="Arial" w:hAnsi="Arial"/>
          <w:sz w:val="14"/>
          <w:szCs w:val="14"/>
          <w:color w:val="auto"/>
        </w:rPr>
        <w:t>Portions of the Annual Report to Stockholders for the fiscal year ended January 25, 2003 are filed herewith.</w:t>
      </w:r>
    </w:p>
    <w:p>
      <w:pPr>
        <w:spacing w:after="0" w:line="195" w:lineRule="exact"/>
        <w:rPr>
          <w:rFonts w:ascii="Arial" w:cs="Arial" w:eastAsia="Arial" w:hAnsi="Arial"/>
          <w:sz w:val="14"/>
          <w:szCs w:val="14"/>
          <w:color w:val="auto"/>
        </w:rPr>
      </w:pPr>
    </w:p>
    <w:p>
      <w:pPr>
        <w:ind w:left="2640" w:hanging="1196"/>
        <w:spacing w:after="0"/>
        <w:tabs>
          <w:tab w:leader="none" w:pos="2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Code of Ethics:</w:t>
      </w:r>
    </w:p>
    <w:p>
      <w:pPr>
        <w:spacing w:after="0" w:line="195" w:lineRule="exact"/>
        <w:rPr>
          <w:rFonts w:ascii="Arial" w:cs="Arial" w:eastAsia="Arial" w:hAnsi="Arial"/>
          <w:sz w:val="14"/>
          <w:szCs w:val="14"/>
          <w:color w:val="auto"/>
        </w:rPr>
      </w:pPr>
    </w:p>
    <w:p>
      <w:pPr>
        <w:ind w:left="2640"/>
        <w:spacing w:after="0"/>
        <w:rPr>
          <w:rFonts w:ascii="Arial" w:cs="Arial" w:eastAsia="Arial" w:hAnsi="Arial"/>
          <w:sz w:val="14"/>
          <w:szCs w:val="14"/>
          <w:color w:val="auto"/>
        </w:rPr>
      </w:pPr>
      <w:r>
        <w:rPr>
          <w:rFonts w:ascii="Arial" w:cs="Arial" w:eastAsia="Arial" w:hAnsi="Arial"/>
          <w:sz w:val="14"/>
          <w:szCs w:val="14"/>
          <w:color w:val="auto"/>
        </w:rPr>
        <w:t>TJX’s Code of Ethics for TJX Executives is filed herewith.</w:t>
      </w:r>
    </w:p>
    <w:p>
      <w:pPr>
        <w:spacing w:after="0" w:line="195" w:lineRule="exact"/>
        <w:rPr>
          <w:sz w:val="20"/>
          <w:szCs w:val="20"/>
          <w:color w:val="auto"/>
        </w:rPr>
      </w:pPr>
    </w:p>
    <w:p>
      <w:pPr>
        <w:ind w:left="2640" w:hanging="1196"/>
        <w:spacing w:after="0"/>
        <w:tabs>
          <w:tab w:leader="none" w:pos="2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Subsidiaries:</w:t>
      </w:r>
    </w:p>
    <w:p>
      <w:pPr>
        <w:spacing w:after="0" w:line="195" w:lineRule="exact"/>
        <w:rPr>
          <w:rFonts w:ascii="Arial" w:cs="Arial" w:eastAsia="Arial" w:hAnsi="Arial"/>
          <w:sz w:val="14"/>
          <w:szCs w:val="14"/>
          <w:color w:val="auto"/>
        </w:rPr>
      </w:pPr>
    </w:p>
    <w:p>
      <w:pPr>
        <w:ind w:left="2640"/>
        <w:spacing w:after="0"/>
        <w:rPr>
          <w:rFonts w:ascii="Arial" w:cs="Arial" w:eastAsia="Arial" w:hAnsi="Arial"/>
          <w:sz w:val="14"/>
          <w:szCs w:val="14"/>
          <w:color w:val="auto"/>
        </w:rPr>
      </w:pPr>
      <w:r>
        <w:rPr>
          <w:rFonts w:ascii="Arial" w:cs="Arial" w:eastAsia="Arial" w:hAnsi="Arial"/>
          <w:sz w:val="14"/>
          <w:szCs w:val="14"/>
          <w:color w:val="auto"/>
        </w:rPr>
        <w:t>A list of the Registrant’s subsidiaries is filed herewith.</w:t>
      </w:r>
    </w:p>
    <w:p>
      <w:pPr>
        <w:spacing w:after="0" w:line="195" w:lineRule="exact"/>
        <w:rPr>
          <w:sz w:val="20"/>
          <w:szCs w:val="20"/>
          <w:color w:val="auto"/>
        </w:rPr>
      </w:pPr>
    </w:p>
    <w:p>
      <w:pPr>
        <w:ind w:left="2640" w:hanging="1196"/>
        <w:spacing w:after="0"/>
        <w:tabs>
          <w:tab w:leader="none" w:pos="2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Consents of Experts and Counsel:</w:t>
      </w:r>
    </w:p>
    <w:p>
      <w:pPr>
        <w:spacing w:after="0" w:line="195" w:lineRule="exact"/>
        <w:rPr>
          <w:rFonts w:ascii="Arial" w:cs="Arial" w:eastAsia="Arial" w:hAnsi="Arial"/>
          <w:sz w:val="14"/>
          <w:szCs w:val="14"/>
          <w:color w:val="auto"/>
        </w:rPr>
      </w:pPr>
    </w:p>
    <w:p>
      <w:pPr>
        <w:ind w:left="2640"/>
        <w:spacing w:after="0"/>
        <w:rPr>
          <w:rFonts w:ascii="Arial" w:cs="Arial" w:eastAsia="Arial" w:hAnsi="Arial"/>
          <w:sz w:val="14"/>
          <w:szCs w:val="14"/>
          <w:color w:val="auto"/>
        </w:rPr>
      </w:pPr>
      <w:r>
        <w:rPr>
          <w:rFonts w:ascii="Arial" w:cs="Arial" w:eastAsia="Arial" w:hAnsi="Arial"/>
          <w:sz w:val="14"/>
          <w:szCs w:val="14"/>
          <w:color w:val="auto"/>
        </w:rPr>
        <w:t>The Consent of PricewaterhouseCoopers LLP is contained on Page F-2 of the Financial Statements filed herewith.</w:t>
      </w:r>
    </w:p>
    <w:p>
      <w:pPr>
        <w:spacing w:after="0" w:line="195" w:lineRule="exact"/>
        <w:rPr>
          <w:rFonts w:ascii="Arial" w:cs="Arial" w:eastAsia="Arial" w:hAnsi="Arial"/>
          <w:sz w:val="14"/>
          <w:szCs w:val="14"/>
          <w:color w:val="auto"/>
        </w:rPr>
      </w:pPr>
    </w:p>
    <w:p>
      <w:pPr>
        <w:ind w:left="2640" w:hanging="1196"/>
        <w:spacing w:after="0"/>
        <w:tabs>
          <w:tab w:leader="none" w:pos="2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Power of Attorney:</w:t>
      </w:r>
    </w:p>
    <w:p>
      <w:pPr>
        <w:spacing w:after="0" w:line="195" w:lineRule="exact"/>
        <w:rPr>
          <w:rFonts w:ascii="Arial" w:cs="Arial" w:eastAsia="Arial" w:hAnsi="Arial"/>
          <w:sz w:val="14"/>
          <w:szCs w:val="14"/>
          <w:color w:val="auto"/>
        </w:rPr>
      </w:pPr>
    </w:p>
    <w:p>
      <w:pPr>
        <w:ind w:left="2640"/>
        <w:spacing w:after="0"/>
        <w:rPr>
          <w:rFonts w:ascii="Arial" w:cs="Arial" w:eastAsia="Arial" w:hAnsi="Arial"/>
          <w:sz w:val="14"/>
          <w:szCs w:val="14"/>
          <w:color w:val="auto"/>
        </w:rPr>
      </w:pPr>
      <w:r>
        <w:rPr>
          <w:rFonts w:ascii="Arial" w:cs="Arial" w:eastAsia="Arial" w:hAnsi="Arial"/>
          <w:sz w:val="14"/>
          <w:szCs w:val="14"/>
          <w:color w:val="auto"/>
        </w:rPr>
        <w:t>The Power of Attorney given by the Directors and certain Executive Officers of TJX is filed herewith.</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740" w:type="dxa"/>
            <w:vAlign w:val="bottom"/>
          </w:tcPr>
          <w:p>
            <w:pPr>
              <w:jc w:val="right"/>
              <w:ind w:right="408"/>
              <w:spacing w:after="0"/>
              <w:rPr>
                <w:sz w:val="20"/>
                <w:szCs w:val="20"/>
                <w:color w:val="auto"/>
              </w:rPr>
            </w:pPr>
            <w:r>
              <w:rPr>
                <w:rFonts w:ascii="Arial" w:cs="Arial" w:eastAsia="Arial" w:hAnsi="Arial"/>
                <w:sz w:val="14"/>
                <w:szCs w:val="14"/>
                <w:color w:val="auto"/>
                <w:w w:val="87"/>
              </w:rPr>
              <w:t>99.1</w:t>
            </w:r>
          </w:p>
        </w:tc>
        <w:tc>
          <w:tcPr>
            <w:tcW w:w="7820" w:type="dxa"/>
            <w:vAlign w:val="bottom"/>
          </w:tcPr>
          <w:p>
            <w:pPr>
              <w:ind w:left="460"/>
              <w:spacing w:after="0"/>
              <w:rPr>
                <w:sz w:val="20"/>
                <w:szCs w:val="20"/>
                <w:color w:val="auto"/>
              </w:rPr>
            </w:pPr>
            <w:r>
              <w:rPr>
                <w:rFonts w:ascii="Arial" w:cs="Arial" w:eastAsia="Arial" w:hAnsi="Arial"/>
                <w:sz w:val="14"/>
                <w:szCs w:val="14"/>
                <w:color w:val="auto"/>
              </w:rPr>
              <w:t>Certification Statement of Chief Executive Officer pursuant to Section 906 of the Sarbanes-Oxley Act of 2002 is filed</w:t>
            </w:r>
          </w:p>
        </w:tc>
      </w:tr>
      <w:tr>
        <w:trPr>
          <w:trHeight w:val="183"/>
        </w:trPr>
        <w:tc>
          <w:tcPr>
            <w:tcW w:w="740" w:type="dxa"/>
            <w:vAlign w:val="bottom"/>
          </w:tcPr>
          <w:p>
            <w:pPr>
              <w:spacing w:after="0"/>
              <w:rPr>
                <w:sz w:val="15"/>
                <w:szCs w:val="15"/>
                <w:color w:val="auto"/>
              </w:rPr>
            </w:pPr>
          </w:p>
        </w:tc>
        <w:tc>
          <w:tcPr>
            <w:tcW w:w="7820" w:type="dxa"/>
            <w:vAlign w:val="bottom"/>
          </w:tcPr>
          <w:p>
            <w:pPr>
              <w:ind w:left="460"/>
              <w:spacing w:after="0"/>
              <w:rPr>
                <w:sz w:val="20"/>
                <w:szCs w:val="20"/>
                <w:color w:val="auto"/>
              </w:rPr>
            </w:pPr>
            <w:r>
              <w:rPr>
                <w:rFonts w:ascii="Arial" w:cs="Arial" w:eastAsia="Arial" w:hAnsi="Arial"/>
                <w:sz w:val="14"/>
                <w:szCs w:val="14"/>
                <w:color w:val="auto"/>
              </w:rPr>
              <w:t>herewith.</w:t>
            </w:r>
          </w:p>
        </w:tc>
      </w:tr>
      <w:tr>
        <w:trPr>
          <w:trHeight w:val="356"/>
        </w:trPr>
        <w:tc>
          <w:tcPr>
            <w:tcW w:w="740" w:type="dxa"/>
            <w:vAlign w:val="bottom"/>
          </w:tcPr>
          <w:p>
            <w:pPr>
              <w:jc w:val="right"/>
              <w:ind w:right="408"/>
              <w:spacing w:after="0"/>
              <w:rPr>
                <w:sz w:val="20"/>
                <w:szCs w:val="20"/>
                <w:color w:val="auto"/>
              </w:rPr>
            </w:pPr>
            <w:r>
              <w:rPr>
                <w:rFonts w:ascii="Arial" w:cs="Arial" w:eastAsia="Arial" w:hAnsi="Arial"/>
                <w:sz w:val="14"/>
                <w:szCs w:val="14"/>
                <w:color w:val="auto"/>
                <w:w w:val="87"/>
              </w:rPr>
              <w:t>99.2</w:t>
            </w:r>
          </w:p>
        </w:tc>
        <w:tc>
          <w:tcPr>
            <w:tcW w:w="7820" w:type="dxa"/>
            <w:vAlign w:val="bottom"/>
          </w:tcPr>
          <w:p>
            <w:pPr>
              <w:ind w:left="460"/>
              <w:spacing w:after="0"/>
              <w:rPr>
                <w:sz w:val="20"/>
                <w:szCs w:val="20"/>
                <w:color w:val="auto"/>
              </w:rPr>
            </w:pPr>
            <w:r>
              <w:rPr>
                <w:rFonts w:ascii="Arial" w:cs="Arial" w:eastAsia="Arial" w:hAnsi="Arial"/>
                <w:sz w:val="14"/>
                <w:szCs w:val="14"/>
                <w:color w:val="auto"/>
                <w:w w:val="94"/>
              </w:rPr>
              <w:t>Certification Statement of Chief Financial Officer pursuant to Section 906 of the Sarbanes-Oxley Act of 2002 is filed herewith.</w:t>
            </w:r>
          </w:p>
        </w:tc>
      </w:tr>
    </w:tbl>
    <w:p>
      <w:pPr>
        <w:spacing w:after="0" w:line="173" w:lineRule="exact"/>
        <w:rPr>
          <w:sz w:val="20"/>
          <w:szCs w:val="20"/>
          <w:color w:val="auto"/>
        </w:rPr>
      </w:pPr>
    </w:p>
    <w:p>
      <w:pPr>
        <w:ind w:left="480" w:hanging="471"/>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95"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SIGNATURES</w:t>
      </w:r>
    </w:p>
    <w:p>
      <w:pPr>
        <w:spacing w:after="0" w:line="195" w:lineRule="exact"/>
        <w:rPr>
          <w:sz w:val="20"/>
          <w:szCs w:val="20"/>
          <w:color w:val="auto"/>
        </w:rPr>
      </w:pPr>
    </w:p>
    <w:p>
      <w:pPr>
        <w:ind w:firstLine="181"/>
        <w:spacing w:after="0" w:line="298"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335"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THE TJX COMPANIES, INC.</w:t>
      </w:r>
    </w:p>
    <w:p>
      <w:pPr>
        <w:spacing w:after="0" w:line="195" w:lineRule="exact"/>
        <w:rPr>
          <w:sz w:val="20"/>
          <w:szCs w:val="20"/>
          <w:color w:val="auto"/>
        </w:rPr>
      </w:pPr>
    </w:p>
    <w:p>
      <w:pPr>
        <w:spacing w:after="0"/>
        <w:tabs>
          <w:tab w:leader="none" w:pos="6280" w:val="left"/>
        </w:tabs>
        <w:rPr>
          <w:sz w:val="20"/>
          <w:szCs w:val="20"/>
          <w:color w:val="auto"/>
        </w:rPr>
      </w:pPr>
      <w:r>
        <w:rPr>
          <w:rFonts w:ascii="Arial" w:cs="Arial" w:eastAsia="Arial" w:hAnsi="Arial"/>
          <w:sz w:val="14"/>
          <w:szCs w:val="14"/>
          <w:color w:val="auto"/>
        </w:rPr>
        <w:t>Dated: April 25, 2003</w:t>
      </w:r>
      <w:r>
        <w:rPr>
          <w:sz w:val="20"/>
          <w:szCs w:val="20"/>
          <w:color w:val="auto"/>
        </w:rPr>
        <w:tab/>
      </w:r>
      <w:r>
        <w:rPr>
          <w:rFonts w:ascii="Arial" w:cs="Arial" w:eastAsia="Arial" w:hAnsi="Arial"/>
          <w:sz w:val="13"/>
          <w:szCs w:val="13"/>
          <w:color w:val="auto"/>
        </w:rPr>
        <w:t>/s/ Donald G.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4004945</wp:posOffset>
            </wp:positionH>
            <wp:positionV relativeFrom="paragraph">
              <wp:posOffset>64770</wp:posOffset>
            </wp:positionV>
            <wp:extent cx="327152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71520" cy="6985"/>
                    </a:xfrm>
                    <a:prstGeom prst="rect">
                      <a:avLst/>
                    </a:prstGeom>
                    <a:noFill/>
                  </pic:spPr>
                </pic:pic>
              </a:graphicData>
            </a:graphic>
          </wp:anchor>
        </w:drawing>
      </w:r>
    </w:p>
    <w:p>
      <w:pPr>
        <w:spacing w:after="0" w:line="175"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Donald G. Campbell</w:t>
      </w:r>
    </w:p>
    <w:p>
      <w:pPr>
        <w:spacing w:after="0" w:line="22" w:lineRule="exact"/>
        <w:rPr>
          <w:sz w:val="20"/>
          <w:szCs w:val="20"/>
          <w:color w:val="auto"/>
        </w:rPr>
      </w:pPr>
    </w:p>
    <w:p>
      <w:pPr>
        <w:ind w:left="6300"/>
        <w:spacing w:after="0"/>
        <w:rPr>
          <w:sz w:val="20"/>
          <w:szCs w:val="20"/>
          <w:color w:val="auto"/>
        </w:rPr>
      </w:pPr>
      <w:r>
        <w:rPr>
          <w:rFonts w:ascii="Arial" w:cs="Arial" w:eastAsia="Arial" w:hAnsi="Arial"/>
          <w:sz w:val="14"/>
          <w:szCs w:val="14"/>
          <w:color w:val="auto"/>
        </w:rPr>
        <w:t>Executive Vice President – Finance</w:t>
      </w:r>
    </w:p>
    <w:p>
      <w:pPr>
        <w:spacing w:after="0" w:line="190"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180"/>
          </w:cols>
          <w:pgMar w:left="220" w:top="370" w:right="49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ind w:right="120" w:firstLine="181"/>
        <w:spacing w:after="0" w:line="298"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80" w:type="dxa"/>
            <w:vAlign w:val="bottom"/>
            <w:gridSpan w:val="2"/>
          </w:tcPr>
          <w:p>
            <w:pPr>
              <w:spacing w:after="0"/>
              <w:rPr>
                <w:sz w:val="20"/>
                <w:szCs w:val="20"/>
                <w:color w:val="auto"/>
              </w:rPr>
            </w:pPr>
            <w:r>
              <w:rPr>
                <w:rFonts w:ascii="Arial" w:cs="Arial" w:eastAsia="Arial" w:hAnsi="Arial"/>
                <w:sz w:val="14"/>
                <w:szCs w:val="14"/>
                <w:color w:val="auto"/>
              </w:rPr>
              <w:t>/s/ EDMOND J. ENGLISH</w:t>
            </w: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/s/ DONALD G. CAMPBELL</w:t>
            </w:r>
          </w:p>
        </w:tc>
      </w:tr>
      <w:tr>
        <w:trPr>
          <w:trHeight w:val="83"/>
        </w:trPr>
        <w:tc>
          <w:tcPr>
            <w:tcW w:w="6780" w:type="dxa"/>
            <w:vAlign w:val="bottom"/>
            <w:tcBorders>
              <w:bottom w:val="single" w:sz="8" w:color="808080"/>
            </w:tcBorders>
            <w:gridSpan w:val="2"/>
          </w:tcPr>
          <w:p>
            <w:pPr>
              <w:spacing w:after="0"/>
              <w:rPr>
                <w:sz w:val="7"/>
                <w:szCs w:val="7"/>
                <w:color w:val="auto"/>
              </w:rPr>
            </w:pPr>
          </w:p>
        </w:tc>
        <w:tc>
          <w:tcPr>
            <w:tcW w:w="320" w:type="dxa"/>
            <w:vAlign w:val="bottom"/>
          </w:tcPr>
          <w:p>
            <w:pPr>
              <w:spacing w:after="0"/>
              <w:rPr>
                <w:sz w:val="7"/>
                <w:szCs w:val="7"/>
                <w:color w:val="auto"/>
              </w:rPr>
            </w:pPr>
          </w:p>
        </w:tc>
        <w:tc>
          <w:tcPr>
            <w:tcW w:w="4360" w:type="dxa"/>
            <w:vAlign w:val="bottom"/>
            <w:tcBorders>
              <w:bottom w:val="single" w:sz="8" w:color="808080"/>
            </w:tcBorders>
          </w:tcPr>
          <w:p>
            <w:pPr>
              <w:spacing w:after="0"/>
              <w:rPr>
                <w:sz w:val="7"/>
                <w:szCs w:val="7"/>
                <w:color w:val="auto"/>
              </w:rPr>
            </w:pPr>
          </w:p>
        </w:tc>
      </w:tr>
      <w:tr>
        <w:trPr>
          <w:trHeight w:val="260"/>
        </w:trPr>
        <w:tc>
          <w:tcPr>
            <w:tcW w:w="6780" w:type="dxa"/>
            <w:vAlign w:val="bottom"/>
            <w:gridSpan w:val="2"/>
          </w:tcPr>
          <w:p>
            <w:pPr>
              <w:spacing w:after="0"/>
              <w:rPr>
                <w:sz w:val="20"/>
                <w:szCs w:val="20"/>
                <w:color w:val="auto"/>
              </w:rPr>
            </w:pPr>
            <w:r>
              <w:rPr>
                <w:rFonts w:ascii="Arial" w:cs="Arial" w:eastAsia="Arial" w:hAnsi="Arial"/>
                <w:sz w:val="14"/>
                <w:szCs w:val="14"/>
                <w:color w:val="auto"/>
              </w:rPr>
              <w:t>Edmond J. English, President</w:t>
            </w: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Donald G. Campbell, Executive</w:t>
            </w:r>
          </w:p>
        </w:tc>
      </w:tr>
      <w:tr>
        <w:trPr>
          <w:trHeight w:val="178"/>
        </w:trPr>
        <w:tc>
          <w:tcPr>
            <w:tcW w:w="6780" w:type="dxa"/>
            <w:vAlign w:val="bottom"/>
            <w:gridSpan w:val="2"/>
          </w:tcPr>
          <w:p>
            <w:pPr>
              <w:spacing w:after="0"/>
              <w:rPr>
                <w:sz w:val="20"/>
                <w:szCs w:val="20"/>
                <w:color w:val="auto"/>
              </w:rPr>
            </w:pPr>
            <w:r>
              <w:rPr>
                <w:rFonts w:ascii="Arial" w:cs="Arial" w:eastAsia="Arial" w:hAnsi="Arial"/>
                <w:sz w:val="14"/>
                <w:szCs w:val="14"/>
                <w:color w:val="auto"/>
              </w:rPr>
              <w:t>and Principal Executive Officer</w:t>
            </w: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Vice President - Finance,</w:t>
            </w:r>
          </w:p>
        </w:tc>
      </w:tr>
      <w:tr>
        <w:trPr>
          <w:trHeight w:val="178"/>
        </w:trPr>
        <w:tc>
          <w:tcPr>
            <w:tcW w:w="6780" w:type="dxa"/>
            <w:vAlign w:val="bottom"/>
            <w:gridSpan w:val="2"/>
          </w:tcPr>
          <w:p>
            <w:pPr>
              <w:spacing w:after="0"/>
              <w:rPr>
                <w:sz w:val="20"/>
                <w:szCs w:val="20"/>
                <w:color w:val="auto"/>
              </w:rPr>
            </w:pPr>
            <w:r>
              <w:rPr>
                <w:rFonts w:ascii="Arial" w:cs="Arial" w:eastAsia="Arial" w:hAnsi="Arial"/>
                <w:sz w:val="14"/>
                <w:szCs w:val="14"/>
                <w:color w:val="auto"/>
              </w:rPr>
              <w:t>and Director</w:t>
            </w: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Principal Financial and</w:t>
            </w:r>
          </w:p>
        </w:tc>
      </w:tr>
      <w:tr>
        <w:trPr>
          <w:trHeight w:val="183"/>
        </w:trPr>
        <w:tc>
          <w:tcPr>
            <w:tcW w:w="48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Accounting Officer</w:t>
            </w:r>
          </w:p>
        </w:tc>
      </w:tr>
      <w:tr>
        <w:trPr>
          <w:trHeight w:val="356"/>
        </w:trPr>
        <w:tc>
          <w:tcPr>
            <w:tcW w:w="6780" w:type="dxa"/>
            <w:vAlign w:val="bottom"/>
            <w:gridSpan w:val="2"/>
          </w:tcPr>
          <w:p>
            <w:pPr>
              <w:spacing w:after="0"/>
              <w:rPr>
                <w:sz w:val="20"/>
                <w:szCs w:val="20"/>
                <w:color w:val="auto"/>
              </w:rPr>
            </w:pPr>
            <w:r>
              <w:rPr>
                <w:rFonts w:ascii="Arial" w:cs="Arial" w:eastAsia="Arial" w:hAnsi="Arial"/>
                <w:sz w:val="14"/>
                <w:szCs w:val="14"/>
                <w:color w:val="auto"/>
              </w:rPr>
              <w:t>DAVID A. BRANDON*</w:t>
            </w: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RICHARD G. LESSER*</w:t>
            </w:r>
          </w:p>
        </w:tc>
      </w:tr>
      <w:tr>
        <w:trPr>
          <w:trHeight w:val="83"/>
        </w:trPr>
        <w:tc>
          <w:tcPr>
            <w:tcW w:w="6780" w:type="dxa"/>
            <w:vAlign w:val="bottom"/>
            <w:tcBorders>
              <w:bottom w:val="single" w:sz="8" w:color="808080"/>
            </w:tcBorders>
            <w:gridSpan w:val="2"/>
          </w:tcPr>
          <w:p>
            <w:pPr>
              <w:spacing w:after="0"/>
              <w:rPr>
                <w:sz w:val="7"/>
                <w:szCs w:val="7"/>
                <w:color w:val="auto"/>
              </w:rPr>
            </w:pPr>
          </w:p>
        </w:tc>
        <w:tc>
          <w:tcPr>
            <w:tcW w:w="320" w:type="dxa"/>
            <w:vAlign w:val="bottom"/>
          </w:tcPr>
          <w:p>
            <w:pPr>
              <w:spacing w:after="0"/>
              <w:rPr>
                <w:sz w:val="7"/>
                <w:szCs w:val="7"/>
                <w:color w:val="auto"/>
              </w:rPr>
            </w:pPr>
          </w:p>
        </w:tc>
        <w:tc>
          <w:tcPr>
            <w:tcW w:w="4360" w:type="dxa"/>
            <w:vAlign w:val="bottom"/>
            <w:tcBorders>
              <w:bottom w:val="single" w:sz="8" w:color="808080"/>
            </w:tcBorders>
          </w:tcPr>
          <w:p>
            <w:pPr>
              <w:spacing w:after="0"/>
              <w:rPr>
                <w:sz w:val="7"/>
                <w:szCs w:val="7"/>
                <w:color w:val="auto"/>
              </w:rPr>
            </w:pPr>
          </w:p>
        </w:tc>
      </w:tr>
      <w:tr>
        <w:trPr>
          <w:trHeight w:val="265"/>
        </w:trPr>
        <w:tc>
          <w:tcPr>
            <w:tcW w:w="6780" w:type="dxa"/>
            <w:vAlign w:val="bottom"/>
            <w:gridSpan w:val="2"/>
          </w:tcPr>
          <w:p>
            <w:pPr>
              <w:spacing w:after="0"/>
              <w:rPr>
                <w:sz w:val="20"/>
                <w:szCs w:val="20"/>
                <w:color w:val="auto"/>
              </w:rPr>
            </w:pPr>
            <w:r>
              <w:rPr>
                <w:rFonts w:ascii="Arial" w:cs="Arial" w:eastAsia="Arial" w:hAnsi="Arial"/>
                <w:sz w:val="14"/>
                <w:szCs w:val="14"/>
                <w:color w:val="auto"/>
              </w:rPr>
              <w:t>David A. Brandon, Director</w:t>
            </w: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Richard G. Lesser, Director</w:t>
            </w:r>
          </w:p>
        </w:tc>
      </w:tr>
      <w:tr>
        <w:trPr>
          <w:trHeight w:val="356"/>
        </w:trPr>
        <w:tc>
          <w:tcPr>
            <w:tcW w:w="6780" w:type="dxa"/>
            <w:vAlign w:val="bottom"/>
            <w:gridSpan w:val="2"/>
          </w:tcPr>
          <w:p>
            <w:pPr>
              <w:spacing w:after="0"/>
              <w:rPr>
                <w:sz w:val="20"/>
                <w:szCs w:val="20"/>
                <w:color w:val="auto"/>
              </w:rPr>
            </w:pPr>
            <w:r>
              <w:rPr>
                <w:rFonts w:ascii="Arial" w:cs="Arial" w:eastAsia="Arial" w:hAnsi="Arial"/>
                <w:sz w:val="14"/>
                <w:szCs w:val="14"/>
                <w:color w:val="auto"/>
              </w:rPr>
              <w:t>BERNARD CAMMARATA*</w:t>
            </w: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JOHN F. O’BRIEN*</w:t>
            </w:r>
          </w:p>
        </w:tc>
      </w:tr>
      <w:tr>
        <w:trPr>
          <w:trHeight w:val="83"/>
        </w:trPr>
        <w:tc>
          <w:tcPr>
            <w:tcW w:w="6780" w:type="dxa"/>
            <w:vAlign w:val="bottom"/>
            <w:tcBorders>
              <w:bottom w:val="single" w:sz="8" w:color="808080"/>
            </w:tcBorders>
            <w:gridSpan w:val="2"/>
          </w:tcPr>
          <w:p>
            <w:pPr>
              <w:spacing w:after="0"/>
              <w:rPr>
                <w:sz w:val="7"/>
                <w:szCs w:val="7"/>
                <w:color w:val="auto"/>
              </w:rPr>
            </w:pPr>
          </w:p>
        </w:tc>
        <w:tc>
          <w:tcPr>
            <w:tcW w:w="320" w:type="dxa"/>
            <w:vAlign w:val="bottom"/>
          </w:tcPr>
          <w:p>
            <w:pPr>
              <w:spacing w:after="0"/>
              <w:rPr>
                <w:sz w:val="7"/>
                <w:szCs w:val="7"/>
                <w:color w:val="auto"/>
              </w:rPr>
            </w:pPr>
          </w:p>
        </w:tc>
        <w:tc>
          <w:tcPr>
            <w:tcW w:w="4360" w:type="dxa"/>
            <w:vAlign w:val="bottom"/>
            <w:tcBorders>
              <w:bottom w:val="single" w:sz="8" w:color="808080"/>
            </w:tcBorders>
          </w:tcPr>
          <w:p>
            <w:pPr>
              <w:spacing w:after="0"/>
              <w:rPr>
                <w:sz w:val="7"/>
                <w:szCs w:val="7"/>
                <w:color w:val="auto"/>
              </w:rPr>
            </w:pPr>
          </w:p>
        </w:tc>
      </w:tr>
      <w:tr>
        <w:trPr>
          <w:trHeight w:val="265"/>
        </w:trPr>
        <w:tc>
          <w:tcPr>
            <w:tcW w:w="6780" w:type="dxa"/>
            <w:vAlign w:val="bottom"/>
            <w:gridSpan w:val="2"/>
          </w:tcPr>
          <w:p>
            <w:pPr>
              <w:spacing w:after="0"/>
              <w:rPr>
                <w:sz w:val="20"/>
                <w:szCs w:val="20"/>
                <w:color w:val="auto"/>
              </w:rPr>
            </w:pPr>
            <w:r>
              <w:rPr>
                <w:rFonts w:ascii="Arial" w:cs="Arial" w:eastAsia="Arial" w:hAnsi="Arial"/>
                <w:sz w:val="14"/>
                <w:szCs w:val="14"/>
                <w:color w:val="auto"/>
              </w:rPr>
              <w:t>Bernard Cammarata, Director</w:t>
            </w: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John F. O’Brien, Director</w:t>
            </w:r>
          </w:p>
        </w:tc>
      </w:tr>
      <w:tr>
        <w:trPr>
          <w:trHeight w:val="356"/>
        </w:trPr>
        <w:tc>
          <w:tcPr>
            <w:tcW w:w="6780" w:type="dxa"/>
            <w:vAlign w:val="bottom"/>
            <w:gridSpan w:val="2"/>
          </w:tcPr>
          <w:p>
            <w:pPr>
              <w:spacing w:after="0"/>
              <w:rPr>
                <w:sz w:val="20"/>
                <w:szCs w:val="20"/>
                <w:color w:val="auto"/>
              </w:rPr>
            </w:pPr>
            <w:r>
              <w:rPr>
                <w:rFonts w:ascii="Arial" w:cs="Arial" w:eastAsia="Arial" w:hAnsi="Arial"/>
                <w:sz w:val="14"/>
                <w:szCs w:val="14"/>
                <w:color w:val="auto"/>
              </w:rPr>
              <w:t>GARY L. CRITTENDEN*</w:t>
            </w: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ROBERT F. SHAPIRO*</w:t>
            </w:r>
          </w:p>
        </w:tc>
      </w:tr>
      <w:tr>
        <w:trPr>
          <w:trHeight w:val="83"/>
        </w:trPr>
        <w:tc>
          <w:tcPr>
            <w:tcW w:w="6780" w:type="dxa"/>
            <w:vAlign w:val="bottom"/>
            <w:tcBorders>
              <w:bottom w:val="single" w:sz="8" w:color="808080"/>
            </w:tcBorders>
            <w:gridSpan w:val="2"/>
          </w:tcPr>
          <w:p>
            <w:pPr>
              <w:spacing w:after="0"/>
              <w:rPr>
                <w:sz w:val="7"/>
                <w:szCs w:val="7"/>
                <w:color w:val="auto"/>
              </w:rPr>
            </w:pPr>
          </w:p>
        </w:tc>
        <w:tc>
          <w:tcPr>
            <w:tcW w:w="320" w:type="dxa"/>
            <w:vAlign w:val="bottom"/>
          </w:tcPr>
          <w:p>
            <w:pPr>
              <w:spacing w:after="0"/>
              <w:rPr>
                <w:sz w:val="7"/>
                <w:szCs w:val="7"/>
                <w:color w:val="auto"/>
              </w:rPr>
            </w:pPr>
          </w:p>
        </w:tc>
        <w:tc>
          <w:tcPr>
            <w:tcW w:w="4360" w:type="dxa"/>
            <w:vAlign w:val="bottom"/>
            <w:tcBorders>
              <w:bottom w:val="single" w:sz="8" w:color="808080"/>
            </w:tcBorders>
          </w:tcPr>
          <w:p>
            <w:pPr>
              <w:spacing w:after="0"/>
              <w:rPr>
                <w:sz w:val="7"/>
                <w:szCs w:val="7"/>
                <w:color w:val="auto"/>
              </w:rPr>
            </w:pPr>
          </w:p>
        </w:tc>
      </w:tr>
      <w:tr>
        <w:trPr>
          <w:trHeight w:val="265"/>
        </w:trPr>
        <w:tc>
          <w:tcPr>
            <w:tcW w:w="6780" w:type="dxa"/>
            <w:vAlign w:val="bottom"/>
            <w:gridSpan w:val="2"/>
          </w:tcPr>
          <w:p>
            <w:pPr>
              <w:spacing w:after="0"/>
              <w:rPr>
                <w:sz w:val="20"/>
                <w:szCs w:val="20"/>
                <w:color w:val="auto"/>
              </w:rPr>
            </w:pPr>
            <w:r>
              <w:rPr>
                <w:rFonts w:ascii="Arial" w:cs="Arial" w:eastAsia="Arial" w:hAnsi="Arial"/>
                <w:sz w:val="14"/>
                <w:szCs w:val="14"/>
                <w:color w:val="auto"/>
              </w:rPr>
              <w:t>Gary L. Crittenden, Director</w:t>
            </w: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Robert F. Shapiro, Director</w:t>
            </w:r>
          </w:p>
        </w:tc>
      </w:tr>
      <w:tr>
        <w:trPr>
          <w:trHeight w:val="356"/>
        </w:trPr>
        <w:tc>
          <w:tcPr>
            <w:tcW w:w="6780" w:type="dxa"/>
            <w:vAlign w:val="bottom"/>
            <w:gridSpan w:val="2"/>
          </w:tcPr>
          <w:p>
            <w:pPr>
              <w:spacing w:after="0"/>
              <w:rPr>
                <w:sz w:val="20"/>
                <w:szCs w:val="20"/>
                <w:color w:val="auto"/>
              </w:rPr>
            </w:pPr>
            <w:r>
              <w:rPr>
                <w:rFonts w:ascii="Arial" w:cs="Arial" w:eastAsia="Arial" w:hAnsi="Arial"/>
                <w:sz w:val="14"/>
                <w:szCs w:val="14"/>
                <w:color w:val="auto"/>
              </w:rPr>
              <w:t>GAIL DEEGAN*</w:t>
            </w: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WILLOW B. SHIRE*</w:t>
            </w:r>
          </w:p>
        </w:tc>
      </w:tr>
      <w:tr>
        <w:trPr>
          <w:trHeight w:val="83"/>
        </w:trPr>
        <w:tc>
          <w:tcPr>
            <w:tcW w:w="6780" w:type="dxa"/>
            <w:vAlign w:val="bottom"/>
            <w:tcBorders>
              <w:bottom w:val="single" w:sz="8" w:color="808080"/>
            </w:tcBorders>
            <w:gridSpan w:val="2"/>
          </w:tcPr>
          <w:p>
            <w:pPr>
              <w:spacing w:after="0"/>
              <w:rPr>
                <w:sz w:val="7"/>
                <w:szCs w:val="7"/>
                <w:color w:val="auto"/>
              </w:rPr>
            </w:pPr>
          </w:p>
        </w:tc>
        <w:tc>
          <w:tcPr>
            <w:tcW w:w="320" w:type="dxa"/>
            <w:vAlign w:val="bottom"/>
          </w:tcPr>
          <w:p>
            <w:pPr>
              <w:spacing w:after="0"/>
              <w:rPr>
                <w:sz w:val="7"/>
                <w:szCs w:val="7"/>
                <w:color w:val="auto"/>
              </w:rPr>
            </w:pPr>
          </w:p>
        </w:tc>
        <w:tc>
          <w:tcPr>
            <w:tcW w:w="4360" w:type="dxa"/>
            <w:vAlign w:val="bottom"/>
            <w:tcBorders>
              <w:bottom w:val="single" w:sz="8" w:color="808080"/>
            </w:tcBorders>
          </w:tcPr>
          <w:p>
            <w:pPr>
              <w:spacing w:after="0"/>
              <w:rPr>
                <w:sz w:val="7"/>
                <w:szCs w:val="7"/>
                <w:color w:val="auto"/>
              </w:rPr>
            </w:pPr>
          </w:p>
        </w:tc>
      </w:tr>
      <w:tr>
        <w:trPr>
          <w:trHeight w:val="265"/>
        </w:trPr>
        <w:tc>
          <w:tcPr>
            <w:tcW w:w="6780" w:type="dxa"/>
            <w:vAlign w:val="bottom"/>
            <w:gridSpan w:val="2"/>
          </w:tcPr>
          <w:p>
            <w:pPr>
              <w:spacing w:after="0"/>
              <w:rPr>
                <w:sz w:val="20"/>
                <w:szCs w:val="20"/>
                <w:color w:val="auto"/>
              </w:rPr>
            </w:pPr>
            <w:r>
              <w:rPr>
                <w:rFonts w:ascii="Arial" w:cs="Arial" w:eastAsia="Arial" w:hAnsi="Arial"/>
                <w:sz w:val="14"/>
                <w:szCs w:val="14"/>
                <w:color w:val="auto"/>
              </w:rPr>
              <w:t>Gail Deegan, Director</w:t>
            </w: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Willow B. Shire, Director</w:t>
            </w:r>
          </w:p>
        </w:tc>
      </w:tr>
      <w:tr>
        <w:trPr>
          <w:trHeight w:val="356"/>
        </w:trPr>
        <w:tc>
          <w:tcPr>
            <w:tcW w:w="6780" w:type="dxa"/>
            <w:vAlign w:val="bottom"/>
            <w:gridSpan w:val="2"/>
          </w:tcPr>
          <w:p>
            <w:pPr>
              <w:spacing w:after="0"/>
              <w:rPr>
                <w:sz w:val="20"/>
                <w:szCs w:val="20"/>
                <w:color w:val="auto"/>
              </w:rPr>
            </w:pPr>
            <w:r>
              <w:rPr>
                <w:rFonts w:ascii="Arial" w:cs="Arial" w:eastAsia="Arial" w:hAnsi="Arial"/>
                <w:sz w:val="14"/>
                <w:szCs w:val="14"/>
                <w:color w:val="auto"/>
              </w:rPr>
              <w:t>DENNIS F. HIGHTOWER*</w:t>
            </w: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FLETCHER H. WILEY*</w:t>
            </w:r>
          </w:p>
        </w:tc>
      </w:tr>
      <w:tr>
        <w:trPr>
          <w:trHeight w:val="83"/>
        </w:trPr>
        <w:tc>
          <w:tcPr>
            <w:tcW w:w="6780" w:type="dxa"/>
            <w:vAlign w:val="bottom"/>
            <w:tcBorders>
              <w:bottom w:val="single" w:sz="8" w:color="808080"/>
            </w:tcBorders>
            <w:gridSpan w:val="2"/>
          </w:tcPr>
          <w:p>
            <w:pPr>
              <w:spacing w:after="0"/>
              <w:rPr>
                <w:sz w:val="7"/>
                <w:szCs w:val="7"/>
                <w:color w:val="auto"/>
              </w:rPr>
            </w:pPr>
          </w:p>
        </w:tc>
        <w:tc>
          <w:tcPr>
            <w:tcW w:w="320" w:type="dxa"/>
            <w:vAlign w:val="bottom"/>
          </w:tcPr>
          <w:p>
            <w:pPr>
              <w:spacing w:after="0"/>
              <w:rPr>
                <w:sz w:val="7"/>
                <w:szCs w:val="7"/>
                <w:color w:val="auto"/>
              </w:rPr>
            </w:pPr>
          </w:p>
        </w:tc>
        <w:tc>
          <w:tcPr>
            <w:tcW w:w="4360" w:type="dxa"/>
            <w:vAlign w:val="bottom"/>
            <w:tcBorders>
              <w:bottom w:val="single" w:sz="8" w:color="808080"/>
            </w:tcBorders>
          </w:tcPr>
          <w:p>
            <w:pPr>
              <w:spacing w:after="0"/>
              <w:rPr>
                <w:sz w:val="7"/>
                <w:szCs w:val="7"/>
                <w:color w:val="auto"/>
              </w:rPr>
            </w:pPr>
          </w:p>
        </w:tc>
      </w:tr>
      <w:tr>
        <w:trPr>
          <w:trHeight w:val="265"/>
        </w:trPr>
        <w:tc>
          <w:tcPr>
            <w:tcW w:w="6780" w:type="dxa"/>
            <w:vAlign w:val="bottom"/>
            <w:gridSpan w:val="2"/>
          </w:tcPr>
          <w:p>
            <w:pPr>
              <w:spacing w:after="0"/>
              <w:rPr>
                <w:sz w:val="20"/>
                <w:szCs w:val="20"/>
                <w:color w:val="auto"/>
              </w:rPr>
            </w:pPr>
            <w:r>
              <w:rPr>
                <w:rFonts w:ascii="Arial" w:cs="Arial" w:eastAsia="Arial" w:hAnsi="Arial"/>
                <w:sz w:val="14"/>
                <w:szCs w:val="14"/>
                <w:color w:val="auto"/>
              </w:rPr>
              <w:t>Dennis F. Hightower, Director</w:t>
            </w:r>
          </w:p>
        </w:tc>
        <w:tc>
          <w:tcPr>
            <w:tcW w:w="4680" w:type="dxa"/>
            <w:vAlign w:val="bottom"/>
            <w:gridSpan w:val="2"/>
          </w:tcPr>
          <w:p>
            <w:pPr>
              <w:ind w:left="320"/>
              <w:spacing w:after="0"/>
              <w:rPr>
                <w:sz w:val="20"/>
                <w:szCs w:val="20"/>
                <w:color w:val="auto"/>
              </w:rPr>
            </w:pPr>
            <w:r>
              <w:rPr>
                <w:rFonts w:ascii="Arial" w:cs="Arial" w:eastAsia="Arial" w:hAnsi="Arial"/>
                <w:sz w:val="14"/>
                <w:szCs w:val="14"/>
                <w:color w:val="auto"/>
              </w:rPr>
              <w:t>Fletcher H. Wiley, Director</w:t>
            </w:r>
          </w:p>
        </w:tc>
      </w:tr>
      <w:tr>
        <w:trPr>
          <w:trHeight w:val="556"/>
        </w:trPr>
        <w:tc>
          <w:tcPr>
            <w:tcW w:w="4820" w:type="dxa"/>
            <w:vAlign w:val="bottom"/>
          </w:tcPr>
          <w:p>
            <w:pPr>
              <w:spacing w:after="0"/>
              <w:rPr>
                <w:sz w:val="24"/>
                <w:szCs w:val="24"/>
                <w:color w:val="auto"/>
              </w:rPr>
            </w:pPr>
          </w:p>
        </w:tc>
        <w:tc>
          <w:tcPr>
            <w:tcW w:w="1960" w:type="dxa"/>
            <w:vAlign w:val="bottom"/>
          </w:tcPr>
          <w:p>
            <w:pPr>
              <w:ind w:left="1560"/>
              <w:spacing w:after="0"/>
              <w:rPr>
                <w:sz w:val="20"/>
                <w:szCs w:val="20"/>
                <w:color w:val="auto"/>
              </w:rPr>
            </w:pPr>
            <w:r>
              <w:rPr>
                <w:rFonts w:ascii="Arial" w:cs="Arial" w:eastAsia="Arial" w:hAnsi="Arial"/>
                <w:sz w:val="14"/>
                <w:szCs w:val="14"/>
                <w:color w:val="auto"/>
              </w:rPr>
              <w:t>* By</w:t>
            </w:r>
          </w:p>
        </w:tc>
        <w:tc>
          <w:tcPr>
            <w:tcW w:w="4680" w:type="dxa"/>
            <w:vAlign w:val="bottom"/>
            <w:gridSpan w:val="2"/>
          </w:tcPr>
          <w:p>
            <w:pPr>
              <w:spacing w:after="0"/>
              <w:rPr>
                <w:sz w:val="20"/>
                <w:szCs w:val="20"/>
                <w:color w:val="auto"/>
              </w:rPr>
            </w:pPr>
            <w:r>
              <w:rPr>
                <w:rFonts w:ascii="Arial" w:cs="Arial" w:eastAsia="Arial" w:hAnsi="Arial"/>
                <w:sz w:val="14"/>
                <w:szCs w:val="14"/>
                <w:color w:val="auto"/>
              </w:rPr>
              <w:t>/s/ DONALD G. CAMPBELL</w:t>
            </w:r>
          </w:p>
        </w:tc>
      </w:tr>
      <w:tr>
        <w:trPr>
          <w:trHeight w:val="92"/>
        </w:trPr>
        <w:tc>
          <w:tcPr>
            <w:tcW w:w="6780" w:type="dxa"/>
            <w:vAlign w:val="bottom"/>
            <w:gridSpan w:val="2"/>
          </w:tcPr>
          <w:p>
            <w:pPr>
              <w:spacing w:after="0"/>
              <w:rPr>
                <w:sz w:val="7"/>
                <w:szCs w:val="7"/>
                <w:color w:val="auto"/>
              </w:rPr>
            </w:pPr>
          </w:p>
        </w:tc>
        <w:tc>
          <w:tcPr>
            <w:tcW w:w="4680" w:type="dxa"/>
            <w:vAlign w:val="bottom"/>
            <w:tcBorders>
              <w:bottom w:val="single" w:sz="8" w:color="808080"/>
            </w:tcBorders>
            <w:gridSpan w:val="2"/>
          </w:tcPr>
          <w:p>
            <w:pPr>
              <w:spacing w:after="0"/>
              <w:rPr>
                <w:sz w:val="7"/>
                <w:szCs w:val="7"/>
                <w:color w:val="auto"/>
              </w:rPr>
            </w:pPr>
          </w:p>
        </w:tc>
      </w:tr>
      <w:tr>
        <w:trPr>
          <w:trHeight w:val="251"/>
        </w:trPr>
        <w:tc>
          <w:tcPr>
            <w:tcW w:w="6780" w:type="dxa"/>
            <w:vAlign w:val="bottom"/>
            <w:gridSpan w:val="2"/>
          </w:tcPr>
          <w:p>
            <w:pPr>
              <w:spacing w:after="0"/>
              <w:rPr>
                <w:sz w:val="20"/>
                <w:szCs w:val="20"/>
                <w:color w:val="auto"/>
              </w:rPr>
            </w:pPr>
            <w:r>
              <w:rPr>
                <w:rFonts w:ascii="Arial" w:cs="Arial" w:eastAsia="Arial" w:hAnsi="Arial"/>
                <w:sz w:val="14"/>
                <w:szCs w:val="14"/>
                <w:color w:val="auto"/>
              </w:rPr>
              <w:t>Dated: April 25, 2003</w:t>
            </w:r>
          </w:p>
        </w:tc>
        <w:tc>
          <w:tcPr>
            <w:tcW w:w="4680" w:type="dxa"/>
            <w:vAlign w:val="bottom"/>
            <w:gridSpan w:val="2"/>
          </w:tcPr>
          <w:p>
            <w:pPr>
              <w:spacing w:after="0"/>
              <w:rPr>
                <w:sz w:val="20"/>
                <w:szCs w:val="20"/>
                <w:color w:val="auto"/>
              </w:rPr>
            </w:pPr>
            <w:r>
              <w:rPr>
                <w:rFonts w:ascii="Arial" w:cs="Arial" w:eastAsia="Arial" w:hAnsi="Arial"/>
                <w:sz w:val="14"/>
                <w:szCs w:val="14"/>
                <w:color w:val="auto"/>
              </w:rPr>
              <w:t>Donald G. Campbell</w:t>
            </w:r>
          </w:p>
        </w:tc>
      </w:tr>
      <w:tr>
        <w:trPr>
          <w:trHeight w:val="183"/>
        </w:trPr>
        <w:tc>
          <w:tcPr>
            <w:tcW w:w="48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as attorney-in-fact</w:t>
            </w:r>
          </w:p>
        </w:tc>
      </w:tr>
      <w:tr>
        <w:trPr>
          <w:trHeight w:val="356"/>
        </w:trPr>
        <w:tc>
          <w:tcPr>
            <w:tcW w:w="6780" w:type="dxa"/>
            <w:vAlign w:val="bottom"/>
            <w:gridSpan w:val="2"/>
          </w:tcPr>
          <w:p>
            <w:pPr>
              <w:ind w:left="5660"/>
              <w:spacing w:after="0"/>
              <w:rPr>
                <w:sz w:val="20"/>
                <w:szCs w:val="20"/>
                <w:color w:val="auto"/>
              </w:rPr>
            </w:pPr>
            <w:r>
              <w:rPr>
                <w:rFonts w:ascii="Arial" w:cs="Arial" w:eastAsia="Arial" w:hAnsi="Arial"/>
                <w:sz w:val="14"/>
                <w:szCs w:val="14"/>
                <w:color w:val="auto"/>
              </w:rPr>
              <w:t>20</w:t>
            </w:r>
          </w:p>
        </w:tc>
        <w:tc>
          <w:tcPr>
            <w:tcW w:w="3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187"/>
        </w:trPr>
        <w:tc>
          <w:tcPr>
            <w:tcW w:w="4820" w:type="dxa"/>
            <w:vAlign w:val="bottom"/>
            <w:tcBorders>
              <w:bottom w:val="single" w:sz="8" w:color="808080"/>
            </w:tcBorders>
          </w:tcPr>
          <w:p>
            <w:pPr>
              <w:spacing w:after="0"/>
              <w:rPr>
                <w:sz w:val="16"/>
                <w:szCs w:val="16"/>
                <w:color w:val="auto"/>
              </w:rPr>
            </w:pPr>
          </w:p>
        </w:tc>
        <w:tc>
          <w:tcPr>
            <w:tcW w:w="196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43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7266305</wp:posOffset>
            </wp:positionH>
            <wp:positionV relativeFrom="paragraph">
              <wp:posOffset>-12700</wp:posOffset>
            </wp:positionV>
            <wp:extent cx="1270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1270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CERTIFICATIONS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I, Edmond J. English, certify that:</w:t>
      </w:r>
    </w:p>
    <w:p>
      <w:pPr>
        <w:spacing w:after="0" w:line="195" w:lineRule="exact"/>
        <w:rPr>
          <w:sz w:val="20"/>
          <w:szCs w:val="20"/>
          <w:color w:val="auto"/>
        </w:rPr>
      </w:pPr>
    </w:p>
    <w:p>
      <w:pPr>
        <w:ind w:left="480" w:hanging="471"/>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The TJX Companies, Inc.;</w:t>
      </w:r>
    </w:p>
    <w:p>
      <w:pPr>
        <w:spacing w:after="0" w:line="195" w:lineRule="exact"/>
        <w:rPr>
          <w:rFonts w:ascii="Arial" w:cs="Arial" w:eastAsia="Arial" w:hAnsi="Arial"/>
          <w:sz w:val="14"/>
          <w:szCs w:val="14"/>
          <w:color w:val="auto"/>
        </w:rPr>
      </w:pPr>
    </w:p>
    <w:p>
      <w:pPr>
        <w:ind w:left="480" w:right="260" w:hanging="471"/>
        <w:spacing w:after="0" w:line="298"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4" w:lineRule="exact"/>
        <w:rPr>
          <w:rFonts w:ascii="Arial" w:cs="Arial" w:eastAsia="Arial" w:hAnsi="Arial"/>
          <w:sz w:val="14"/>
          <w:szCs w:val="14"/>
          <w:color w:val="auto"/>
        </w:rPr>
      </w:pPr>
    </w:p>
    <w:p>
      <w:pPr>
        <w:ind w:left="480" w:right="340" w:hanging="471"/>
        <w:spacing w:after="0" w:line="298"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4" w:lineRule="exact"/>
        <w:rPr>
          <w:rFonts w:ascii="Arial" w:cs="Arial" w:eastAsia="Arial" w:hAnsi="Arial"/>
          <w:sz w:val="14"/>
          <w:szCs w:val="14"/>
          <w:color w:val="auto"/>
        </w:rPr>
      </w:pPr>
    </w:p>
    <w:p>
      <w:pPr>
        <w:ind w:left="480" w:right="20" w:hanging="471"/>
        <w:spacing w:after="0" w:line="298"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13a-14 and 15d-14) for the registrant and have:</w:t>
      </w:r>
    </w:p>
    <w:p>
      <w:pPr>
        <w:spacing w:after="0" w:line="134" w:lineRule="exact"/>
        <w:rPr>
          <w:rFonts w:ascii="Arial" w:cs="Arial" w:eastAsia="Arial" w:hAnsi="Arial"/>
          <w:sz w:val="14"/>
          <w:szCs w:val="14"/>
          <w:color w:val="auto"/>
        </w:rPr>
      </w:pPr>
    </w:p>
    <w:p>
      <w:pPr>
        <w:ind w:left="1040" w:right="340" w:hanging="564"/>
        <w:spacing w:after="0" w:line="298" w:lineRule="auto"/>
        <w:tabs>
          <w:tab w:leader="none" w:pos="10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34" w:lineRule="exact"/>
        <w:rPr>
          <w:rFonts w:ascii="Arial" w:cs="Arial" w:eastAsia="Arial" w:hAnsi="Arial"/>
          <w:sz w:val="14"/>
          <w:szCs w:val="14"/>
          <w:color w:val="auto"/>
        </w:rPr>
      </w:pPr>
    </w:p>
    <w:p>
      <w:pPr>
        <w:ind w:left="1040" w:right="200" w:hanging="564"/>
        <w:spacing w:after="0" w:line="298" w:lineRule="auto"/>
        <w:tabs>
          <w:tab w:leader="none" w:pos="10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as of a date within 90 days prior to the filing date of this annual report (the “Evaluation Date”); and</w:t>
      </w:r>
    </w:p>
    <w:p>
      <w:pPr>
        <w:spacing w:after="0" w:line="134" w:lineRule="exact"/>
        <w:rPr>
          <w:rFonts w:ascii="Arial" w:cs="Arial" w:eastAsia="Arial" w:hAnsi="Arial"/>
          <w:sz w:val="14"/>
          <w:szCs w:val="14"/>
          <w:color w:val="auto"/>
        </w:rPr>
      </w:pPr>
    </w:p>
    <w:p>
      <w:pPr>
        <w:ind w:left="1040" w:hanging="564"/>
        <w:spacing w:after="0"/>
        <w:tabs>
          <w:tab w:leader="none" w:pos="10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presented in this annual report our conclusions about the effectiveness of the disclosure controls and procedures based on our evaluation as of the Evaluation Date;</w:t>
      </w:r>
    </w:p>
    <w:p>
      <w:pPr>
        <w:spacing w:after="0" w:line="195" w:lineRule="exact"/>
        <w:rPr>
          <w:rFonts w:ascii="Arial" w:cs="Arial" w:eastAsia="Arial" w:hAnsi="Arial"/>
          <w:sz w:val="14"/>
          <w:szCs w:val="14"/>
          <w:color w:val="auto"/>
        </w:rPr>
      </w:pPr>
    </w:p>
    <w:p>
      <w:pPr>
        <w:ind w:left="480" w:right="140" w:hanging="471"/>
        <w:spacing w:after="0" w:line="298"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34" w:lineRule="exact"/>
        <w:rPr>
          <w:rFonts w:ascii="Arial" w:cs="Arial" w:eastAsia="Arial" w:hAnsi="Arial"/>
          <w:sz w:val="14"/>
          <w:szCs w:val="14"/>
          <w:color w:val="auto"/>
        </w:rPr>
      </w:pPr>
    </w:p>
    <w:p>
      <w:pPr>
        <w:ind w:left="1040" w:hanging="564"/>
        <w:spacing w:after="0" w:line="298" w:lineRule="auto"/>
        <w:tabs>
          <w:tab w:leader="none" w:pos="10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4" w:lineRule="exact"/>
        <w:rPr>
          <w:rFonts w:ascii="Arial" w:cs="Arial" w:eastAsia="Arial" w:hAnsi="Arial"/>
          <w:sz w:val="14"/>
          <w:szCs w:val="14"/>
          <w:color w:val="auto"/>
        </w:rPr>
      </w:pPr>
    </w:p>
    <w:p>
      <w:pPr>
        <w:ind w:left="1040" w:hanging="564"/>
        <w:spacing w:after="0"/>
        <w:tabs>
          <w:tab w:leader="none" w:pos="1040" w:val="left"/>
        </w:tabs>
        <w:numPr>
          <w:ilvl w:val="1"/>
          <w:numId w:val="1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controls; and</w:t>
      </w:r>
    </w:p>
    <w:p>
      <w:pPr>
        <w:spacing w:after="0" w:line="195" w:lineRule="exact"/>
        <w:rPr>
          <w:rFonts w:ascii="Arial" w:cs="Arial" w:eastAsia="Arial" w:hAnsi="Arial"/>
          <w:sz w:val="14"/>
          <w:szCs w:val="14"/>
          <w:color w:val="auto"/>
        </w:rPr>
      </w:pPr>
    </w:p>
    <w:p>
      <w:pPr>
        <w:ind w:left="480" w:hanging="471"/>
        <w:spacing w:after="0" w:line="339" w:lineRule="auto"/>
        <w:tabs>
          <w:tab w:leader="none" w:pos="4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Date: April 25, 2003</w:t>
      </w:r>
    </w:p>
    <w:p>
      <w:pPr>
        <w:spacing w:after="0" w:line="39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/s/ Edmond J.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52070</wp:posOffset>
            </wp:positionV>
            <wp:extent cx="2916555"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16555" cy="32385"/>
                    </a:xfrm>
                    <a:prstGeom prst="rect">
                      <a:avLst/>
                    </a:prstGeom>
                    <a:noFill/>
                  </pic:spPr>
                </pic:pic>
              </a:graphicData>
            </a:graphic>
          </wp:anchor>
        </w:drawing>
      </w:r>
    </w:p>
    <w:p>
      <w:pPr>
        <w:spacing w:after="0" w:line="153"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Name: Edmond J. English</w:t>
      </w:r>
    </w:p>
    <w:p>
      <w:pPr>
        <w:spacing w:after="0" w:line="22"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Title: President and Chief Executive Officer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I, Donald G. Campbell, certify that:</w:t>
      </w:r>
    </w:p>
    <w:p>
      <w:pPr>
        <w:spacing w:after="0" w:line="195" w:lineRule="exact"/>
        <w:rPr>
          <w:sz w:val="20"/>
          <w:szCs w:val="20"/>
          <w:color w:val="auto"/>
        </w:rPr>
      </w:pPr>
    </w:p>
    <w:p>
      <w:pPr>
        <w:ind w:left="480" w:hanging="471"/>
        <w:spacing w:after="0"/>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The TJX Companies, Inc.;</w:t>
      </w:r>
    </w:p>
    <w:p>
      <w:pPr>
        <w:spacing w:after="0" w:line="195" w:lineRule="exact"/>
        <w:rPr>
          <w:rFonts w:ascii="Arial" w:cs="Arial" w:eastAsia="Arial" w:hAnsi="Arial"/>
          <w:sz w:val="14"/>
          <w:szCs w:val="14"/>
          <w:color w:val="auto"/>
        </w:rPr>
      </w:pPr>
    </w:p>
    <w:p>
      <w:pPr>
        <w:ind w:left="480" w:right="260" w:hanging="471"/>
        <w:spacing w:after="0" w:line="298" w:lineRule="auto"/>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34" w:lineRule="exact"/>
        <w:rPr>
          <w:rFonts w:ascii="Arial" w:cs="Arial" w:eastAsia="Arial" w:hAnsi="Arial"/>
          <w:sz w:val="14"/>
          <w:szCs w:val="14"/>
          <w:color w:val="auto"/>
        </w:rPr>
      </w:pPr>
    </w:p>
    <w:p>
      <w:pPr>
        <w:ind w:left="480" w:right="340" w:hanging="471"/>
        <w:spacing w:after="0" w:line="298" w:lineRule="auto"/>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4" w:lineRule="exact"/>
        <w:rPr>
          <w:rFonts w:ascii="Arial" w:cs="Arial" w:eastAsia="Arial" w:hAnsi="Arial"/>
          <w:sz w:val="14"/>
          <w:szCs w:val="14"/>
          <w:color w:val="auto"/>
        </w:rPr>
      </w:pPr>
    </w:p>
    <w:p>
      <w:pPr>
        <w:ind w:left="480" w:right="20" w:hanging="471"/>
        <w:spacing w:after="0" w:line="298" w:lineRule="auto"/>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13a-14 and 15d-14) for the registrant and have:</w:t>
      </w:r>
    </w:p>
    <w:p>
      <w:pPr>
        <w:spacing w:after="0" w:line="134" w:lineRule="exact"/>
        <w:rPr>
          <w:rFonts w:ascii="Arial" w:cs="Arial" w:eastAsia="Arial" w:hAnsi="Arial"/>
          <w:sz w:val="14"/>
          <w:szCs w:val="14"/>
          <w:color w:val="auto"/>
        </w:rPr>
      </w:pPr>
    </w:p>
    <w:p>
      <w:pPr>
        <w:ind w:left="1040" w:right="340" w:hanging="564"/>
        <w:spacing w:after="0" w:line="298" w:lineRule="auto"/>
        <w:tabs>
          <w:tab w:leader="none" w:pos="1040" w:val="left"/>
        </w:tabs>
        <w:numPr>
          <w:ilvl w:val="1"/>
          <w:numId w:val="1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34" w:lineRule="exact"/>
        <w:rPr>
          <w:rFonts w:ascii="Arial" w:cs="Arial" w:eastAsia="Arial" w:hAnsi="Arial"/>
          <w:sz w:val="14"/>
          <w:szCs w:val="14"/>
          <w:color w:val="auto"/>
        </w:rPr>
      </w:pPr>
    </w:p>
    <w:p>
      <w:pPr>
        <w:ind w:left="1040" w:right="200" w:hanging="564"/>
        <w:spacing w:after="0" w:line="298" w:lineRule="auto"/>
        <w:tabs>
          <w:tab w:leader="none" w:pos="1040" w:val="left"/>
        </w:tabs>
        <w:numPr>
          <w:ilvl w:val="1"/>
          <w:numId w:val="1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as of a date within 90 days prior to the filing date of this annual report (the “Evaluation Date”); and</w:t>
      </w:r>
    </w:p>
    <w:p>
      <w:pPr>
        <w:spacing w:after="0" w:line="134" w:lineRule="exact"/>
        <w:rPr>
          <w:rFonts w:ascii="Arial" w:cs="Arial" w:eastAsia="Arial" w:hAnsi="Arial"/>
          <w:sz w:val="14"/>
          <w:szCs w:val="14"/>
          <w:color w:val="auto"/>
        </w:rPr>
      </w:pPr>
    </w:p>
    <w:p>
      <w:pPr>
        <w:ind w:left="1040" w:hanging="564"/>
        <w:spacing w:after="0"/>
        <w:tabs>
          <w:tab w:leader="none" w:pos="1040" w:val="left"/>
        </w:tabs>
        <w:numPr>
          <w:ilvl w:val="1"/>
          <w:numId w:val="11"/>
        </w:numPr>
        <w:rPr>
          <w:rFonts w:ascii="Arial" w:cs="Arial" w:eastAsia="Arial" w:hAnsi="Arial"/>
          <w:sz w:val="14"/>
          <w:szCs w:val="14"/>
          <w:color w:val="auto"/>
        </w:rPr>
      </w:pPr>
      <w:r>
        <w:rPr>
          <w:rFonts w:ascii="Arial" w:cs="Arial" w:eastAsia="Arial" w:hAnsi="Arial"/>
          <w:sz w:val="14"/>
          <w:szCs w:val="14"/>
          <w:color w:val="auto"/>
        </w:rPr>
        <w:t>presented in this annual report our conclusions about the effectiveness of the disclosure controls and procedures based on our evaluation as of the Evaluation Date;</w:t>
      </w:r>
    </w:p>
    <w:p>
      <w:pPr>
        <w:spacing w:after="0" w:line="195" w:lineRule="exact"/>
        <w:rPr>
          <w:rFonts w:ascii="Arial" w:cs="Arial" w:eastAsia="Arial" w:hAnsi="Arial"/>
          <w:sz w:val="14"/>
          <w:szCs w:val="14"/>
          <w:color w:val="auto"/>
        </w:rPr>
      </w:pPr>
    </w:p>
    <w:p>
      <w:pPr>
        <w:ind w:left="480" w:right="140" w:hanging="471"/>
        <w:spacing w:after="0" w:line="298" w:lineRule="auto"/>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134" w:lineRule="exact"/>
        <w:rPr>
          <w:rFonts w:ascii="Arial" w:cs="Arial" w:eastAsia="Arial" w:hAnsi="Arial"/>
          <w:sz w:val="14"/>
          <w:szCs w:val="14"/>
          <w:color w:val="auto"/>
        </w:rPr>
      </w:pPr>
    </w:p>
    <w:p>
      <w:pPr>
        <w:ind w:left="1040" w:hanging="564"/>
        <w:spacing w:after="0" w:line="298" w:lineRule="auto"/>
        <w:tabs>
          <w:tab w:leader="none" w:pos="1040" w:val="left"/>
        </w:tabs>
        <w:numPr>
          <w:ilvl w:val="1"/>
          <w:numId w:val="11"/>
        </w:numPr>
        <w:rPr>
          <w:rFonts w:ascii="Arial" w:cs="Arial" w:eastAsia="Arial" w:hAnsi="Arial"/>
          <w:sz w:val="14"/>
          <w:szCs w:val="14"/>
          <w:color w:val="auto"/>
        </w:rPr>
      </w:pPr>
      <w:r>
        <w:rPr>
          <w:rFonts w:ascii="Arial" w:cs="Arial" w:eastAsia="Arial" w:hAnsi="Arial"/>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4" w:lineRule="exact"/>
        <w:rPr>
          <w:rFonts w:ascii="Arial" w:cs="Arial" w:eastAsia="Arial" w:hAnsi="Arial"/>
          <w:sz w:val="14"/>
          <w:szCs w:val="14"/>
          <w:color w:val="auto"/>
        </w:rPr>
      </w:pPr>
    </w:p>
    <w:p>
      <w:pPr>
        <w:ind w:left="1040" w:hanging="564"/>
        <w:spacing w:after="0"/>
        <w:tabs>
          <w:tab w:leader="none" w:pos="1040" w:val="left"/>
        </w:tabs>
        <w:numPr>
          <w:ilvl w:val="1"/>
          <w:numId w:val="1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controls; and</w:t>
      </w:r>
    </w:p>
    <w:p>
      <w:pPr>
        <w:spacing w:after="0" w:line="195" w:lineRule="exact"/>
        <w:rPr>
          <w:rFonts w:ascii="Arial" w:cs="Arial" w:eastAsia="Arial" w:hAnsi="Arial"/>
          <w:sz w:val="14"/>
          <w:szCs w:val="14"/>
          <w:color w:val="auto"/>
        </w:rPr>
      </w:pPr>
    </w:p>
    <w:p>
      <w:pPr>
        <w:ind w:left="480" w:hanging="471"/>
        <w:spacing w:after="0" w:line="339" w:lineRule="auto"/>
        <w:tabs>
          <w:tab w:leader="none" w:pos="4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Date: April 25, 2003</w:t>
      </w:r>
    </w:p>
    <w:p>
      <w:pPr>
        <w:spacing w:after="0" w:line="395"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/s/ Donald G.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4372610</wp:posOffset>
            </wp:positionH>
            <wp:positionV relativeFrom="paragraph">
              <wp:posOffset>52070</wp:posOffset>
            </wp:positionV>
            <wp:extent cx="2916555" cy="32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16555" cy="32385"/>
                    </a:xfrm>
                    <a:prstGeom prst="rect">
                      <a:avLst/>
                    </a:prstGeom>
                    <a:noFill/>
                  </pic:spPr>
                </pic:pic>
              </a:graphicData>
            </a:graphic>
          </wp:anchor>
        </w:drawing>
      </w:r>
    </w:p>
    <w:p>
      <w:pPr>
        <w:spacing w:after="0" w:line="153"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Name: Donald G. Campbell</w:t>
      </w:r>
    </w:p>
    <w:p>
      <w:pPr>
        <w:spacing w:after="0" w:line="22"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Title: Executive Vice President and Chief Financial Officer</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125730</wp:posOffset>
            </wp:positionV>
            <wp:extent cx="727646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20"/>
          </w:cols>
          <w:pgMar w:left="220" w:top="370" w:right="25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46" w:lineRule="exact"/>
        <w:rPr>
          <w:sz w:val="20"/>
          <w:szCs w:val="20"/>
          <w:color w:val="auto"/>
        </w:rPr>
      </w:pPr>
    </w:p>
    <w:p>
      <w:pPr>
        <w:jc w:val="center"/>
        <w:ind w:right="-1220"/>
        <w:spacing w:after="0"/>
        <w:rPr>
          <w:sz w:val="20"/>
          <w:szCs w:val="20"/>
          <w:color w:val="auto"/>
        </w:rPr>
      </w:pPr>
      <w:r>
        <w:rPr>
          <w:rFonts w:ascii="Arial" w:cs="Arial" w:eastAsia="Arial" w:hAnsi="Arial"/>
          <w:sz w:val="20"/>
          <w:szCs w:val="20"/>
          <w:color w:val="auto"/>
        </w:rPr>
        <w:t>SECURITIES AND EXCHANGE COMMISSION</w:t>
      </w:r>
    </w:p>
    <w:p>
      <w:pPr>
        <w:spacing w:after="0" w:line="181"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Washington, DC 20549</w:t>
      </w:r>
    </w:p>
    <w:p>
      <w:pPr>
        <w:spacing w:after="0" w:line="164" w:lineRule="exact"/>
        <w:rPr>
          <w:sz w:val="20"/>
          <w:szCs w:val="20"/>
          <w:color w:val="auto"/>
        </w:rPr>
      </w:pPr>
    </w:p>
    <w:p>
      <w:pPr>
        <w:jc w:val="center"/>
        <w:ind w:right="-1220"/>
        <w:spacing w:after="0"/>
        <w:rPr>
          <w:sz w:val="20"/>
          <w:szCs w:val="20"/>
          <w:color w:val="auto"/>
        </w:rPr>
      </w:pPr>
      <w:r>
        <w:rPr>
          <w:rFonts w:ascii="Arial" w:cs="Arial" w:eastAsia="Arial" w:hAnsi="Arial"/>
          <w:sz w:val="32"/>
          <w:szCs w:val="32"/>
          <w:color w:val="auto"/>
        </w:rPr>
        <w:t>THE TJX COMPANIES, INC.</w:t>
      </w:r>
    </w:p>
    <w:p>
      <w:pPr>
        <w:spacing w:after="0" w:line="220" w:lineRule="exact"/>
        <w:rPr>
          <w:sz w:val="20"/>
          <w:szCs w:val="20"/>
          <w:color w:val="auto"/>
        </w:rPr>
      </w:pPr>
    </w:p>
    <w:p>
      <w:pPr>
        <w:ind w:left="5040"/>
        <w:spacing w:after="0"/>
        <w:rPr>
          <w:sz w:val="20"/>
          <w:szCs w:val="20"/>
          <w:color w:val="auto"/>
        </w:rPr>
      </w:pPr>
      <w:r>
        <w:rPr>
          <w:rFonts w:ascii="Arial" w:cs="Arial" w:eastAsia="Arial" w:hAnsi="Arial"/>
          <w:sz w:val="27"/>
          <w:szCs w:val="27"/>
          <w:color w:val="auto"/>
        </w:rPr>
        <w:t>FORM 10-K</w:t>
      </w:r>
    </w:p>
    <w:p>
      <w:pPr>
        <w:spacing w:after="0" w:line="17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ANNUAL REPORT</w:t>
      </w:r>
    </w:p>
    <w:p>
      <w:pPr>
        <w:spacing w:after="0" w:line="183"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INDEX TO CONSOLIDATED FINANCIAL STATEMENTS</w:t>
      </w:r>
    </w:p>
    <w:p>
      <w:pPr>
        <w:spacing w:after="0" w:line="195"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For the Fiscal Years Ended</w:t>
      </w:r>
    </w:p>
    <w:p>
      <w:pPr>
        <w:spacing w:after="0" w:line="22"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January 25, 2003, January 26, 2002</w:t>
      </w:r>
    </w:p>
    <w:p>
      <w:pPr>
        <w:spacing w:after="0" w:line="17" w:lineRule="exact"/>
        <w:rPr>
          <w:sz w:val="20"/>
          <w:szCs w:val="20"/>
          <w:color w:val="auto"/>
        </w:rPr>
      </w:pPr>
    </w:p>
    <w:p>
      <w:pPr>
        <w:jc w:val="center"/>
        <w:ind w:right="-1220"/>
        <w:spacing w:after="0"/>
        <w:rPr>
          <w:sz w:val="20"/>
          <w:szCs w:val="20"/>
          <w:color w:val="auto"/>
        </w:rPr>
      </w:pPr>
      <w:r>
        <w:rPr>
          <w:rFonts w:ascii="Arial" w:cs="Arial" w:eastAsia="Arial" w:hAnsi="Arial"/>
          <w:sz w:val="14"/>
          <w:szCs w:val="14"/>
          <w:color w:val="auto"/>
        </w:rPr>
        <w:t>and January 27,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7646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0239"/>
          </w:cols>
          <w:pgMar w:left="220" w:top="370" w:right="1440"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TJX COMPANIES, INC. AND SUBSIDIARIES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INDEX TO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 Fiscal Years Ended January 25, 2003, January 26, 2002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January 27, 2001</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540" w:type="dxa"/>
            <w:vAlign w:val="bottom"/>
            <w:shd w:val="clear" w:color="auto" w:fill="EEEEEE"/>
          </w:tcPr>
          <w:p>
            <w:pPr>
              <w:spacing w:after="0"/>
              <w:rPr>
                <w:sz w:val="20"/>
                <w:szCs w:val="20"/>
                <w:color w:val="auto"/>
              </w:rPr>
            </w:pPr>
            <w:r>
              <w:rPr>
                <w:rFonts w:ascii="Arial" w:cs="Arial" w:eastAsia="Arial" w:hAnsi="Arial"/>
                <w:sz w:val="14"/>
                <w:szCs w:val="14"/>
                <w:color w:val="auto"/>
              </w:rPr>
              <w:t>Report of Independent Accountants</w:t>
            </w:r>
          </w:p>
        </w:tc>
        <w:tc>
          <w:tcPr>
            <w:tcW w:w="1920" w:type="dxa"/>
            <w:vAlign w:val="bottom"/>
            <w:shd w:val="clear" w:color="auto" w:fill="EEEEEE"/>
          </w:tcPr>
          <w:p>
            <w:pPr>
              <w:jc w:val="right"/>
              <w:ind w:right="148"/>
              <w:spacing w:after="0"/>
              <w:rPr>
                <w:sz w:val="20"/>
                <w:szCs w:val="20"/>
                <w:color w:val="auto"/>
              </w:rPr>
            </w:pPr>
            <w:r>
              <w:rPr>
                <w:rFonts w:ascii="Arial" w:cs="Arial" w:eastAsia="Arial" w:hAnsi="Arial"/>
                <w:sz w:val="14"/>
                <w:szCs w:val="14"/>
                <w:color w:val="auto"/>
              </w:rPr>
              <w:t>42*</w:t>
            </w:r>
          </w:p>
        </w:tc>
      </w:tr>
      <w:tr>
        <w:trPr>
          <w:trHeight w:val="178"/>
        </w:trPr>
        <w:tc>
          <w:tcPr>
            <w:tcW w:w="9540" w:type="dxa"/>
            <w:vAlign w:val="bottom"/>
          </w:tcPr>
          <w:p>
            <w:pPr>
              <w:spacing w:after="0"/>
              <w:rPr>
                <w:sz w:val="20"/>
                <w:szCs w:val="20"/>
                <w:color w:val="auto"/>
              </w:rPr>
            </w:pPr>
            <w:r>
              <w:rPr>
                <w:rFonts w:ascii="Arial" w:cs="Arial" w:eastAsia="Arial" w:hAnsi="Arial"/>
                <w:sz w:val="14"/>
                <w:szCs w:val="14"/>
                <w:color w:val="auto"/>
              </w:rPr>
              <w:t>Consent of Independent Accountants</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F-2</w:t>
            </w:r>
          </w:p>
        </w:tc>
      </w:tr>
      <w:tr>
        <w:trPr>
          <w:trHeight w:val="178"/>
        </w:trPr>
        <w:tc>
          <w:tcPr>
            <w:tcW w:w="9540" w:type="dxa"/>
            <w:vAlign w:val="bottom"/>
            <w:shd w:val="clear" w:color="auto" w:fill="EEEEEE"/>
          </w:tcPr>
          <w:p>
            <w:pPr>
              <w:spacing w:after="0"/>
              <w:rPr>
                <w:sz w:val="20"/>
                <w:szCs w:val="20"/>
                <w:color w:val="auto"/>
              </w:rPr>
            </w:pPr>
            <w:r>
              <w:rPr>
                <w:rFonts w:ascii="Arial" w:cs="Arial" w:eastAsia="Arial" w:hAnsi="Arial"/>
                <w:sz w:val="14"/>
                <w:szCs w:val="14"/>
                <w:color w:val="auto"/>
              </w:rPr>
              <w:t>Selected Quarterly Financial Data (Unaudited)</w:t>
            </w:r>
          </w:p>
        </w:tc>
        <w:tc>
          <w:tcPr>
            <w:tcW w:w="1920" w:type="dxa"/>
            <w:vAlign w:val="bottom"/>
            <w:shd w:val="clear" w:color="auto" w:fill="EEEEEE"/>
          </w:tcPr>
          <w:p>
            <w:pPr>
              <w:jc w:val="right"/>
              <w:ind w:right="148"/>
              <w:spacing w:after="0"/>
              <w:rPr>
                <w:sz w:val="20"/>
                <w:szCs w:val="20"/>
                <w:color w:val="auto"/>
              </w:rPr>
            </w:pPr>
            <w:r>
              <w:rPr>
                <w:rFonts w:ascii="Arial" w:cs="Arial" w:eastAsia="Arial" w:hAnsi="Arial"/>
                <w:sz w:val="14"/>
                <w:szCs w:val="14"/>
                <w:color w:val="auto"/>
              </w:rPr>
              <w:t>54*</w:t>
            </w:r>
          </w:p>
        </w:tc>
      </w:tr>
      <w:tr>
        <w:trPr>
          <w:trHeight w:val="178"/>
        </w:trPr>
        <w:tc>
          <w:tcPr>
            <w:tcW w:w="9540" w:type="dxa"/>
            <w:vAlign w:val="bottom"/>
          </w:tcPr>
          <w:p>
            <w:pPr>
              <w:spacing w:after="0"/>
              <w:rPr>
                <w:sz w:val="20"/>
                <w:szCs w:val="20"/>
                <w:color w:val="auto"/>
              </w:rPr>
            </w:pPr>
            <w:r>
              <w:rPr>
                <w:rFonts w:ascii="Arial" w:cs="Arial" w:eastAsia="Arial" w:hAnsi="Arial"/>
                <w:sz w:val="14"/>
                <w:szCs w:val="14"/>
                <w:color w:val="auto"/>
              </w:rPr>
              <w:t>Consolidated Financial Statements:</w:t>
            </w:r>
          </w:p>
        </w:tc>
        <w:tc>
          <w:tcPr>
            <w:tcW w:w="1920" w:type="dxa"/>
            <w:vAlign w:val="bottom"/>
          </w:tcPr>
          <w:p>
            <w:pPr>
              <w:spacing w:after="0"/>
              <w:rPr>
                <w:sz w:val="15"/>
                <w:szCs w:val="15"/>
                <w:color w:val="auto"/>
              </w:rPr>
            </w:pPr>
          </w:p>
        </w:tc>
      </w:tr>
      <w:tr>
        <w:trPr>
          <w:trHeight w:val="178"/>
        </w:trPr>
        <w:tc>
          <w:tcPr>
            <w:tcW w:w="9540" w:type="dxa"/>
            <w:vAlign w:val="bottom"/>
            <w:shd w:val="clear" w:color="auto" w:fill="EEEEEE"/>
          </w:tcPr>
          <w:p>
            <w:pPr>
              <w:ind w:left="560"/>
              <w:spacing w:after="0"/>
              <w:rPr>
                <w:sz w:val="20"/>
                <w:szCs w:val="20"/>
                <w:color w:val="auto"/>
              </w:rPr>
            </w:pPr>
            <w:r>
              <w:rPr>
                <w:rFonts w:ascii="Arial" w:cs="Arial" w:eastAsia="Arial" w:hAnsi="Arial"/>
                <w:sz w:val="14"/>
                <w:szCs w:val="14"/>
                <w:color w:val="auto"/>
              </w:rPr>
              <w:t>Consolidated Statements of Income for the fiscal years ended January 25, 2003, January 26, 2002 and January 27, 2001</w:t>
            </w:r>
          </w:p>
        </w:tc>
        <w:tc>
          <w:tcPr>
            <w:tcW w:w="1920" w:type="dxa"/>
            <w:vAlign w:val="bottom"/>
            <w:shd w:val="clear" w:color="auto" w:fill="EEEEEE"/>
          </w:tcPr>
          <w:p>
            <w:pPr>
              <w:jc w:val="right"/>
              <w:ind w:right="148"/>
              <w:spacing w:after="0"/>
              <w:rPr>
                <w:sz w:val="20"/>
                <w:szCs w:val="20"/>
                <w:color w:val="auto"/>
              </w:rPr>
            </w:pPr>
            <w:r>
              <w:rPr>
                <w:rFonts w:ascii="Arial" w:cs="Arial" w:eastAsia="Arial" w:hAnsi="Arial"/>
                <w:sz w:val="14"/>
                <w:szCs w:val="14"/>
                <w:color w:val="auto"/>
              </w:rPr>
              <w:t>18*</w:t>
            </w:r>
          </w:p>
        </w:tc>
      </w:tr>
      <w:tr>
        <w:trPr>
          <w:trHeight w:val="178"/>
        </w:trPr>
        <w:tc>
          <w:tcPr>
            <w:tcW w:w="9540" w:type="dxa"/>
            <w:vAlign w:val="bottom"/>
          </w:tcPr>
          <w:p>
            <w:pPr>
              <w:ind w:left="560"/>
              <w:spacing w:after="0"/>
              <w:rPr>
                <w:sz w:val="20"/>
                <w:szCs w:val="20"/>
                <w:color w:val="auto"/>
              </w:rPr>
            </w:pPr>
            <w:r>
              <w:rPr>
                <w:rFonts w:ascii="Arial" w:cs="Arial" w:eastAsia="Arial" w:hAnsi="Arial"/>
                <w:sz w:val="14"/>
                <w:szCs w:val="14"/>
                <w:color w:val="auto"/>
              </w:rPr>
              <w:t>Consolidated Balance Sheets as of January 25, 2003 and January 26, 2002</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19*</w:t>
            </w:r>
          </w:p>
        </w:tc>
      </w:tr>
      <w:tr>
        <w:trPr>
          <w:trHeight w:val="178"/>
        </w:trPr>
        <w:tc>
          <w:tcPr>
            <w:tcW w:w="9540" w:type="dxa"/>
            <w:vAlign w:val="bottom"/>
            <w:shd w:val="clear" w:color="auto" w:fill="EEEEEE"/>
          </w:tcPr>
          <w:p>
            <w:pPr>
              <w:ind w:left="560"/>
              <w:spacing w:after="0"/>
              <w:rPr>
                <w:sz w:val="20"/>
                <w:szCs w:val="20"/>
                <w:color w:val="auto"/>
              </w:rPr>
            </w:pPr>
            <w:r>
              <w:rPr>
                <w:rFonts w:ascii="Arial" w:cs="Arial" w:eastAsia="Arial" w:hAnsi="Arial"/>
                <w:sz w:val="14"/>
                <w:szCs w:val="14"/>
                <w:color w:val="auto"/>
              </w:rPr>
              <w:t>Consolidated Statements of Cash Flows for the fiscal years ended January 25, 2003, January 26, 2002 and January 27, 2001</w:t>
            </w:r>
          </w:p>
        </w:tc>
        <w:tc>
          <w:tcPr>
            <w:tcW w:w="1920" w:type="dxa"/>
            <w:vAlign w:val="bottom"/>
            <w:shd w:val="clear" w:color="auto" w:fill="EEEEEE"/>
          </w:tcPr>
          <w:p>
            <w:pPr>
              <w:jc w:val="right"/>
              <w:ind w:right="148"/>
              <w:spacing w:after="0"/>
              <w:rPr>
                <w:sz w:val="20"/>
                <w:szCs w:val="20"/>
                <w:color w:val="auto"/>
              </w:rPr>
            </w:pPr>
            <w:r>
              <w:rPr>
                <w:rFonts w:ascii="Arial" w:cs="Arial" w:eastAsia="Arial" w:hAnsi="Arial"/>
                <w:sz w:val="14"/>
                <w:szCs w:val="14"/>
                <w:color w:val="auto"/>
              </w:rPr>
              <w:t>20*</w:t>
            </w:r>
          </w:p>
        </w:tc>
      </w:tr>
      <w:tr>
        <w:trPr>
          <w:trHeight w:val="178"/>
        </w:trPr>
        <w:tc>
          <w:tcPr>
            <w:tcW w:w="9540" w:type="dxa"/>
            <w:vAlign w:val="bottom"/>
          </w:tcPr>
          <w:p>
            <w:pPr>
              <w:ind w:left="560"/>
              <w:spacing w:after="0"/>
              <w:rPr>
                <w:sz w:val="20"/>
                <w:szCs w:val="20"/>
                <w:color w:val="auto"/>
              </w:rPr>
            </w:pPr>
            <w:r>
              <w:rPr>
                <w:rFonts w:ascii="Arial" w:cs="Arial" w:eastAsia="Arial" w:hAnsi="Arial"/>
                <w:sz w:val="14"/>
                <w:szCs w:val="14"/>
                <w:color w:val="auto"/>
              </w:rPr>
              <w:t>Consolidated Statements of Shareholders’ Equity for the fiscal years ended January 25, 2003, January 26, 2002 and January 27, 2001</w:t>
            </w:r>
          </w:p>
        </w:tc>
        <w:tc>
          <w:tcPr>
            <w:tcW w:w="1920" w:type="dxa"/>
            <w:vAlign w:val="bottom"/>
          </w:tcPr>
          <w:p>
            <w:pPr>
              <w:jc w:val="right"/>
              <w:ind w:right="148"/>
              <w:spacing w:after="0"/>
              <w:rPr>
                <w:sz w:val="20"/>
                <w:szCs w:val="20"/>
                <w:color w:val="auto"/>
              </w:rPr>
            </w:pPr>
            <w:r>
              <w:rPr>
                <w:rFonts w:ascii="Arial" w:cs="Arial" w:eastAsia="Arial" w:hAnsi="Arial"/>
                <w:sz w:val="14"/>
                <w:szCs w:val="14"/>
                <w:color w:val="auto"/>
              </w:rPr>
              <w:t>21*</w:t>
            </w:r>
          </w:p>
        </w:tc>
      </w:tr>
      <w:tr>
        <w:trPr>
          <w:trHeight w:val="178"/>
        </w:trPr>
        <w:tc>
          <w:tcPr>
            <w:tcW w:w="9540" w:type="dxa"/>
            <w:vAlign w:val="bottom"/>
            <w:shd w:val="clear" w:color="auto" w:fill="EEEEEE"/>
          </w:tcPr>
          <w:p>
            <w:pPr>
              <w:ind w:left="560"/>
              <w:spacing w:after="0"/>
              <w:rPr>
                <w:sz w:val="20"/>
                <w:szCs w:val="20"/>
                <w:color w:val="auto"/>
              </w:rPr>
            </w:pPr>
            <w:r>
              <w:rPr>
                <w:rFonts w:ascii="Arial" w:cs="Arial" w:eastAsia="Arial" w:hAnsi="Arial"/>
                <w:sz w:val="14"/>
                <w:szCs w:val="14"/>
                <w:color w:val="auto"/>
              </w:rPr>
              <w:t>Notes to Consolidated Financial Statements</w:t>
            </w:r>
          </w:p>
        </w:tc>
        <w:tc>
          <w:tcPr>
            <w:tcW w:w="1920" w:type="dxa"/>
            <w:vAlign w:val="bottom"/>
            <w:shd w:val="clear" w:color="auto" w:fill="EEEEEE"/>
          </w:tcPr>
          <w:p>
            <w:pPr>
              <w:jc w:val="right"/>
              <w:ind w:right="148"/>
              <w:spacing w:after="0"/>
              <w:rPr>
                <w:sz w:val="20"/>
                <w:szCs w:val="20"/>
                <w:color w:val="auto"/>
              </w:rPr>
            </w:pPr>
            <w:r>
              <w:rPr>
                <w:rFonts w:ascii="Arial" w:cs="Arial" w:eastAsia="Arial" w:hAnsi="Arial"/>
                <w:sz w:val="14"/>
                <w:szCs w:val="14"/>
                <w:color w:val="auto"/>
              </w:rPr>
              <w:t>22-41*</w:t>
            </w:r>
          </w:p>
        </w:tc>
      </w:tr>
    </w:tbl>
    <w:p>
      <w:pPr>
        <w:spacing w:after="0" w:line="171" w:lineRule="exact"/>
        <w:rPr>
          <w:sz w:val="20"/>
          <w:szCs w:val="20"/>
          <w:color w:val="auto"/>
        </w:rPr>
      </w:pPr>
    </w:p>
    <w:p>
      <w:pPr>
        <w:ind w:left="480" w:right="20" w:hanging="471"/>
        <w:spacing w:after="0" w:line="298" w:lineRule="auto"/>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Refers to page numbers in TJX’s Annual Report to Stockholders for the fiscal year ended January 25, 2003, certain portions of which pages are incorporated by reference in Part II, Item 8 of this report as indicated.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727646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6465" cy="19685"/>
                    </a:xfrm>
                    <a:prstGeom prst="rect">
                      <a:avLst/>
                    </a:prstGeom>
                    <a:noFill/>
                  </pic:spPr>
                </pic:pic>
              </a:graphicData>
            </a:graphic>
          </wp:anchor>
        </w:drawing>
      </w:r>
    </w:p>
    <w:p>
      <w:pPr>
        <w:sectPr>
          <w:pgSz w:w="11900" w:h="16838" w:orient="portrait"/>
          <w:cols w:equalWidth="0" w:num="1">
            <w:col w:w="11460"/>
          </w:cols>
          <w:pgMar w:left="220" w:top="370" w:right="21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57"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CONSENT OF INDEPENDENT ACCOUNTANTS</w:t>
      </w:r>
    </w:p>
    <w:p>
      <w:pPr>
        <w:spacing w:after="0" w:line="195" w:lineRule="exact"/>
        <w:rPr>
          <w:sz w:val="20"/>
          <w:szCs w:val="20"/>
          <w:color w:val="auto"/>
        </w:rPr>
      </w:pPr>
    </w:p>
    <w:p>
      <w:pPr>
        <w:ind w:firstLine="178"/>
        <w:spacing w:after="0" w:line="281" w:lineRule="auto"/>
        <w:rPr>
          <w:sz w:val="20"/>
          <w:szCs w:val="20"/>
          <w:color w:val="auto"/>
        </w:rPr>
      </w:pPr>
      <w:r>
        <w:rPr>
          <w:rFonts w:ascii="Arial" w:cs="Arial" w:eastAsia="Arial" w:hAnsi="Arial"/>
          <w:sz w:val="14"/>
          <w:szCs w:val="14"/>
          <w:color w:val="auto"/>
        </w:rPr>
        <w:t>We hereby consent to the incorporation by reference in the Registration Statement on Form S-3 (No. 333-5501) and on Forms S-8 (Nos. 333-86966, 333-63293, and 33-49747) of The TJX Companies, Inc. of our report dated February 25, 2003, except as to the amendment to the 364-day credit facility described in Note B which is as of March 24, 2003, relating to the financial statements, which appears in the Annual Report to Shareholders, which is incorporated in this Annual Report on Form 10-K.</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Boston, Massachusetts</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April 25, 2003</w:t>
      </w:r>
    </w:p>
    <w:p>
      <w:pPr>
        <w:spacing w:after="0" w:line="391" w:lineRule="exact"/>
        <w:rPr>
          <w:sz w:val="20"/>
          <w:szCs w:val="20"/>
          <w:color w:val="auto"/>
        </w:rPr>
      </w:pPr>
    </w:p>
    <w:p>
      <w:pPr>
        <w:ind w:left="6880"/>
        <w:spacing w:after="0"/>
        <w:rPr>
          <w:sz w:val="20"/>
          <w:szCs w:val="20"/>
          <w:color w:val="auto"/>
        </w:rPr>
      </w:pPr>
      <w:r>
        <w:rPr>
          <w:rFonts w:ascii="Arial" w:cs="Arial" w:eastAsia="Arial" w:hAnsi="Arial"/>
          <w:sz w:val="14"/>
          <w:szCs w:val="14"/>
          <w:color w:val="auto"/>
        </w:rPr>
        <w:t>/s/ PricewaterhouseCoopers, LLP</w:t>
      </w:r>
    </w:p>
    <w:p>
      <w:pPr>
        <w:spacing w:after="0" w:line="217" w:lineRule="exact"/>
        <w:rPr>
          <w:sz w:val="20"/>
          <w:szCs w:val="20"/>
          <w:color w:val="auto"/>
        </w:rPr>
      </w:pPr>
    </w:p>
    <w:p>
      <w:pPr>
        <w:jc w:val="center"/>
        <w:ind w:right="-419"/>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040"/>
          </w:cols>
          <w:pgMar w:left="220" w:top="370" w:right="639" w:bottom="1440" w:gutter="0" w:footer="0" w:header="0"/>
        </w:sectPr>
      </w:pPr>
    </w:p>
    <w:bookmarkStart w:id="27" w:name="page28"/>
    <w:bookmarkEnd w:id="27"/>
    <w:p>
      <w:pPr>
        <w:jc w:val="right"/>
        <w:ind w:right="3279"/>
        <w:spacing w:after="0"/>
        <w:rPr>
          <w:sz w:val="20"/>
          <w:szCs w:val="20"/>
          <w:color w:val="auto"/>
        </w:rPr>
      </w:pPr>
      <w:r>
        <w:rPr>
          <w:rFonts w:ascii="Courier New" w:cs="Courier New" w:eastAsia="Courier New" w:hAnsi="Courier New"/>
          <w:sz w:val="14"/>
          <w:szCs w:val="14"/>
          <w:color w:val="auto"/>
        </w:rPr>
        <w:t>EXHIBIT 10.2</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AMENDMENT NO. 3</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to</w:t>
      </w:r>
    </w:p>
    <w:p>
      <w:pPr>
        <w:spacing w:after="0" w:line="175"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364-DAY REVOLVING CREDIT AGREEMENT</w:t>
      </w:r>
    </w:p>
    <w:p>
      <w:pPr>
        <w:spacing w:after="0" w:line="175" w:lineRule="exact"/>
        <w:rPr>
          <w:sz w:val="20"/>
          <w:szCs w:val="20"/>
          <w:color w:val="auto"/>
        </w:rPr>
      </w:pPr>
    </w:p>
    <w:p>
      <w:pPr>
        <w:ind w:right="3279" w:firstLine="1562"/>
        <w:spacing w:after="0" w:line="253" w:lineRule="auto"/>
        <w:rPr>
          <w:sz w:val="20"/>
          <w:szCs w:val="20"/>
          <w:color w:val="auto"/>
        </w:rPr>
      </w:pPr>
      <w:r>
        <w:rPr>
          <w:rFonts w:ascii="Courier New" w:cs="Courier New" w:eastAsia="Courier New" w:hAnsi="Courier New"/>
          <w:sz w:val="14"/>
          <w:szCs w:val="14"/>
          <w:color w:val="auto"/>
        </w:rPr>
        <w:t>THIS AMENDMENT NO. 3 TO THE 364-DAY REVOLVING CREDIT AGREEMENT (the "Amendment") is made as of March 24, 2003 by and among THE TJX COMPANIES, INC. (the "Borrower"), the financial institutions listed on the signature pages hereof (the "Lenders"), BANK ONE, NA (having its principal office in Chicago, Illinois), in its capacity as contractual representative (the "Administrative Agent"), FLEET NATIONAL BANK and THE BANK OF NEW YORK, as syndication agents (the "Syndication Agents") and BANK OF AMERICA, N.A. and JPMORGAN CHASE BANK, as documentation agents (the "Documentation Agents") under that certain 364-Day Revolving Credit Agreement dated as of March 26, 2002 by and among the Borrower, the financial institutions party thereto, the Administrative Agent, the Syndication Agents and the Documentation Agents (as amended by an Amendment No. 1 dated as of May 3, 2002 and an Amendment No. 2 dated as of July 19, 2002, and as the same may be amended, restated, supplemented or otherwise modified from time to time, the "Credit Agreement"). Defined terms used herein and not otherwise defined herein shall have the meaning given to them in the Credit Agreement.</w:t>
      </w:r>
    </w:p>
    <w:p>
      <w:pPr>
        <w:spacing w:after="0" w:line="33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WITNESSETH</w:t>
      </w:r>
    </w:p>
    <w:p>
      <w:pPr>
        <w:spacing w:after="0" w:line="175" w:lineRule="exact"/>
        <w:rPr>
          <w:sz w:val="20"/>
          <w:szCs w:val="20"/>
          <w:color w:val="auto"/>
        </w:rPr>
      </w:pPr>
    </w:p>
    <w:p>
      <w:pPr>
        <w:ind w:right="3379" w:firstLine="1562"/>
        <w:spacing w:after="0" w:line="255" w:lineRule="auto"/>
        <w:rPr>
          <w:sz w:val="20"/>
          <w:szCs w:val="20"/>
          <w:color w:val="auto"/>
        </w:rPr>
      </w:pPr>
      <w:r>
        <w:rPr>
          <w:rFonts w:ascii="Courier New" w:cs="Courier New" w:eastAsia="Courier New" w:hAnsi="Courier New"/>
          <w:sz w:val="14"/>
          <w:szCs w:val="14"/>
          <w:color w:val="auto"/>
        </w:rPr>
        <w:t>WHEREAS, the Borrower, the Lenders, the Administrative Agent, the Syndication Agents and the Documentation Agents are parties to the Credit Agreement; and</w:t>
      </w:r>
    </w:p>
    <w:p>
      <w:pPr>
        <w:spacing w:after="0" w:line="162" w:lineRule="exact"/>
        <w:rPr>
          <w:sz w:val="20"/>
          <w:szCs w:val="20"/>
          <w:color w:val="auto"/>
        </w:rPr>
      </w:pPr>
    </w:p>
    <w:p>
      <w:pPr>
        <w:ind w:right="3279" w:firstLine="1562"/>
        <w:spacing w:after="0" w:line="255" w:lineRule="auto"/>
        <w:rPr>
          <w:sz w:val="20"/>
          <w:szCs w:val="20"/>
          <w:color w:val="auto"/>
        </w:rPr>
      </w:pPr>
      <w:r>
        <w:rPr>
          <w:rFonts w:ascii="Courier New" w:cs="Courier New" w:eastAsia="Courier New" w:hAnsi="Courier New"/>
          <w:sz w:val="14"/>
          <w:szCs w:val="14"/>
          <w:color w:val="auto"/>
        </w:rPr>
        <w:t>WHEREAS, the Borrower has requested that the Agents and all of the Lenders amend the Credit Agreement on the terms and conditions set forth herein; and</w:t>
      </w:r>
    </w:p>
    <w:p>
      <w:pPr>
        <w:spacing w:after="0" w:line="162" w:lineRule="exact"/>
        <w:rPr>
          <w:sz w:val="20"/>
          <w:szCs w:val="20"/>
          <w:color w:val="auto"/>
        </w:rPr>
      </w:pPr>
    </w:p>
    <w:p>
      <w:pPr>
        <w:ind w:right="3379" w:firstLine="1562"/>
        <w:spacing w:after="0" w:line="255" w:lineRule="auto"/>
        <w:rPr>
          <w:sz w:val="20"/>
          <w:szCs w:val="20"/>
          <w:color w:val="auto"/>
        </w:rPr>
      </w:pPr>
      <w:r>
        <w:rPr>
          <w:rFonts w:ascii="Courier New" w:cs="Courier New" w:eastAsia="Courier New" w:hAnsi="Courier New"/>
          <w:sz w:val="14"/>
          <w:szCs w:val="14"/>
          <w:color w:val="auto"/>
        </w:rPr>
        <w:t>WHEREAS, the Borrower, the Lenders, the Administrative Agent, the Syndication Agents and the Documentation Agents have agreed to amend the Credit Agreement on the terms and conditions set forth herein;</w:t>
      </w:r>
    </w:p>
    <w:p>
      <w:pPr>
        <w:spacing w:after="0" w:line="162" w:lineRule="exact"/>
        <w:rPr>
          <w:sz w:val="20"/>
          <w:szCs w:val="20"/>
          <w:color w:val="auto"/>
        </w:rPr>
      </w:pPr>
    </w:p>
    <w:p>
      <w:pPr>
        <w:ind w:right="3279" w:firstLine="1562"/>
        <w:spacing w:after="0" w:line="254" w:lineRule="auto"/>
        <w:rPr>
          <w:sz w:val="20"/>
          <w:szCs w:val="20"/>
          <w:color w:val="auto"/>
        </w:rPr>
      </w:pPr>
      <w:r>
        <w:rPr>
          <w:rFonts w:ascii="Courier New" w:cs="Courier New" w:eastAsia="Courier New" w:hAnsi="Courier New"/>
          <w:sz w:val="14"/>
          <w:szCs w:val="14"/>
          <w:color w:val="auto"/>
        </w:rPr>
        <w:t>NOW, THEREFORE, in consideration of the premises set forth above, the terms and conditions contained herein, and other good and valuable consideration, the receipt and sufficiency of which are hereby acknowledged, the parties hereto have agreed to the following amendments to the Credit Agreement:</w:t>
      </w:r>
    </w:p>
    <w:p>
      <w:pPr>
        <w:spacing w:after="0" w:line="163" w:lineRule="exact"/>
        <w:rPr>
          <w:sz w:val="20"/>
          <w:szCs w:val="20"/>
          <w:color w:val="auto"/>
        </w:rPr>
      </w:pPr>
    </w:p>
    <w:p>
      <w:pPr>
        <w:ind w:right="3459" w:firstLine="1571"/>
        <w:spacing w:after="0" w:line="254" w:lineRule="auto"/>
        <w:tabs>
          <w:tab w:leader="none" w:pos="1823"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to the Credit Agreement. Effective as of March 24, 2003 (the "Effective Date") and subject to the satisfaction of the conditions precedent set forth in Section 2 below, the Credit Agreement is hereby amended as follows:</w:t>
      </w:r>
    </w:p>
    <w:p>
      <w:pPr>
        <w:spacing w:after="0" w:line="163" w:lineRule="exact"/>
        <w:rPr>
          <w:sz w:val="20"/>
          <w:szCs w:val="20"/>
          <w:color w:val="auto"/>
        </w:rPr>
      </w:pPr>
    </w:p>
    <w:p>
      <w:pPr>
        <w:ind w:left="1580" w:right="3459" w:hanging="780"/>
        <w:spacing w:after="0" w:line="254" w:lineRule="auto"/>
        <w:tabs>
          <w:tab w:leader="none" w:pos="156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Section 1.1 of the Credit Agreement is amended to delete the phrase "March 24, 2003" now appearing in the definition of "Revolving Loan Termination Date", and to substitute the following therefor: "March 19, 2004".</w:t>
      </w:r>
    </w:p>
    <w:p>
      <w:pPr>
        <w:sectPr>
          <w:pgSz w:w="11900" w:h="16838" w:orient="portrait"/>
          <w:cols w:equalWidth="0" w:num="1">
            <w:col w:w="10239"/>
          </w:cols>
          <w:pgMar w:left="220" w:top="308" w:right="1440" w:bottom="1440" w:gutter="0" w:footer="0" w:header="0"/>
        </w:sectPr>
      </w:pPr>
    </w:p>
    <w:bookmarkStart w:id="28" w:name="page29"/>
    <w:bookmarkEnd w:id="28"/>
    <w:p>
      <w:pPr>
        <w:ind w:left="1580" w:right="3279" w:hanging="780"/>
        <w:spacing w:after="0" w:line="255" w:lineRule="auto"/>
        <w:tabs>
          <w:tab w:leader="none" w:pos="156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Section 2.1.3 of the Credit Agreement is amended to insert the following new clause (iv) immediately prior to the period (".") now appearing at the end of the third sentence thereof:</w:t>
      </w:r>
    </w:p>
    <w:p>
      <w:pPr>
        <w:spacing w:after="0" w:line="162" w:lineRule="exact"/>
        <w:rPr>
          <w:sz w:val="20"/>
          <w:szCs w:val="20"/>
          <w:color w:val="auto"/>
        </w:rPr>
      </w:pPr>
    </w:p>
    <w:p>
      <w:pPr>
        <w:ind w:left="1580" w:right="3279" w:hanging="9"/>
        <w:spacing w:after="0" w:line="254" w:lineRule="auto"/>
        <w:tabs>
          <w:tab w:leader="none" w:pos="1754"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(iv) the Eurodollar Applicable Margin applicable to such Loans or Advances as converted hereunder shall be the Eurodollar Applicable Margin as determined in accordance with the table set forth in Section 2.21 plus 0.25% (25 basis points) per annum"</w:t>
      </w:r>
    </w:p>
    <w:p>
      <w:pPr>
        <w:spacing w:after="0" w:line="330" w:lineRule="exact"/>
        <w:rPr>
          <w:sz w:val="20"/>
          <w:szCs w:val="20"/>
          <w:color w:val="auto"/>
        </w:rPr>
      </w:pPr>
    </w:p>
    <w:p>
      <w:pPr>
        <w:ind w:left="1580" w:right="3279" w:hanging="780"/>
        <w:spacing w:after="0" w:line="253" w:lineRule="auto"/>
        <w:tabs>
          <w:tab w:leader="none" w:pos="156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Section 2.11(b) of the Credit Agreement is amended to delete the phrase "For each day from and after each of (i) the date hereof to but not including the Conversion Date on which the Combined Utilized Amount exceeds fifty percent (50%) of the Combined Commitment, and (ii) the Conversion Date," now appearing in the first sentence thereof, and to substitute the following therefor: "For each day from and after the date hereof on which the Combined Utilized Amount exceeds fifty percent (50%) of the Combined Commitment,".</w:t>
      </w:r>
    </w:p>
    <w:p>
      <w:pPr>
        <w:spacing w:after="0" w:line="164" w:lineRule="exact"/>
        <w:rPr>
          <w:sz w:val="20"/>
          <w:szCs w:val="20"/>
          <w:color w:val="auto"/>
        </w:rPr>
      </w:pPr>
    </w:p>
    <w:p>
      <w:pPr>
        <w:ind w:left="1580" w:right="3379" w:hanging="780"/>
        <w:spacing w:after="0" w:line="255" w:lineRule="auto"/>
        <w:tabs>
          <w:tab w:leader="none" w:pos="1560" w:val="left"/>
        </w:tabs>
        <w:rPr>
          <w:sz w:val="20"/>
          <w:szCs w:val="20"/>
          <w:color w:val="auto"/>
        </w:rPr>
      </w:pPr>
      <w:r>
        <w:rPr>
          <w:rFonts w:ascii="Courier New" w:cs="Courier New" w:eastAsia="Courier New" w:hAnsi="Courier New"/>
          <w:sz w:val="14"/>
          <w:szCs w:val="14"/>
          <w:color w:val="auto"/>
        </w:rPr>
        <w:t>1.4.</w:t>
      </w:r>
      <w:r>
        <w:rPr>
          <w:sz w:val="20"/>
          <w:szCs w:val="20"/>
          <w:color w:val="auto"/>
        </w:rPr>
        <w:tab/>
      </w:r>
      <w:r>
        <w:rPr>
          <w:rFonts w:ascii="Courier New" w:cs="Courier New" w:eastAsia="Courier New" w:hAnsi="Courier New"/>
          <w:sz w:val="14"/>
          <w:szCs w:val="14"/>
          <w:color w:val="auto"/>
        </w:rPr>
        <w:t>Section 2.21 of the Credit Agreement is amended to delete the table now appearing therein, and to substitute the following therefor:</w:t>
      </w:r>
    </w:p>
    <w:p>
      <w:pPr>
        <w:spacing w:after="0" w:line="162"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EURODOLLAR APPLICABLE MARGINS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APPLICABLE FACILITY FEE RATES</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AND APPLICABLE UTILIZATION FEE RATES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(IN BASIS POINTS)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 LEAST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 LEAST</w:t>
            </w:r>
          </w:p>
        </w:tc>
        <w:tc>
          <w:tcPr>
            <w:tcW w:w="860" w:type="dxa"/>
            <w:vAlign w:val="bottom"/>
          </w:tcPr>
          <w:p>
            <w:pPr>
              <w:spacing w:after="0"/>
              <w:rPr>
                <w:sz w:val="14"/>
                <w:szCs w:val="14"/>
                <w:color w:val="auto"/>
              </w:rPr>
            </w:pPr>
          </w:p>
        </w:tc>
      </w:tr>
      <w:tr>
        <w:trPr>
          <w:trHeight w:val="167"/>
        </w:trPr>
        <w:tc>
          <w:tcPr>
            <w:tcW w:w="170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AT LEAST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AT LEAST A</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AT LEAST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BBB+ FROM</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BBB FROM</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NO OTHER</w:t>
            </w:r>
          </w:p>
        </w:tc>
      </w:tr>
      <w:tr>
        <w:trPr>
          <w:trHeight w:val="167"/>
        </w:trPr>
        <w:tc>
          <w:tcPr>
            <w:tcW w:w="1700" w:type="dxa"/>
            <w:vAlign w:val="bottom"/>
          </w:tcPr>
          <w:p>
            <w:pPr>
              <w:spacing w:after="0"/>
              <w:rPr>
                <w:sz w:val="14"/>
                <w:szCs w:val="14"/>
                <w:color w:val="auto"/>
              </w:rPr>
            </w:pP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 FROM</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FROM</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S&amp;P</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A-FROM S&amp;P OR</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S&amp;P OR</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S&amp;P OR</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PRICING</w:t>
            </w:r>
          </w:p>
        </w:tc>
      </w:tr>
      <w:tr>
        <w:trPr>
          <w:trHeight w:val="167"/>
        </w:trPr>
        <w:tc>
          <w:tcPr>
            <w:tcW w:w="170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S&amp;P OR A1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OR A2</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FROM</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A3 FROM</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Baa1 FROM</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Baa2 FROM</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LEVEL</w:t>
            </w:r>
          </w:p>
        </w:tc>
      </w:tr>
      <w:tr>
        <w:trPr>
          <w:trHeight w:val="167"/>
        </w:trPr>
        <w:tc>
          <w:tcPr>
            <w:tcW w:w="1700" w:type="dxa"/>
            <w:vAlign w:val="bottom"/>
          </w:tcPr>
          <w:p>
            <w:pPr>
              <w:ind w:left="180"/>
              <w:spacing w:after="0"/>
              <w:rPr>
                <w:sz w:val="20"/>
                <w:szCs w:val="20"/>
                <w:color w:val="auto"/>
              </w:rPr>
            </w:pPr>
            <w:r>
              <w:rPr>
                <w:rFonts w:ascii="Courier New" w:cs="Courier New" w:eastAsia="Courier New" w:hAnsi="Courier New"/>
                <w:sz w:val="14"/>
                <w:szCs w:val="14"/>
                <w:color w:val="auto"/>
              </w:rPr>
              <w:t>CREDIT RATINGS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FROM MOODY'S</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MOODY'S</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MOODY'S</w:t>
            </w:r>
          </w:p>
        </w:tc>
        <w:tc>
          <w:tcPr>
            <w:tcW w:w="1260" w:type="dxa"/>
            <w:vAlign w:val="bottom"/>
          </w:tcPr>
          <w:p>
            <w:pPr>
              <w:ind w:left="300"/>
              <w:spacing w:after="0"/>
              <w:rPr>
                <w:sz w:val="20"/>
                <w:szCs w:val="20"/>
                <w:color w:val="auto"/>
              </w:rPr>
            </w:pPr>
            <w:r>
              <w:rPr>
                <w:rFonts w:ascii="Courier New" w:cs="Courier New" w:eastAsia="Courier New" w:hAnsi="Courier New"/>
                <w:sz w:val="14"/>
                <w:szCs w:val="14"/>
                <w:color w:val="auto"/>
              </w:rPr>
              <w:t>MOODY'S</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MOODY'S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APPLIES</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Eurodollar</w:t>
            </w: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Applicable Margin</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14.5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c>
          <w:tcPr>
            <w:tcW w:w="560" w:type="dxa"/>
            <w:vAlign w:val="bottom"/>
          </w:tcPr>
          <w:p>
            <w:pPr>
              <w:spacing w:after="0"/>
              <w:rPr>
                <w:sz w:val="14"/>
                <w:szCs w:val="14"/>
                <w:color w:val="auto"/>
              </w:rPr>
            </w:pP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30.0</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40.0</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85.0</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Applicable</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5.5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c>
          <w:tcPr>
            <w:tcW w:w="560" w:type="dxa"/>
            <w:vAlign w:val="bottom"/>
          </w:tcPr>
          <w:p>
            <w:pPr>
              <w:spacing w:after="0"/>
              <w:rPr>
                <w:sz w:val="14"/>
                <w:szCs w:val="14"/>
                <w:color w:val="auto"/>
              </w:rPr>
            </w:pP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7.5</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10.0</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Facility Fee</w:t>
            </w: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Applicable</w:t>
            </w: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Utilization</w:t>
            </w:r>
          </w:p>
        </w:tc>
        <w:tc>
          <w:tcPr>
            <w:tcW w:w="15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c>
          <w:tcPr>
            <w:tcW w:w="560" w:type="dxa"/>
            <w:vAlign w:val="bottom"/>
          </w:tcPr>
          <w:p>
            <w:pPr>
              <w:spacing w:after="0"/>
              <w:rPr>
                <w:sz w:val="14"/>
                <w:szCs w:val="14"/>
                <w:color w:val="auto"/>
              </w:rPr>
            </w:pP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12.5</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12.5</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Fee Rate</w:t>
            </w:r>
          </w:p>
        </w:tc>
        <w:tc>
          <w:tcPr>
            <w:tcW w:w="1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338" w:lineRule="exact"/>
        <w:rPr>
          <w:sz w:val="20"/>
          <w:szCs w:val="20"/>
          <w:color w:val="auto"/>
        </w:rPr>
      </w:pPr>
    </w:p>
    <w:p>
      <w:pPr>
        <w:ind w:left="1580" w:right="3379" w:hanging="780"/>
        <w:spacing w:after="0" w:line="255" w:lineRule="auto"/>
        <w:tabs>
          <w:tab w:leader="none" w:pos="156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Sections 5.4 and 5.5 of the Credit Agreement are amended to delete the phrase "January 27, 2001" now appearing therein, and to substitute the following therefor: "January 26, 2002".</w:t>
      </w:r>
    </w:p>
    <w:p>
      <w:pPr>
        <w:spacing w:after="0" w:line="162" w:lineRule="exact"/>
        <w:rPr>
          <w:sz w:val="20"/>
          <w:szCs w:val="20"/>
          <w:color w:val="auto"/>
        </w:rPr>
      </w:pPr>
    </w:p>
    <w:p>
      <w:pPr>
        <w:ind w:left="1580" w:right="3539" w:hanging="780"/>
        <w:spacing w:after="0" w:line="255" w:lineRule="auto"/>
        <w:tabs>
          <w:tab w:leader="none" w:pos="1560" w:val="left"/>
        </w:tabs>
        <w:rPr>
          <w:sz w:val="20"/>
          <w:szCs w:val="20"/>
          <w:color w:val="auto"/>
        </w:rPr>
      </w:pP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The Credit Agreement is amended to delete Schedule 1 and to substitute a new Schedule 1 to the Credit Agreement in the form of Attachment B to this Amendment.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9" w:name="page30"/>
    <w:bookmarkEnd w:id="29"/>
    <w:p>
      <w:pPr>
        <w:ind w:left="-790" w:right="3459" w:firstLine="1571"/>
        <w:spacing w:after="0" w:line="255" w:lineRule="auto"/>
        <w:tabs>
          <w:tab w:leader="none" w:pos="1032"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of Effectiveness. The effectiveness of this Amendment is subject to the conditions precedent that the Administrative Agent shall have received the following:</w:t>
      </w:r>
    </w:p>
    <w:p>
      <w:pPr>
        <w:spacing w:after="0" w:line="162" w:lineRule="exact"/>
        <w:rPr>
          <w:rFonts w:ascii="Courier New" w:cs="Courier New" w:eastAsia="Courier New" w:hAnsi="Courier New"/>
          <w:sz w:val="14"/>
          <w:szCs w:val="14"/>
          <w:color w:val="auto"/>
        </w:rPr>
      </w:pPr>
    </w:p>
    <w:p>
      <w:pPr>
        <w:ind w:left="790" w:right="3539" w:hanging="790"/>
        <w:spacing w:after="0" w:line="255" w:lineRule="auto"/>
        <w:tabs>
          <w:tab w:leader="none" w:pos="79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duly executed copies of this Amendment from each of the Borrower, the Administrative Agent, the Syndication Agents, the Documentation Agents and the Lenders;</w:t>
      </w:r>
    </w:p>
    <w:p>
      <w:pPr>
        <w:spacing w:after="0" w:line="162" w:lineRule="exact"/>
        <w:rPr>
          <w:rFonts w:ascii="Courier New" w:cs="Courier New" w:eastAsia="Courier New" w:hAnsi="Courier New"/>
          <w:sz w:val="14"/>
          <w:szCs w:val="14"/>
          <w:color w:val="auto"/>
        </w:rPr>
      </w:pPr>
    </w:p>
    <w:p>
      <w:pPr>
        <w:ind w:left="790" w:right="3639" w:hanging="790"/>
        <w:spacing w:after="0" w:line="255" w:lineRule="auto"/>
        <w:tabs>
          <w:tab w:leader="none" w:pos="79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duly executed copies of a Reaffirmation in the form of Attachment A attached hereto from each of the Subsidiaries identified thereon (the "Reaffirmation");</w:t>
      </w:r>
    </w:p>
    <w:p>
      <w:pPr>
        <w:spacing w:after="0" w:line="162" w:lineRule="exact"/>
        <w:rPr>
          <w:rFonts w:ascii="Courier New" w:cs="Courier New" w:eastAsia="Courier New" w:hAnsi="Courier New"/>
          <w:sz w:val="14"/>
          <w:szCs w:val="14"/>
          <w:color w:val="auto"/>
        </w:rPr>
      </w:pPr>
    </w:p>
    <w:p>
      <w:pPr>
        <w:ind w:left="790" w:hanging="790"/>
        <w:spacing w:after="0"/>
        <w:tabs>
          <w:tab w:leader="none" w:pos="79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Upfront Fee (as defined below);</w:t>
      </w:r>
    </w:p>
    <w:p>
      <w:pPr>
        <w:spacing w:after="0" w:line="175" w:lineRule="exact"/>
        <w:rPr>
          <w:rFonts w:ascii="Courier New" w:cs="Courier New" w:eastAsia="Courier New" w:hAnsi="Courier New"/>
          <w:sz w:val="14"/>
          <w:szCs w:val="14"/>
          <w:color w:val="auto"/>
        </w:rPr>
      </w:pPr>
    </w:p>
    <w:p>
      <w:pPr>
        <w:ind w:left="790" w:right="3379" w:hanging="790"/>
        <w:spacing w:after="0" w:line="258" w:lineRule="auto"/>
        <w:tabs>
          <w:tab w:leader="none" w:pos="79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fee payable to the Agents in connection with this Amendment, which fees may be paid directly to the Agents; and</w:t>
      </w:r>
    </w:p>
    <w:p>
      <w:pPr>
        <w:spacing w:after="0" w:line="159" w:lineRule="exact"/>
        <w:rPr>
          <w:rFonts w:ascii="Courier New" w:cs="Courier New" w:eastAsia="Courier New" w:hAnsi="Courier New"/>
          <w:sz w:val="14"/>
          <w:szCs w:val="14"/>
          <w:color w:val="auto"/>
        </w:rPr>
      </w:pPr>
    </w:p>
    <w:p>
      <w:pPr>
        <w:ind w:left="790" w:right="3279" w:hanging="790"/>
        <w:spacing w:after="0" w:line="253" w:lineRule="auto"/>
        <w:tabs>
          <w:tab w:leader="none" w:pos="79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the Secretary of the Borrower and each party executing the Reaffirmation (collectively, the "Credit Parties") certifying (i) that there have been no changes in its respective certificate of incorporation and by-laws (or equivalent governing documents) since March 26, 2002, (ii) resolutions of the board of directors (or similar governing body) of each such Credit Party approving and authorizing the execution, delivery and performance of the Credit Agreement, as amended hereby, and the other Loan Documents to which it is a party, and (iii) only to the extent of any changes from the incumbency certified as of March 26, 2002, the incumbency and the signatures of the officers, identified by name and title, of each such Credit Party authorized to execute this Amendment and the other Loan Documents.</w:t>
      </w:r>
    </w:p>
    <w:p>
      <w:pPr>
        <w:spacing w:after="0" w:line="162" w:lineRule="exact"/>
        <w:rPr>
          <w:rFonts w:ascii="Courier New" w:cs="Courier New" w:eastAsia="Courier New" w:hAnsi="Courier New"/>
          <w:sz w:val="14"/>
          <w:szCs w:val="14"/>
          <w:color w:val="auto"/>
        </w:rPr>
      </w:pPr>
    </w:p>
    <w:p>
      <w:pPr>
        <w:ind w:left="-790" w:right="3379" w:firstLine="1571"/>
        <w:spacing w:after="0" w:line="254" w:lineRule="auto"/>
        <w:tabs>
          <w:tab w:leader="none" w:pos="1032"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Upfront Fee. On the Effective Date, the Borrower shall pay to the Administrative Agent for the account of each Lender an upfront fee (the "Upfront Fee") in an amount equal to 0.03% (3 basis points) multiplied by such Lender's Commitment (after giving effect to this Amendment).</w:t>
      </w:r>
    </w:p>
    <w:p>
      <w:pPr>
        <w:spacing w:after="0" w:line="163" w:lineRule="exact"/>
        <w:rPr>
          <w:rFonts w:ascii="Courier New" w:cs="Courier New" w:eastAsia="Courier New" w:hAnsi="Courier New"/>
          <w:sz w:val="14"/>
          <w:szCs w:val="14"/>
          <w:color w:val="auto"/>
        </w:rPr>
      </w:pPr>
    </w:p>
    <w:p>
      <w:pPr>
        <w:ind w:left="1050" w:hanging="269"/>
        <w:spacing w:after="0"/>
        <w:tabs>
          <w:tab w:leader="none" w:pos="105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Borrower.</w:t>
      </w:r>
    </w:p>
    <w:p>
      <w:pPr>
        <w:spacing w:after="0" w:line="175" w:lineRule="exact"/>
        <w:rPr>
          <w:sz w:val="20"/>
          <w:szCs w:val="20"/>
          <w:color w:val="auto"/>
        </w:rPr>
      </w:pPr>
    </w:p>
    <w:p>
      <w:pPr>
        <w:ind w:left="790" w:right="3459" w:hanging="780"/>
        <w:spacing w:after="0" w:line="253" w:lineRule="auto"/>
        <w:tabs>
          <w:tab w:leader="none" w:pos="769"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The Borrower hereby represents and warrants that this Amendment, the Reaffirmation and the Credit Agreement as previously executed and as amended hereby, constitute legal, valid and binding obligations of the Borrower and the Subsidiaries parties thereto and are enforceable against the Borrower and the Subsidiaries parties thereto in accordance with their terms (except as enforceability may be limited by bankruptcy, insolvency or similar laws affecting the enforcement of creditors' rights generally).</w:t>
      </w:r>
    </w:p>
    <w:p>
      <w:pPr>
        <w:spacing w:after="0" w:line="164" w:lineRule="exact"/>
        <w:rPr>
          <w:sz w:val="20"/>
          <w:szCs w:val="20"/>
          <w:color w:val="auto"/>
        </w:rPr>
      </w:pPr>
    </w:p>
    <w:p>
      <w:pPr>
        <w:ind w:left="790" w:right="3279" w:hanging="780"/>
        <w:spacing w:after="0" w:line="253" w:lineRule="auto"/>
        <w:tabs>
          <w:tab w:leader="none" w:pos="769"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Upon the effectiveness of this Amendment and after giving effect hereto, the Borrower hereby (i) reaffirms all representations and warranties contained in Article V of the Credit Agreement, as amended hereby, and agrees that all such representations and warranties are true and correct in all material respects, as though made on and as of the Effective Date, except to the extent any such representation or warranty is stated to relate solely to an earlier date, in which case such representation or warranty shall be true and correct on and as of such</w:t>
      </w:r>
    </w:p>
    <w:p>
      <w:pPr>
        <w:spacing w:after="0" w:line="331"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449"/>
          </w:cols>
          <w:pgMar w:left="1010" w:top="620" w:right="1440" w:bottom="1440" w:gutter="0" w:footer="0" w:header="0"/>
        </w:sectPr>
      </w:pPr>
    </w:p>
    <w:bookmarkStart w:id="30" w:name="page31"/>
    <w:bookmarkEnd w:id="30"/>
    <w:p>
      <w:pPr>
        <w:ind w:left="960" w:right="3379"/>
        <w:spacing w:after="0" w:line="255" w:lineRule="auto"/>
        <w:rPr>
          <w:sz w:val="20"/>
          <w:szCs w:val="20"/>
          <w:color w:val="auto"/>
        </w:rPr>
      </w:pPr>
      <w:r>
        <w:rPr>
          <w:rFonts w:ascii="Courier New" w:cs="Courier New" w:eastAsia="Courier New" w:hAnsi="Courier New"/>
          <w:sz w:val="14"/>
          <w:szCs w:val="14"/>
          <w:color w:val="auto"/>
        </w:rPr>
        <w:t>earlier date and (ii) certifies to the Agents and the Lenders that no Default or Unmatured Default has occurred and is continuing.</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5. Reference to the Effect on the Credit Agreement.</w:t>
      </w:r>
    </w:p>
    <w:p>
      <w:pPr>
        <w:spacing w:after="0" w:line="175" w:lineRule="exact"/>
        <w:rPr>
          <w:sz w:val="20"/>
          <w:szCs w:val="20"/>
          <w:color w:val="auto"/>
        </w:rPr>
      </w:pPr>
    </w:p>
    <w:p>
      <w:pPr>
        <w:ind w:left="960" w:right="3279" w:hanging="780"/>
        <w:spacing w:after="0" w:line="253" w:lineRule="auto"/>
        <w:tabs>
          <w:tab w:leader="none" w:pos="940" w:val="left"/>
        </w:tabs>
        <w:rPr>
          <w:sz w:val="20"/>
          <w:szCs w:val="20"/>
          <w:color w:val="auto"/>
        </w:rPr>
      </w:pPr>
      <w:r>
        <w:rPr>
          <w:rFonts w:ascii="Courier New" w:cs="Courier New" w:eastAsia="Courier New" w:hAnsi="Courier New"/>
          <w:sz w:val="14"/>
          <w:szCs w:val="14"/>
          <w:color w:val="auto"/>
        </w:rPr>
        <w:t>5.1.</w:t>
      </w:r>
      <w:r>
        <w:rPr>
          <w:sz w:val="20"/>
          <w:szCs w:val="20"/>
          <w:color w:val="auto"/>
        </w:rPr>
        <w:tab/>
      </w:r>
      <w:r>
        <w:rPr>
          <w:rFonts w:ascii="Courier New" w:cs="Courier New" w:eastAsia="Courier New" w:hAnsi="Courier New"/>
          <w:sz w:val="14"/>
          <w:szCs w:val="14"/>
          <w:color w:val="auto"/>
        </w:rPr>
        <w:t>Upon the effectiveness of Section 1 hereof, on and after the date hereof, each reference in the Credit Agreement or in any other Loan Document (including any reference therein to "this Credit Agreement," "hereunder," "hereof," "herein" or words of like import referring thereto) or in any other Loan Document shall mean and be a reference to the Credit Agreement as amended hereby.</w:t>
      </w:r>
    </w:p>
    <w:p>
      <w:pPr>
        <w:spacing w:after="0" w:line="165" w:lineRule="exact"/>
        <w:rPr>
          <w:sz w:val="20"/>
          <w:szCs w:val="20"/>
          <w:color w:val="auto"/>
        </w:rPr>
      </w:pPr>
    </w:p>
    <w:p>
      <w:pPr>
        <w:ind w:left="960" w:right="3279" w:hanging="780"/>
        <w:spacing w:after="0" w:line="254" w:lineRule="auto"/>
        <w:tabs>
          <w:tab w:leader="none" w:pos="940" w:val="left"/>
        </w:tabs>
        <w:rPr>
          <w:sz w:val="20"/>
          <w:szCs w:val="20"/>
          <w:color w:val="auto"/>
        </w:rPr>
      </w:pPr>
      <w:r>
        <w:rPr>
          <w:rFonts w:ascii="Courier New" w:cs="Courier New" w:eastAsia="Courier New" w:hAnsi="Courier New"/>
          <w:sz w:val="14"/>
          <w:szCs w:val="14"/>
          <w:color w:val="auto"/>
        </w:rPr>
        <w:t>5.2.</w:t>
      </w:r>
      <w:r>
        <w:rPr>
          <w:sz w:val="20"/>
          <w:szCs w:val="20"/>
          <w:color w:val="auto"/>
        </w:rPr>
        <w:tab/>
      </w:r>
      <w:r>
        <w:rPr>
          <w:rFonts w:ascii="Courier New" w:cs="Courier New" w:eastAsia="Courier New" w:hAnsi="Courier New"/>
          <w:sz w:val="14"/>
          <w:szCs w:val="14"/>
          <w:color w:val="auto"/>
        </w:rPr>
        <w:t>Except as specifically amended above, the Credit Agreement and all other documents, instruments and agreements executed and/or delivered in connection therewith, shall remain in full force and effect, and are hereby ratified and confirmed.</w:t>
      </w:r>
    </w:p>
    <w:p>
      <w:pPr>
        <w:spacing w:after="0" w:line="163" w:lineRule="exact"/>
        <w:rPr>
          <w:sz w:val="20"/>
          <w:szCs w:val="20"/>
          <w:color w:val="auto"/>
        </w:rPr>
      </w:pPr>
    </w:p>
    <w:p>
      <w:pPr>
        <w:ind w:left="960" w:right="3279" w:hanging="780"/>
        <w:spacing w:after="0" w:line="253" w:lineRule="auto"/>
        <w:tabs>
          <w:tab w:leader="none" w:pos="940" w:val="left"/>
        </w:tabs>
        <w:rPr>
          <w:sz w:val="20"/>
          <w:szCs w:val="20"/>
          <w:color w:val="auto"/>
        </w:rPr>
      </w:pPr>
      <w:r>
        <w:rPr>
          <w:rFonts w:ascii="Courier New" w:cs="Courier New" w:eastAsia="Courier New" w:hAnsi="Courier New"/>
          <w:sz w:val="14"/>
          <w:szCs w:val="14"/>
          <w:color w:val="auto"/>
        </w:rPr>
        <w:t>5.3.</w:t>
      </w:r>
      <w:r>
        <w:rPr>
          <w:sz w:val="20"/>
          <w:szCs w:val="20"/>
          <w:color w:val="auto"/>
        </w:rPr>
        <w:tab/>
      </w:r>
      <w:r>
        <w:rPr>
          <w:rFonts w:ascii="Courier New" w:cs="Courier New" w:eastAsia="Courier New" w:hAnsi="Courier New"/>
          <w:sz w:val="14"/>
          <w:szCs w:val="14"/>
          <w:color w:val="auto"/>
        </w:rPr>
        <w:t>The execution, delivery and effectiveness of this Amendment shall not operate as a waiver of any right, power or remedy of the Administrative Agent or the Lenders, nor constitute a waiver of any provision of the Credit Agreement or any other documents, instruments and agreements executed and/or delivered in connection therewith.</w:t>
      </w:r>
    </w:p>
    <w:p>
      <w:pPr>
        <w:spacing w:after="0" w:line="165" w:lineRule="exact"/>
        <w:rPr>
          <w:sz w:val="20"/>
          <w:szCs w:val="20"/>
          <w:color w:val="auto"/>
        </w:rPr>
      </w:pPr>
    </w:p>
    <w:p>
      <w:pPr>
        <w:ind w:left="-620" w:right="3539" w:firstLine="1571"/>
        <w:spacing w:after="0" w:line="254" w:lineRule="auto"/>
        <w:tabs>
          <w:tab w:leader="none" w:pos="1203"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AMENDMENT SHALL BE GOVERNED BY AND CONSTRUED IN ACCORDANCE WITH THE INTERNAL LAWS (INCLUDING 735 ILCS 105/5-1 ET SEQ., BUT OTHERWISE WITHOUT REGARD TO THE CONFLICT OF LAW PROVISIONS) OF THE STATE OF ILLINOIS, BUT GIVING EFFECT TO FEDERAL LAWS APPLICABLE TO NATIONAL BANKS.</w:t>
      </w:r>
    </w:p>
    <w:p>
      <w:pPr>
        <w:spacing w:after="0" w:line="162" w:lineRule="exact"/>
        <w:rPr>
          <w:rFonts w:ascii="Courier New" w:cs="Courier New" w:eastAsia="Courier New" w:hAnsi="Courier New"/>
          <w:sz w:val="14"/>
          <w:szCs w:val="14"/>
          <w:color w:val="auto"/>
        </w:rPr>
      </w:pPr>
    </w:p>
    <w:p>
      <w:pPr>
        <w:ind w:left="-620" w:right="3279" w:firstLine="1571"/>
        <w:spacing w:after="0" w:line="255" w:lineRule="auto"/>
        <w:tabs>
          <w:tab w:leader="none" w:pos="1203"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Section headings in this Amendment are included herein for convenience of reference only and shall not constitute a part of this Amendment for any other purpose.</w:t>
      </w:r>
    </w:p>
    <w:p>
      <w:pPr>
        <w:spacing w:after="0" w:line="162" w:lineRule="exact"/>
        <w:rPr>
          <w:rFonts w:ascii="Courier New" w:cs="Courier New" w:eastAsia="Courier New" w:hAnsi="Courier New"/>
          <w:sz w:val="14"/>
          <w:szCs w:val="14"/>
          <w:color w:val="auto"/>
        </w:rPr>
      </w:pPr>
    </w:p>
    <w:p>
      <w:pPr>
        <w:ind w:left="-620" w:right="3279" w:firstLine="1571"/>
        <w:spacing w:after="0" w:line="254" w:lineRule="auto"/>
        <w:tabs>
          <w:tab w:leader="none" w:pos="1203"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Amendment may be executed by one or more of the parties to this Amendment on any number of separate counterparts and all of said counterparts taken together shall be deemed to constitute one and the same instrument.</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619"/>
          </w:cols>
          <w:pgMar w:left="840" w:top="620" w:right="1440" w:bottom="1440" w:gutter="0" w:footer="0" w:header="0"/>
        </w:sectPr>
      </w:pPr>
    </w:p>
    <w:bookmarkStart w:id="31" w:name="page32"/>
    <w:bookmarkEnd w:id="31"/>
    <w:p>
      <w:pPr>
        <w:ind w:right="3459" w:firstLine="1562"/>
        <w:spacing w:after="0" w:line="258" w:lineRule="auto"/>
        <w:rPr>
          <w:sz w:val="20"/>
          <w:szCs w:val="20"/>
          <w:color w:val="auto"/>
        </w:rPr>
      </w:pPr>
      <w:r>
        <w:rPr>
          <w:rFonts w:ascii="Courier New" w:cs="Courier New" w:eastAsia="Courier New" w:hAnsi="Courier New"/>
          <w:sz w:val="14"/>
          <w:szCs w:val="14"/>
          <w:color w:val="auto"/>
        </w:rPr>
        <w:t>IN WITNESS WHEREOF, this Amendment has been duly executed as of the day and year first above written.</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THE TJX COMPANIES, INC., as the Borrower</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By: /s/ Mary B. Reynolds</w:t>
      </w:r>
    </w:p>
    <w:p>
      <w:pPr>
        <w:spacing w:after="0" w:line="8" w:lineRule="exact"/>
        <w:rPr>
          <w:sz w:val="20"/>
          <w:szCs w:val="20"/>
          <w:color w:val="auto"/>
        </w:rPr>
      </w:pPr>
    </w:p>
    <w:p>
      <w:pPr>
        <w:ind w:left="3300"/>
        <w:spacing w:after="0"/>
        <w:tabs>
          <w:tab w:leader="none" w:pos="3900" w:val="left"/>
        </w:tabs>
        <w:rPr>
          <w:sz w:val="20"/>
          <w:szCs w:val="20"/>
          <w:color w:val="auto"/>
        </w:rPr>
      </w:pPr>
      <w:r>
        <w:rPr>
          <w:rFonts w:ascii="Courier New" w:cs="Courier New" w:eastAsia="Courier New" w:hAnsi="Courier New"/>
          <w:sz w:val="14"/>
          <w:szCs w:val="14"/>
          <w:color w:val="auto"/>
        </w:rPr>
        <w:t>Name:</w:t>
        <w:tab/>
        <w:t>Mary B. Reynolds</w:t>
      </w:r>
    </w:p>
    <w:p>
      <w:pPr>
        <w:spacing w:after="0" w:line="8" w:lineRule="exact"/>
        <w:rPr>
          <w:sz w:val="20"/>
          <w:szCs w:val="20"/>
          <w:color w:val="auto"/>
        </w:rPr>
      </w:pPr>
    </w:p>
    <w:p>
      <w:pPr>
        <w:ind w:left="3300"/>
        <w:spacing w:after="0"/>
        <w:tabs>
          <w:tab w:leader="none" w:pos="3980" w:val="left"/>
        </w:tabs>
        <w:rPr>
          <w:sz w:val="20"/>
          <w:szCs w:val="20"/>
          <w:color w:val="auto"/>
        </w:rPr>
      </w:pPr>
      <w:r>
        <w:rPr>
          <w:rFonts w:ascii="Courier New" w:cs="Courier New" w:eastAsia="Courier New" w:hAnsi="Courier New"/>
          <w:sz w:val="14"/>
          <w:szCs w:val="14"/>
          <w:color w:val="auto"/>
        </w:rPr>
        <w:t>Title:</w:t>
        <w:tab/>
        <w:t>Vice President - Finance Treasurer</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10239"/>
          </w:cols>
          <w:pgMar w:left="220" w:top="620" w:right="1440" w:bottom="1440" w:gutter="0" w:footer="0" w:header="0"/>
        </w:sectPr>
      </w:pPr>
    </w:p>
    <w:bookmarkStart w:id="32" w:name="page33"/>
    <w:bookmarkEnd w:id="32"/>
    <w:p>
      <w:pPr>
        <w:ind w:left="3220"/>
        <w:spacing w:after="0"/>
        <w:rPr>
          <w:sz w:val="20"/>
          <w:szCs w:val="20"/>
          <w:color w:val="auto"/>
        </w:rPr>
      </w:pPr>
      <w:r>
        <w:rPr>
          <w:rFonts w:ascii="Courier New" w:cs="Courier New" w:eastAsia="Courier New" w:hAnsi="Courier New"/>
          <w:sz w:val="14"/>
          <w:szCs w:val="14"/>
          <w:color w:val="auto"/>
        </w:rPr>
        <w:t>BANK ONE, NA (Main Office Chicago), as</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Administrative Agent and as a Lender</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/s/ Vincent R. Henchek</w:t>
      </w:r>
    </w:p>
    <w:p>
      <w:pPr>
        <w:spacing w:after="0" w:line="8" w:lineRule="exact"/>
        <w:rPr>
          <w:sz w:val="20"/>
          <w:szCs w:val="20"/>
          <w:color w:val="auto"/>
        </w:rPr>
      </w:pPr>
    </w:p>
    <w:p>
      <w:pPr>
        <w:ind w:left="3220"/>
        <w:spacing w:after="0"/>
        <w:tabs>
          <w:tab w:leader="none" w:pos="3800" w:val="left"/>
        </w:tabs>
        <w:rPr>
          <w:sz w:val="20"/>
          <w:szCs w:val="20"/>
          <w:color w:val="auto"/>
        </w:rPr>
      </w:pPr>
      <w:r>
        <w:rPr>
          <w:rFonts w:ascii="Courier New" w:cs="Courier New" w:eastAsia="Courier New" w:hAnsi="Courier New"/>
          <w:sz w:val="14"/>
          <w:szCs w:val="14"/>
          <w:color w:val="auto"/>
        </w:rPr>
        <w:t>Name:</w:t>
        <w:tab/>
        <w:t>Vincent R. Henchek</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Title: Director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799"/>
          </w:cols>
          <w:pgMar w:left="660" w:top="620" w:right="1440" w:bottom="1440" w:gutter="0" w:footer="0" w:header="0"/>
        </w:sectPr>
      </w:pPr>
    </w:p>
    <w:bookmarkStart w:id="33" w:name="page34"/>
    <w:bookmarkEnd w:id="33"/>
    <w:p>
      <w:pPr>
        <w:ind w:left="3220"/>
        <w:spacing w:after="0"/>
        <w:rPr>
          <w:sz w:val="20"/>
          <w:szCs w:val="20"/>
          <w:color w:val="auto"/>
        </w:rPr>
      </w:pPr>
      <w:r>
        <w:rPr>
          <w:rFonts w:ascii="Courier New" w:cs="Courier New" w:eastAsia="Courier New" w:hAnsi="Courier New"/>
          <w:sz w:val="14"/>
          <w:szCs w:val="14"/>
          <w:color w:val="auto"/>
        </w:rPr>
        <w:t>THE BANK OF NEW YORK, as a Syndication</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Agent and as a Lender</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/s/ Randolph E. J. Medrano</w:t>
      </w:r>
    </w:p>
    <w:p>
      <w:pPr>
        <w:spacing w:after="0" w:line="8" w:lineRule="exact"/>
        <w:rPr>
          <w:sz w:val="20"/>
          <w:szCs w:val="20"/>
          <w:color w:val="auto"/>
        </w:rPr>
      </w:pPr>
    </w:p>
    <w:p>
      <w:pPr>
        <w:ind w:left="3220"/>
        <w:spacing w:after="0"/>
        <w:tabs>
          <w:tab w:leader="none" w:pos="3800" w:val="left"/>
        </w:tabs>
        <w:rPr>
          <w:sz w:val="20"/>
          <w:szCs w:val="20"/>
          <w:color w:val="auto"/>
        </w:rPr>
      </w:pPr>
      <w:r>
        <w:rPr>
          <w:rFonts w:ascii="Courier New" w:cs="Courier New" w:eastAsia="Courier New" w:hAnsi="Courier New"/>
          <w:sz w:val="14"/>
          <w:szCs w:val="14"/>
          <w:color w:val="auto"/>
        </w:rPr>
        <w:t>Name:</w:t>
        <w:tab/>
        <w:t>Randolph E. J. Medrano</w:t>
      </w:r>
    </w:p>
    <w:p>
      <w:pPr>
        <w:spacing w:after="0" w:line="8" w:lineRule="exact"/>
        <w:rPr>
          <w:sz w:val="20"/>
          <w:szCs w:val="20"/>
          <w:color w:val="auto"/>
        </w:rPr>
      </w:pPr>
    </w:p>
    <w:p>
      <w:pPr>
        <w:ind w:left="3220"/>
        <w:spacing w:after="0"/>
        <w:tabs>
          <w:tab w:leader="none" w:pos="3880" w:val="left"/>
        </w:tabs>
        <w:rPr>
          <w:sz w:val="20"/>
          <w:szCs w:val="20"/>
          <w:color w:val="auto"/>
        </w:rPr>
      </w:pPr>
      <w:r>
        <w:rPr>
          <w:rFonts w:ascii="Courier New" w:cs="Courier New" w:eastAsia="Courier New" w:hAnsi="Courier New"/>
          <w:sz w:val="14"/>
          <w:szCs w:val="14"/>
          <w:color w:val="auto"/>
        </w:rPr>
        <w:t>Title:</w:t>
        <w:tab/>
        <w:t>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799"/>
          </w:cols>
          <w:pgMar w:left="660" w:top="620" w:right="1440" w:bottom="1440" w:gutter="0" w:footer="0" w:header="0"/>
        </w:sectPr>
      </w:pPr>
    </w:p>
    <w:bookmarkStart w:id="34" w:name="page35"/>
    <w:bookmarkEnd w:id="34"/>
    <w:p>
      <w:pPr>
        <w:ind w:left="3380"/>
        <w:spacing w:after="0"/>
        <w:rPr>
          <w:sz w:val="20"/>
          <w:szCs w:val="20"/>
          <w:color w:val="auto"/>
        </w:rPr>
      </w:pPr>
      <w:r>
        <w:rPr>
          <w:rFonts w:ascii="Courier New" w:cs="Courier New" w:eastAsia="Courier New" w:hAnsi="Courier New"/>
          <w:sz w:val="14"/>
          <w:szCs w:val="14"/>
          <w:color w:val="auto"/>
        </w:rPr>
        <w:t>FLEET NATIONAL BANK, as a Syndication</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Agent and as a Lender</w:t>
      </w:r>
    </w:p>
    <w:p>
      <w:pPr>
        <w:spacing w:after="0" w:line="175"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By: /s/ Linda Alto</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Name: Linda Alto</w:t>
      </w:r>
    </w:p>
    <w:p>
      <w:pPr>
        <w:spacing w:after="0" w:line="8" w:lineRule="exact"/>
        <w:rPr>
          <w:sz w:val="20"/>
          <w:szCs w:val="20"/>
          <w:color w:val="auto"/>
        </w:rPr>
      </w:pPr>
    </w:p>
    <w:p>
      <w:pPr>
        <w:ind w:left="3380"/>
        <w:spacing w:after="0"/>
        <w:rPr>
          <w:sz w:val="20"/>
          <w:szCs w:val="20"/>
          <w:color w:val="auto"/>
        </w:rPr>
      </w:pPr>
      <w:r>
        <w:rPr>
          <w:rFonts w:ascii="Courier New" w:cs="Courier New" w:eastAsia="Courier New" w:hAnsi="Courier New"/>
          <w:sz w:val="14"/>
          <w:szCs w:val="14"/>
          <w:color w:val="auto"/>
        </w:rPr>
        <w:t>Title: Director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879"/>
          </w:cols>
          <w:pgMar w:left="580" w:top="620" w:right="1440" w:bottom="1440" w:gutter="0" w:footer="0" w:header="0"/>
        </w:sectPr>
      </w:pPr>
    </w:p>
    <w:bookmarkStart w:id="35" w:name="page36"/>
    <w:bookmarkEnd w:id="35"/>
    <w:p>
      <w:pPr>
        <w:ind w:left="3560"/>
        <w:spacing w:after="0"/>
        <w:rPr>
          <w:sz w:val="20"/>
          <w:szCs w:val="20"/>
          <w:color w:val="auto"/>
        </w:rPr>
      </w:pPr>
      <w:r>
        <w:rPr>
          <w:rFonts w:ascii="Courier New" w:cs="Courier New" w:eastAsia="Courier New" w:hAnsi="Courier New"/>
          <w:sz w:val="14"/>
          <w:szCs w:val="14"/>
          <w:color w:val="auto"/>
        </w:rPr>
        <w:t>BANK OF AMERICA, N.A., as a</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Documentation Agent and as a Lender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By: /s/ Amy Krovocheck</w:t>
      </w:r>
    </w:p>
    <w:p>
      <w:pPr>
        <w:spacing w:after="0" w:line="8" w:lineRule="exact"/>
        <w:rPr>
          <w:sz w:val="20"/>
          <w:szCs w:val="20"/>
          <w:color w:val="auto"/>
        </w:rPr>
      </w:pPr>
    </w:p>
    <w:p>
      <w:pPr>
        <w:ind w:left="3560"/>
        <w:spacing w:after="0"/>
        <w:tabs>
          <w:tab w:leader="none" w:pos="4140" w:val="left"/>
        </w:tabs>
        <w:rPr>
          <w:sz w:val="20"/>
          <w:szCs w:val="20"/>
          <w:color w:val="auto"/>
        </w:rPr>
      </w:pPr>
      <w:r>
        <w:rPr>
          <w:rFonts w:ascii="Courier New" w:cs="Courier New" w:eastAsia="Courier New" w:hAnsi="Courier New"/>
          <w:sz w:val="14"/>
          <w:szCs w:val="14"/>
          <w:color w:val="auto"/>
        </w:rPr>
        <w:t>Name:</w:t>
        <w:tab/>
        <w:t>Amy Krovocheck</w:t>
      </w:r>
    </w:p>
    <w:p>
      <w:pPr>
        <w:spacing w:after="0" w:line="8" w:lineRule="exact"/>
        <w:rPr>
          <w:sz w:val="20"/>
          <w:szCs w:val="20"/>
          <w:color w:val="auto"/>
        </w:rPr>
      </w:pPr>
    </w:p>
    <w:p>
      <w:pPr>
        <w:ind w:left="3560"/>
        <w:spacing w:after="0"/>
        <w:tabs>
          <w:tab w:leader="none" w:pos="4220" w:val="left"/>
        </w:tabs>
        <w:rPr>
          <w:sz w:val="20"/>
          <w:szCs w:val="20"/>
          <w:color w:val="auto"/>
        </w:rPr>
      </w:pPr>
      <w:r>
        <w:rPr>
          <w:rFonts w:ascii="Courier New" w:cs="Courier New" w:eastAsia="Courier New" w:hAnsi="Courier New"/>
          <w:sz w:val="14"/>
          <w:szCs w:val="14"/>
          <w:color w:val="auto"/>
        </w:rPr>
        <w:t>Title:</w:t>
        <w:tab/>
        <w:t>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879"/>
          </w:cols>
          <w:pgMar w:left="580" w:top="620" w:right="1440" w:bottom="1440" w:gutter="0" w:footer="0" w:header="0"/>
        </w:sectPr>
      </w:pPr>
    </w:p>
    <w:bookmarkStart w:id="36" w:name="page37"/>
    <w:bookmarkEnd w:id="36"/>
    <w:p>
      <w:pPr>
        <w:ind w:left="3560"/>
        <w:spacing w:after="0"/>
        <w:rPr>
          <w:sz w:val="20"/>
          <w:szCs w:val="20"/>
          <w:color w:val="auto"/>
        </w:rPr>
      </w:pPr>
      <w:r>
        <w:rPr>
          <w:rFonts w:ascii="Courier New" w:cs="Courier New" w:eastAsia="Courier New" w:hAnsi="Courier New"/>
          <w:sz w:val="14"/>
          <w:szCs w:val="14"/>
          <w:color w:val="auto"/>
        </w:rPr>
        <w:t>JPMORGAN CHASE BANK, as a</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Documentation Agent and as a Lender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By: /s/ John Francis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Name: John Francis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Title: 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879"/>
          </w:cols>
          <w:pgMar w:left="580" w:top="620" w:right="1440" w:bottom="1440" w:gutter="0" w:footer="0" w:header="0"/>
        </w:sectPr>
      </w:pPr>
    </w:p>
    <w:bookmarkStart w:id="37" w:name="page38"/>
    <w:bookmarkEnd w:id="37"/>
    <w:p>
      <w:pPr>
        <w:ind w:left="3460"/>
        <w:spacing w:after="0"/>
        <w:rPr>
          <w:sz w:val="20"/>
          <w:szCs w:val="20"/>
          <w:color w:val="auto"/>
        </w:rPr>
      </w:pPr>
      <w:r>
        <w:rPr>
          <w:rFonts w:ascii="Courier New" w:cs="Courier New" w:eastAsia="Courier New" w:hAnsi="Courier New"/>
          <w:sz w:val="14"/>
          <w:szCs w:val="14"/>
          <w:color w:val="auto"/>
        </w:rPr>
        <w:t>UNION BANK OF CALIFORNIA, N.A., as a</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Lender</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Theresa L. Rocha</w:t>
      </w:r>
    </w:p>
    <w:p>
      <w:pPr>
        <w:spacing w:after="0" w:line="8" w:lineRule="exact"/>
        <w:rPr>
          <w:sz w:val="20"/>
          <w:szCs w:val="20"/>
          <w:color w:val="auto"/>
        </w:rPr>
      </w:pPr>
    </w:p>
    <w:p>
      <w:pPr>
        <w:ind w:left="3460"/>
        <w:spacing w:after="0"/>
        <w:tabs>
          <w:tab w:leader="none" w:pos="4060" w:val="left"/>
        </w:tabs>
        <w:rPr>
          <w:sz w:val="20"/>
          <w:szCs w:val="20"/>
          <w:color w:val="auto"/>
        </w:rPr>
      </w:pPr>
      <w:r>
        <w:rPr>
          <w:rFonts w:ascii="Courier New" w:cs="Courier New" w:eastAsia="Courier New" w:hAnsi="Courier New"/>
          <w:sz w:val="14"/>
          <w:szCs w:val="14"/>
          <w:color w:val="auto"/>
        </w:rPr>
        <w:t>Name:</w:t>
        <w:tab/>
        <w:t>Theresa L. Rocha</w:t>
      </w:r>
    </w:p>
    <w:p>
      <w:pPr>
        <w:spacing w:after="0" w:line="8" w:lineRule="exact"/>
        <w:rPr>
          <w:sz w:val="20"/>
          <w:szCs w:val="20"/>
          <w:color w:val="auto"/>
        </w:rPr>
      </w:pPr>
    </w:p>
    <w:p>
      <w:pPr>
        <w:ind w:left="3460"/>
        <w:spacing w:after="0"/>
        <w:tabs>
          <w:tab w:leader="none" w:pos="4140" w:val="left"/>
        </w:tabs>
        <w:rPr>
          <w:sz w:val="20"/>
          <w:szCs w:val="20"/>
          <w:color w:val="auto"/>
        </w:rPr>
      </w:pPr>
      <w:r>
        <w:rPr>
          <w:rFonts w:ascii="Courier New" w:cs="Courier New" w:eastAsia="Courier New" w:hAnsi="Courier New"/>
          <w:sz w:val="14"/>
          <w:szCs w:val="14"/>
          <w:color w:val="auto"/>
        </w:rPr>
        <w:t>Title:</w:t>
        <w:tab/>
        <w:t>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879"/>
          </w:cols>
          <w:pgMar w:left="580" w:top="620" w:right="1440" w:bottom="1440" w:gutter="0" w:footer="0" w:header="0"/>
        </w:sectPr>
      </w:pPr>
    </w:p>
    <w:bookmarkStart w:id="38" w:name="page39"/>
    <w:bookmarkEnd w:id="38"/>
    <w:p>
      <w:pPr>
        <w:ind w:left="3640"/>
        <w:spacing w:after="0"/>
        <w:rPr>
          <w:sz w:val="20"/>
          <w:szCs w:val="20"/>
          <w:color w:val="auto"/>
        </w:rPr>
      </w:pPr>
      <w:r>
        <w:rPr>
          <w:rFonts w:ascii="Courier New" w:cs="Courier New" w:eastAsia="Courier New" w:hAnsi="Courier New"/>
          <w:sz w:val="14"/>
          <w:szCs w:val="14"/>
          <w:color w:val="auto"/>
        </w:rPr>
        <w:t>KEYBANK NATIONAL ASSOCIATION, as a</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Lender</w:t>
      </w:r>
    </w:p>
    <w:p>
      <w:pPr>
        <w:spacing w:after="0" w:line="175"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By: /s/ Suzannah Harris</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Name: Suzannah Harris</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Title: AVP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879"/>
          </w:cols>
          <w:pgMar w:left="580" w:top="620" w:right="1440" w:bottom="1440" w:gutter="0" w:footer="0" w:header="0"/>
        </w:sectPr>
      </w:pPr>
    </w:p>
    <w:bookmarkStart w:id="39" w:name="page40"/>
    <w:bookmarkEnd w:id="39"/>
    <w:p>
      <w:pPr>
        <w:ind w:left="3560"/>
        <w:spacing w:after="0"/>
        <w:rPr>
          <w:sz w:val="20"/>
          <w:szCs w:val="20"/>
          <w:color w:val="auto"/>
        </w:rPr>
      </w:pPr>
      <w:r>
        <w:rPr>
          <w:rFonts w:ascii="Courier New" w:cs="Courier New" w:eastAsia="Courier New" w:hAnsi="Courier New"/>
          <w:sz w:val="14"/>
          <w:szCs w:val="14"/>
          <w:color w:val="auto"/>
        </w:rPr>
        <w:t>PNC BANK, NATIONAL ASSOCIATION, as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a Lender</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By: /s/ Sidney O. Matti</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Name: Sidney O. Matti</w:t>
      </w:r>
    </w:p>
    <w:p>
      <w:pPr>
        <w:spacing w:after="0" w:line="8" w:lineRule="exact"/>
        <w:rPr>
          <w:sz w:val="20"/>
          <w:szCs w:val="20"/>
          <w:color w:val="auto"/>
        </w:rPr>
      </w:pPr>
    </w:p>
    <w:p>
      <w:pPr>
        <w:ind w:left="3560"/>
        <w:spacing w:after="0"/>
        <w:tabs>
          <w:tab w:leader="none" w:pos="4240" w:val="left"/>
        </w:tabs>
        <w:rPr>
          <w:sz w:val="20"/>
          <w:szCs w:val="20"/>
          <w:color w:val="auto"/>
        </w:rPr>
      </w:pPr>
      <w:r>
        <w:rPr>
          <w:rFonts w:ascii="Courier New" w:cs="Courier New" w:eastAsia="Courier New" w:hAnsi="Courier New"/>
          <w:sz w:val="14"/>
          <w:szCs w:val="14"/>
          <w:color w:val="auto"/>
        </w:rPr>
        <w:t>Title:</w:t>
        <w:tab/>
        <w:t>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799"/>
          </w:cols>
          <w:pgMar w:left="660" w:top="620" w:right="1440" w:bottom="1440" w:gutter="0" w:footer="0" w:header="0"/>
        </w:sectPr>
      </w:pPr>
    </w:p>
    <w:bookmarkStart w:id="40" w:name="page41"/>
    <w:bookmarkEnd w:id="40"/>
    <w:p>
      <w:pPr>
        <w:ind w:left="3980"/>
        <w:spacing w:after="0"/>
        <w:rPr>
          <w:sz w:val="20"/>
          <w:szCs w:val="20"/>
          <w:color w:val="auto"/>
        </w:rPr>
      </w:pPr>
      <w:r>
        <w:rPr>
          <w:rFonts w:ascii="Courier New" w:cs="Courier New" w:eastAsia="Courier New" w:hAnsi="Courier New"/>
          <w:sz w:val="14"/>
          <w:szCs w:val="14"/>
          <w:color w:val="auto"/>
        </w:rPr>
        <w:t>MELLON BANK, N.A., as a Lender</w:t>
      </w:r>
    </w:p>
    <w:p>
      <w:pPr>
        <w:spacing w:after="0" w:line="175"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By: /s/ Nancy E. Gale</w:t>
      </w:r>
    </w:p>
    <w:p>
      <w:pPr>
        <w:spacing w:after="0" w:line="8"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Name: Nancy E. Gale</w:t>
      </w:r>
    </w:p>
    <w:p>
      <w:pPr>
        <w:spacing w:after="0" w:line="8" w:lineRule="exact"/>
        <w:rPr>
          <w:sz w:val="20"/>
          <w:szCs w:val="20"/>
          <w:color w:val="auto"/>
        </w:rPr>
      </w:pPr>
    </w:p>
    <w:p>
      <w:pPr>
        <w:ind w:left="3980"/>
        <w:spacing w:after="0"/>
        <w:tabs>
          <w:tab w:leader="none" w:pos="4660" w:val="left"/>
        </w:tabs>
        <w:rPr>
          <w:sz w:val="20"/>
          <w:szCs w:val="20"/>
          <w:color w:val="auto"/>
        </w:rPr>
      </w:pPr>
      <w:r>
        <w:rPr>
          <w:rFonts w:ascii="Courier New" w:cs="Courier New" w:eastAsia="Courier New" w:hAnsi="Courier New"/>
          <w:sz w:val="14"/>
          <w:szCs w:val="14"/>
          <w:color w:val="auto"/>
        </w:rPr>
        <w:t>Title:</w:t>
        <w:tab/>
        <w:t>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879"/>
          </w:cols>
          <w:pgMar w:left="580" w:top="620" w:right="1440" w:bottom="1440" w:gutter="0" w:footer="0" w:header="0"/>
        </w:sectPr>
      </w:pPr>
    </w:p>
    <w:bookmarkStart w:id="41" w:name="page42"/>
    <w:bookmarkEnd w:id="41"/>
    <w:p>
      <w:pPr>
        <w:ind w:left="3820"/>
        <w:spacing w:after="0"/>
        <w:rPr>
          <w:sz w:val="20"/>
          <w:szCs w:val="20"/>
          <w:color w:val="auto"/>
        </w:rPr>
      </w:pPr>
      <w:r>
        <w:rPr>
          <w:rFonts w:ascii="Courier New" w:cs="Courier New" w:eastAsia="Courier New" w:hAnsi="Courier New"/>
          <w:sz w:val="14"/>
          <w:szCs w:val="14"/>
          <w:color w:val="auto"/>
        </w:rPr>
        <w:t>ROYAL BANK OF SCOTLAND PLC, as a</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Lender</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 /s/ C.M. Hallam</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 C.M. Hallam</w:t>
      </w:r>
    </w:p>
    <w:p>
      <w:pPr>
        <w:spacing w:after="0" w:line="8" w:lineRule="exact"/>
        <w:rPr>
          <w:sz w:val="20"/>
          <w:szCs w:val="20"/>
          <w:color w:val="auto"/>
        </w:rPr>
      </w:pPr>
    </w:p>
    <w:p>
      <w:pPr>
        <w:ind w:left="3820"/>
        <w:spacing w:after="0"/>
        <w:tabs>
          <w:tab w:leader="none" w:pos="4480" w:val="left"/>
        </w:tabs>
        <w:rPr>
          <w:sz w:val="20"/>
          <w:szCs w:val="20"/>
          <w:color w:val="auto"/>
        </w:rPr>
      </w:pPr>
      <w:r>
        <w:rPr>
          <w:rFonts w:ascii="Courier New" w:cs="Courier New" w:eastAsia="Courier New" w:hAnsi="Courier New"/>
          <w:sz w:val="14"/>
          <w:szCs w:val="14"/>
          <w:color w:val="auto"/>
        </w:rPr>
        <w:t>Title:</w:t>
        <w:tab/>
        <w:t>Corporate Director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879"/>
          </w:cols>
          <w:pgMar w:left="580" w:top="620" w:right="1440" w:bottom="1440" w:gutter="0" w:footer="0" w:header="0"/>
        </w:sectPr>
      </w:pPr>
    </w:p>
    <w:bookmarkStart w:id="42" w:name="page43"/>
    <w:bookmarkEnd w:id="42"/>
    <w:p>
      <w:pPr>
        <w:ind w:left="3460"/>
        <w:spacing w:after="0"/>
        <w:rPr>
          <w:sz w:val="20"/>
          <w:szCs w:val="20"/>
          <w:color w:val="auto"/>
        </w:rPr>
      </w:pPr>
      <w:r>
        <w:rPr>
          <w:rFonts w:ascii="Courier New" w:cs="Courier New" w:eastAsia="Courier New" w:hAnsi="Courier New"/>
          <w:sz w:val="14"/>
          <w:szCs w:val="14"/>
          <w:color w:val="auto"/>
        </w:rPr>
        <w:t>U.S. BANK NATIONAL ASSOCIATION, as a</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Lender</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Thomas L. Bayer</w:t>
      </w:r>
    </w:p>
    <w:p>
      <w:pPr>
        <w:spacing w:after="0" w:line="8" w:lineRule="exact"/>
        <w:rPr>
          <w:sz w:val="20"/>
          <w:szCs w:val="20"/>
          <w:color w:val="auto"/>
        </w:rPr>
      </w:pPr>
    </w:p>
    <w:p>
      <w:pPr>
        <w:ind w:left="3460"/>
        <w:spacing w:after="0"/>
        <w:tabs>
          <w:tab w:leader="none" w:pos="4060" w:val="left"/>
        </w:tabs>
        <w:rPr>
          <w:sz w:val="20"/>
          <w:szCs w:val="20"/>
          <w:color w:val="auto"/>
        </w:rPr>
      </w:pPr>
      <w:r>
        <w:rPr>
          <w:rFonts w:ascii="Courier New" w:cs="Courier New" w:eastAsia="Courier New" w:hAnsi="Courier New"/>
          <w:sz w:val="14"/>
          <w:szCs w:val="14"/>
          <w:color w:val="auto"/>
        </w:rPr>
        <w:t>Name:</w:t>
        <w:tab/>
        <w:t>Thomas L. Bayer</w:t>
      </w:r>
    </w:p>
    <w:p>
      <w:pPr>
        <w:spacing w:after="0" w:line="8" w:lineRule="exact"/>
        <w:rPr>
          <w:sz w:val="20"/>
          <w:szCs w:val="20"/>
          <w:color w:val="auto"/>
        </w:rPr>
      </w:pPr>
    </w:p>
    <w:p>
      <w:pPr>
        <w:ind w:left="3460"/>
        <w:spacing w:after="0"/>
        <w:tabs>
          <w:tab w:leader="none" w:pos="4140" w:val="left"/>
        </w:tabs>
        <w:rPr>
          <w:sz w:val="20"/>
          <w:szCs w:val="20"/>
          <w:color w:val="auto"/>
        </w:rPr>
      </w:pPr>
      <w:r>
        <w:rPr>
          <w:rFonts w:ascii="Courier New" w:cs="Courier New" w:eastAsia="Courier New" w:hAnsi="Courier New"/>
          <w:sz w:val="14"/>
          <w:szCs w:val="14"/>
          <w:color w:val="auto"/>
        </w:rPr>
        <w:t>Title:</w:t>
        <w:tab/>
        <w:t>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879"/>
          </w:cols>
          <w:pgMar w:left="580" w:top="620" w:right="1440" w:bottom="1440" w:gutter="0" w:footer="0" w:header="0"/>
        </w:sectPr>
      </w:pPr>
    </w:p>
    <w:bookmarkStart w:id="43" w:name="page44"/>
    <w:bookmarkEnd w:id="43"/>
    <w:p>
      <w:pPr>
        <w:ind w:left="3640"/>
        <w:spacing w:after="0"/>
        <w:rPr>
          <w:sz w:val="20"/>
          <w:szCs w:val="20"/>
          <w:color w:val="auto"/>
        </w:rPr>
      </w:pPr>
      <w:r>
        <w:rPr>
          <w:rFonts w:ascii="Courier New" w:cs="Courier New" w:eastAsia="Courier New" w:hAnsi="Courier New"/>
          <w:sz w:val="14"/>
          <w:szCs w:val="14"/>
          <w:color w:val="auto"/>
        </w:rPr>
        <w:t>CITIZENS BANK OF MASSACHUSETTS, as</w:t>
      </w:r>
    </w:p>
    <w:p>
      <w:pPr>
        <w:spacing w:after="0" w:line="8"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a Lender</w:t>
      </w:r>
    </w:p>
    <w:p>
      <w:pPr>
        <w:spacing w:after="0" w:line="175" w:lineRule="exact"/>
        <w:rPr>
          <w:sz w:val="20"/>
          <w:szCs w:val="20"/>
          <w:color w:val="auto"/>
        </w:rPr>
      </w:pPr>
    </w:p>
    <w:p>
      <w:pPr>
        <w:ind w:left="3640"/>
        <w:spacing w:after="0"/>
        <w:rPr>
          <w:sz w:val="20"/>
          <w:szCs w:val="20"/>
          <w:color w:val="auto"/>
        </w:rPr>
      </w:pPr>
      <w:r>
        <w:rPr>
          <w:rFonts w:ascii="Courier New" w:cs="Courier New" w:eastAsia="Courier New" w:hAnsi="Courier New"/>
          <w:sz w:val="14"/>
          <w:szCs w:val="14"/>
          <w:color w:val="auto"/>
        </w:rPr>
        <w:t>By: /s/ Stephen F. Foley</w:t>
      </w:r>
    </w:p>
    <w:p>
      <w:pPr>
        <w:spacing w:after="0" w:line="8" w:lineRule="exact"/>
        <w:rPr>
          <w:sz w:val="20"/>
          <w:szCs w:val="20"/>
          <w:color w:val="auto"/>
        </w:rPr>
      </w:pPr>
    </w:p>
    <w:p>
      <w:pPr>
        <w:ind w:left="3640"/>
        <w:spacing w:after="0"/>
        <w:tabs>
          <w:tab w:leader="none" w:pos="4220" w:val="left"/>
        </w:tabs>
        <w:rPr>
          <w:sz w:val="20"/>
          <w:szCs w:val="20"/>
          <w:color w:val="auto"/>
        </w:rPr>
      </w:pPr>
      <w:r>
        <w:rPr>
          <w:rFonts w:ascii="Courier New" w:cs="Courier New" w:eastAsia="Courier New" w:hAnsi="Courier New"/>
          <w:sz w:val="14"/>
          <w:szCs w:val="14"/>
          <w:color w:val="auto"/>
        </w:rPr>
        <w:t>Name:</w:t>
        <w:tab/>
        <w:t>Stephen F. Foley</w:t>
      </w:r>
    </w:p>
    <w:p>
      <w:pPr>
        <w:spacing w:after="0" w:line="8" w:lineRule="exact"/>
        <w:rPr>
          <w:sz w:val="20"/>
          <w:szCs w:val="20"/>
          <w:color w:val="auto"/>
        </w:rPr>
      </w:pPr>
    </w:p>
    <w:p>
      <w:pPr>
        <w:ind w:left="3640"/>
        <w:spacing w:after="0"/>
        <w:tabs>
          <w:tab w:leader="none" w:pos="4320" w:val="left"/>
        </w:tabs>
        <w:rPr>
          <w:sz w:val="20"/>
          <w:szCs w:val="20"/>
          <w:color w:val="auto"/>
        </w:rPr>
      </w:pPr>
      <w:r>
        <w:rPr>
          <w:rFonts w:ascii="Courier New" w:cs="Courier New" w:eastAsia="Courier New" w:hAnsi="Courier New"/>
          <w:sz w:val="14"/>
          <w:szCs w:val="14"/>
          <w:color w:val="auto"/>
        </w:rPr>
        <w:t>Title:</w:t>
        <w:tab/>
        <w:t>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879"/>
          </w:cols>
          <w:pgMar w:left="580" w:top="620" w:right="1440" w:bottom="1440" w:gutter="0" w:footer="0" w:header="0"/>
        </w:sectPr>
      </w:pPr>
    </w:p>
    <w:bookmarkStart w:id="44" w:name="page45"/>
    <w:bookmarkEnd w:id="44"/>
    <w:p>
      <w:pPr>
        <w:ind w:left="3820"/>
        <w:spacing w:after="0"/>
        <w:rPr>
          <w:sz w:val="20"/>
          <w:szCs w:val="20"/>
          <w:color w:val="auto"/>
        </w:rPr>
      </w:pPr>
      <w:r>
        <w:rPr>
          <w:rFonts w:ascii="Courier New" w:cs="Courier New" w:eastAsia="Courier New" w:hAnsi="Courier New"/>
          <w:sz w:val="14"/>
          <w:szCs w:val="14"/>
          <w:color w:val="auto"/>
        </w:rPr>
        <w:t>FIFTH THIRD BANK, as a Lender</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 /s/ Christine L. Wagner</w:t>
      </w:r>
    </w:p>
    <w:p>
      <w:pPr>
        <w:spacing w:after="0" w:line="8" w:lineRule="exact"/>
        <w:rPr>
          <w:sz w:val="20"/>
          <w:szCs w:val="20"/>
          <w:color w:val="auto"/>
        </w:rPr>
      </w:pPr>
    </w:p>
    <w:p>
      <w:pPr>
        <w:ind w:left="3820"/>
        <w:spacing w:after="0"/>
        <w:tabs>
          <w:tab w:leader="none" w:pos="4400" w:val="left"/>
        </w:tabs>
        <w:rPr>
          <w:sz w:val="20"/>
          <w:szCs w:val="20"/>
          <w:color w:val="auto"/>
        </w:rPr>
      </w:pPr>
      <w:r>
        <w:rPr>
          <w:rFonts w:ascii="Courier New" w:cs="Courier New" w:eastAsia="Courier New" w:hAnsi="Courier New"/>
          <w:sz w:val="14"/>
          <w:szCs w:val="14"/>
          <w:color w:val="auto"/>
        </w:rPr>
        <w:t>Name:</w:t>
        <w:tab/>
        <w:t>Christine L. Wagner</w:t>
      </w:r>
    </w:p>
    <w:p>
      <w:pPr>
        <w:spacing w:after="0" w:line="8" w:lineRule="exact"/>
        <w:rPr>
          <w:sz w:val="20"/>
          <w:szCs w:val="20"/>
          <w:color w:val="auto"/>
        </w:rPr>
      </w:pPr>
    </w:p>
    <w:p>
      <w:pPr>
        <w:ind w:left="3820"/>
        <w:spacing w:after="0"/>
        <w:tabs>
          <w:tab w:leader="none" w:pos="4480" w:val="left"/>
        </w:tabs>
        <w:rPr>
          <w:sz w:val="20"/>
          <w:szCs w:val="20"/>
          <w:color w:val="auto"/>
        </w:rPr>
      </w:pPr>
      <w:r>
        <w:rPr>
          <w:rFonts w:ascii="Courier New" w:cs="Courier New" w:eastAsia="Courier New" w:hAnsi="Courier New"/>
          <w:sz w:val="14"/>
          <w:szCs w:val="14"/>
          <w:color w:val="auto"/>
        </w:rPr>
        <w:t>Title:</w:t>
        <w:tab/>
        <w:t>Assistant 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879"/>
          </w:cols>
          <w:pgMar w:left="580" w:top="620" w:right="1440" w:bottom="1440" w:gutter="0" w:footer="0" w:header="0"/>
        </w:sectPr>
      </w:pPr>
    </w:p>
    <w:bookmarkStart w:id="45" w:name="page46"/>
    <w:bookmarkEnd w:id="45"/>
    <w:p>
      <w:pPr>
        <w:ind w:left="4160"/>
        <w:spacing w:after="0"/>
        <w:rPr>
          <w:sz w:val="20"/>
          <w:szCs w:val="20"/>
          <w:color w:val="auto"/>
        </w:rPr>
      </w:pPr>
      <w:r>
        <w:rPr>
          <w:rFonts w:ascii="Courier New" w:cs="Courier New" w:eastAsia="Courier New" w:hAnsi="Courier New"/>
          <w:sz w:val="14"/>
          <w:szCs w:val="14"/>
          <w:color w:val="auto"/>
        </w:rPr>
        <w:t>SOVEREIGN BANK, as a Lender</w:t>
      </w:r>
    </w:p>
    <w:p>
      <w:pPr>
        <w:spacing w:after="0" w:line="175"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By: /s/ Jesse Wong</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Name: Jesse Wong</w:t>
      </w:r>
    </w:p>
    <w:p>
      <w:pPr>
        <w:spacing w:after="0" w:line="8" w:lineRule="exact"/>
        <w:rPr>
          <w:sz w:val="20"/>
          <w:szCs w:val="20"/>
          <w:color w:val="auto"/>
        </w:rPr>
      </w:pPr>
    </w:p>
    <w:p>
      <w:pPr>
        <w:ind w:left="4160"/>
        <w:spacing w:after="0"/>
        <w:tabs>
          <w:tab w:leader="none" w:pos="4840" w:val="left"/>
        </w:tabs>
        <w:rPr>
          <w:sz w:val="20"/>
          <w:szCs w:val="20"/>
          <w:color w:val="auto"/>
        </w:rPr>
      </w:pPr>
      <w:r>
        <w:rPr>
          <w:rFonts w:ascii="Courier New" w:cs="Courier New" w:eastAsia="Courier New" w:hAnsi="Courier New"/>
          <w:sz w:val="14"/>
          <w:szCs w:val="14"/>
          <w:color w:val="auto"/>
        </w:rPr>
        <w:t>Title:</w:t>
        <w:tab/>
        <w:t>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799"/>
          </w:cols>
          <w:pgMar w:left="660" w:top="620" w:right="1440" w:bottom="1440" w:gutter="0" w:footer="0" w:header="0"/>
        </w:sectPr>
      </w:pPr>
    </w:p>
    <w:bookmarkStart w:id="46" w:name="page47"/>
    <w:bookmarkEnd w:id="46"/>
    <w:p>
      <w:pPr>
        <w:ind w:left="4340"/>
        <w:spacing w:after="0"/>
        <w:rPr>
          <w:sz w:val="20"/>
          <w:szCs w:val="20"/>
          <w:color w:val="auto"/>
        </w:rPr>
      </w:pPr>
      <w:r>
        <w:rPr>
          <w:rFonts w:ascii="Courier New" w:cs="Courier New" w:eastAsia="Courier New" w:hAnsi="Courier New"/>
          <w:sz w:val="14"/>
          <w:szCs w:val="14"/>
          <w:color w:val="auto"/>
        </w:rPr>
        <w:t>WELLS FARGO BANK, NATIONAL</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ASSOCIATION, as a Lender</w:t>
      </w:r>
    </w:p>
    <w:p>
      <w:pPr>
        <w:spacing w:after="0" w:line="175"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By: /s/ Caroline Gates</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Name: Caroline Gates</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Title: VP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879"/>
          </w:cols>
          <w:pgMar w:left="580" w:top="620" w:right="1440" w:bottom="1440" w:gutter="0" w:footer="0" w:header="0"/>
        </w:sectPr>
      </w:pPr>
    </w:p>
    <w:bookmarkStart w:id="47" w:name="page48"/>
    <w:bookmarkEnd w:id="47"/>
    <w:p>
      <w:pPr>
        <w:ind w:left="3460"/>
        <w:spacing w:after="0"/>
        <w:rPr>
          <w:sz w:val="20"/>
          <w:szCs w:val="20"/>
          <w:color w:val="auto"/>
        </w:rPr>
      </w:pPr>
      <w:r>
        <w:rPr>
          <w:rFonts w:ascii="Courier New" w:cs="Courier New" w:eastAsia="Courier New" w:hAnsi="Courier New"/>
          <w:sz w:val="14"/>
          <w:szCs w:val="14"/>
          <w:color w:val="auto"/>
        </w:rPr>
        <w:t>THE BANK OF NOVA SCOTIA, as a Lender</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By: /s/ Todd S. Meller</w:t>
      </w:r>
    </w:p>
    <w:p>
      <w:pPr>
        <w:spacing w:after="0" w:line="8" w:lineRule="exact"/>
        <w:rPr>
          <w:sz w:val="20"/>
          <w:szCs w:val="20"/>
          <w:color w:val="auto"/>
        </w:rPr>
      </w:pPr>
    </w:p>
    <w:p>
      <w:pPr>
        <w:ind w:left="3460"/>
        <w:spacing w:after="0"/>
        <w:tabs>
          <w:tab w:leader="none" w:pos="4060" w:val="left"/>
        </w:tabs>
        <w:rPr>
          <w:sz w:val="20"/>
          <w:szCs w:val="20"/>
          <w:color w:val="auto"/>
        </w:rPr>
      </w:pPr>
      <w:r>
        <w:rPr>
          <w:rFonts w:ascii="Courier New" w:cs="Courier New" w:eastAsia="Courier New" w:hAnsi="Courier New"/>
          <w:sz w:val="14"/>
          <w:szCs w:val="14"/>
          <w:color w:val="auto"/>
        </w:rPr>
        <w:t>Name:</w:t>
        <w:tab/>
        <w:t>Todd S. Meller</w:t>
      </w:r>
    </w:p>
    <w:p>
      <w:pPr>
        <w:spacing w:after="0" w:line="8" w:lineRule="exact"/>
        <w:rPr>
          <w:sz w:val="20"/>
          <w:szCs w:val="20"/>
          <w:color w:val="auto"/>
        </w:rPr>
      </w:pPr>
    </w:p>
    <w:p>
      <w:pPr>
        <w:ind w:left="3460"/>
        <w:spacing w:after="0"/>
        <w:tabs>
          <w:tab w:leader="none" w:pos="4140" w:val="left"/>
        </w:tabs>
        <w:rPr>
          <w:sz w:val="20"/>
          <w:szCs w:val="20"/>
          <w:color w:val="auto"/>
        </w:rPr>
      </w:pPr>
      <w:r>
        <w:rPr>
          <w:rFonts w:ascii="Courier New" w:cs="Courier New" w:eastAsia="Courier New" w:hAnsi="Courier New"/>
          <w:sz w:val="14"/>
          <w:szCs w:val="14"/>
          <w:color w:val="auto"/>
        </w:rPr>
        <w:t>Title:</w:t>
        <w:tab/>
        <w:t>Managing Director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879"/>
          </w:cols>
          <w:pgMar w:left="580" w:top="620" w:right="1440" w:bottom="1440" w:gutter="0" w:footer="0" w:header="0"/>
        </w:sectPr>
      </w:pPr>
    </w:p>
    <w:bookmarkStart w:id="48" w:name="page49"/>
    <w:bookmarkEnd w:id="48"/>
    <w:p>
      <w:pPr>
        <w:ind w:left="3820"/>
        <w:spacing w:after="0"/>
        <w:rPr>
          <w:sz w:val="20"/>
          <w:szCs w:val="20"/>
          <w:color w:val="auto"/>
        </w:rPr>
      </w:pPr>
      <w:r>
        <w:rPr>
          <w:rFonts w:ascii="Courier New" w:cs="Courier New" w:eastAsia="Courier New" w:hAnsi="Courier New"/>
          <w:sz w:val="14"/>
          <w:szCs w:val="14"/>
          <w:color w:val="auto"/>
        </w:rPr>
        <w:t>SUNTRUST BANK, N.A., as a Lender</w:t>
      </w:r>
    </w:p>
    <w:p>
      <w:pPr>
        <w:spacing w:after="0" w:line="175"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By: /s/ Todd Sheets</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Name: Todd Sheets</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Title: AVP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9879"/>
          </w:cols>
          <w:pgMar w:left="580" w:top="620" w:right="1440" w:bottom="1440" w:gutter="0" w:footer="0" w:header="0"/>
        </w:sectPr>
      </w:pPr>
    </w:p>
    <w:bookmarkStart w:id="49" w:name="page50"/>
    <w:bookmarkEnd w:id="49"/>
    <w:p>
      <w:pPr>
        <w:jc w:val="right"/>
        <w:ind w:right="3279"/>
        <w:spacing w:after="0"/>
        <w:rPr>
          <w:sz w:val="20"/>
          <w:szCs w:val="20"/>
          <w:color w:val="auto"/>
        </w:rPr>
      </w:pPr>
      <w:r>
        <w:rPr>
          <w:rFonts w:ascii="Courier New" w:cs="Courier New" w:eastAsia="Courier New" w:hAnsi="Courier New"/>
          <w:sz w:val="14"/>
          <w:szCs w:val="14"/>
          <w:color w:val="auto"/>
        </w:rPr>
        <w:t>ATTACHMENT A</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REAFFIRMATION</w:t>
      </w:r>
    </w:p>
    <w:p>
      <w:pPr>
        <w:spacing w:after="0" w:line="175" w:lineRule="exact"/>
        <w:rPr>
          <w:sz w:val="20"/>
          <w:szCs w:val="20"/>
          <w:color w:val="auto"/>
        </w:rPr>
      </w:pPr>
    </w:p>
    <w:p>
      <w:pPr>
        <w:ind w:right="3279" w:firstLine="1562"/>
        <w:spacing w:after="0" w:line="252" w:lineRule="auto"/>
        <w:rPr>
          <w:sz w:val="20"/>
          <w:szCs w:val="20"/>
          <w:color w:val="auto"/>
        </w:rPr>
      </w:pPr>
      <w:r>
        <w:rPr>
          <w:rFonts w:ascii="Courier New" w:cs="Courier New" w:eastAsia="Courier New" w:hAnsi="Courier New"/>
          <w:sz w:val="14"/>
          <w:szCs w:val="14"/>
          <w:color w:val="auto"/>
        </w:rPr>
        <w:t>Each of the undersigned hereby acknowledges receipt of a copy of the foregoing Amendment No. 3 to the 364-Day Revolving Credit Agreement dated as of March 26, 2002 by and among The TJX Companies, Inc. (the "Borrower"), the financial institutions from time to time party thereto (the "Lenders"), Bank One, NA (having its main office in Chicago, Illinois), in its individual capacity as a Lender and in its capacity as contractual representative (the "Administrative Agent"), FLEET NATIONAL BANK and THE BANK OF NEW YORK, as syndication agents (the "Syndication Agents"), and BANK OF AMERICA, N.A. and JPMORGAN CHASE BANK, as documentation agents (the "Documentation Agents") (as amended by an Amendment No. 1 dated as of May 3, 2002 and an Amendment No. 2 dated as of July 19, 2002, and as the same may be amended, restated, supplemented or otherwise modified from time to time, the "Credit Agreement"), which Amendment No. 3 is dated as of March 24, 2003 (the "Amendment"). Capitalized terms used in this Reaffirmation and not defined herein shall have the meanings given to them in the Credit Agreement. Without in any way establishing a course of dealing by the Administrative Agent, the Syndication Agents, the Documentation Agents or any Lender, each of the undersigned reaffirms the terms and conditions of the Facility Guaranty and any other Loan Document executed by it and acknowledges and agrees that such agreement and each and every such Loan Document executed by the undersigned in connection with the Credit Agreement remains in full force and effect and is hereby reaffirmed, ratified and confirmed. All references to the Credit Agreement contained in the above-referenced documents shall be a reference to the Credit Agreement as so modified by the Amendment and as the same may from time to time hereafter be amended, modified or restated.</w:t>
      </w:r>
    </w:p>
    <w:p>
      <w:pPr>
        <w:spacing w:after="0" w:line="34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March 24, 2003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T.J. MAXX OF CA,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T.J. MAXX OF IL,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MARMAXX OPERATING CORP.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MARSHALLS OF MA,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NBC OPERATING,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MARSHALLS OF RICHFIELD, MN,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NEWTON BUYING COMPANY OF CA,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HOMEGOODS,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Mary B. Reynolds</w:t>
      </w:r>
    </w:p>
    <w:p>
      <w:pPr>
        <w:spacing w:after="0" w:line="8"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Name:</w:t>
        <w:tab/>
        <w:t>Mary B. Reynolds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Vice President and Treasurer</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10239"/>
          </w:cols>
          <w:pgMar w:left="220" w:top="620"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MARSHALLS OF CA,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MARSHALLS OF IL, LLC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NBC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Mary B. Reynolds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Mary B. Reynolds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Treasurer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NBC FOURTH REALTY CORP.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MARSHALL'S OF NEVADA,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Mary B. Reynolds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Mary B. Reynolds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Vice President, Treasurer and Secretary</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SIGNATURE PAGE TO AMENDMENT NO. 3 TO 364-DAY REVOLVING CREDIT AGREEMENT</w:t>
      </w:r>
    </w:p>
    <w:p>
      <w:pPr>
        <w:sectPr>
          <w:pgSz w:w="11900" w:h="16838" w:orient="portrait"/>
          <w:cols w:equalWidth="0" w:num="1">
            <w:col w:w="10239"/>
          </w:cols>
          <w:pgMar w:left="220" w:top="620" w:right="1440"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14"/>
                <w:szCs w:val="14"/>
                <w:color w:val="auto"/>
              </w:rPr>
            </w:pPr>
          </w:p>
        </w:tc>
        <w:tc>
          <w:tcPr>
            <w:tcW w:w="1840" w:type="dxa"/>
            <w:vAlign w:val="bottom"/>
          </w:tcPr>
          <w:p>
            <w:pPr>
              <w:ind w:left="800"/>
              <w:spacing w:after="0"/>
              <w:rPr>
                <w:sz w:val="20"/>
                <w:szCs w:val="20"/>
                <w:color w:val="auto"/>
              </w:rPr>
            </w:pPr>
            <w:r>
              <w:rPr>
                <w:rFonts w:ascii="Courier New" w:cs="Courier New" w:eastAsia="Courier New" w:hAnsi="Courier New"/>
                <w:sz w:val="14"/>
                <w:szCs w:val="14"/>
                <w:color w:val="auto"/>
              </w:rPr>
              <w:t>ATTACHMENT B</w:t>
            </w:r>
          </w:p>
        </w:tc>
      </w:tr>
      <w:tr>
        <w:trPr>
          <w:trHeight w:val="334"/>
        </w:trPr>
        <w:tc>
          <w:tcPr>
            <w:tcW w:w="5120" w:type="dxa"/>
            <w:vAlign w:val="bottom"/>
          </w:tcPr>
          <w:p>
            <w:pPr>
              <w:ind w:left="2960"/>
              <w:spacing w:after="0"/>
              <w:rPr>
                <w:sz w:val="20"/>
                <w:szCs w:val="20"/>
                <w:color w:val="auto"/>
              </w:rPr>
            </w:pPr>
            <w:r>
              <w:rPr>
                <w:rFonts w:ascii="Courier New" w:cs="Courier New" w:eastAsia="Courier New" w:hAnsi="Courier New"/>
                <w:sz w:val="14"/>
                <w:szCs w:val="14"/>
                <w:color w:val="auto"/>
              </w:rPr>
              <w:t>SCHEDULE 1 TO</w:t>
            </w:r>
          </w:p>
        </w:tc>
        <w:tc>
          <w:tcPr>
            <w:tcW w:w="1840" w:type="dxa"/>
            <w:vAlign w:val="bottom"/>
          </w:tcPr>
          <w:p>
            <w:pPr>
              <w:spacing w:after="0"/>
              <w:rPr>
                <w:sz w:val="24"/>
                <w:szCs w:val="24"/>
                <w:color w:val="auto"/>
              </w:rPr>
            </w:pPr>
          </w:p>
        </w:tc>
      </w:tr>
      <w:tr>
        <w:trPr>
          <w:trHeight w:val="167"/>
        </w:trPr>
        <w:tc>
          <w:tcPr>
            <w:tcW w:w="5120" w:type="dxa"/>
            <w:vAlign w:val="bottom"/>
          </w:tcPr>
          <w:p>
            <w:pPr>
              <w:ind w:left="2000"/>
              <w:spacing w:after="0"/>
              <w:rPr>
                <w:sz w:val="20"/>
                <w:szCs w:val="20"/>
                <w:color w:val="auto"/>
              </w:rPr>
            </w:pPr>
            <w:r>
              <w:rPr>
                <w:rFonts w:ascii="Courier New" w:cs="Courier New" w:eastAsia="Courier New" w:hAnsi="Courier New"/>
                <w:sz w:val="14"/>
                <w:szCs w:val="14"/>
                <w:color w:val="auto"/>
              </w:rPr>
              <w:t>364-DAY REVOLVING CREDIT AGREEMENT</w:t>
            </w:r>
          </w:p>
        </w:tc>
        <w:tc>
          <w:tcPr>
            <w:tcW w:w="1840" w:type="dxa"/>
            <w:vAlign w:val="bottom"/>
          </w:tcPr>
          <w:p>
            <w:pPr>
              <w:spacing w:after="0"/>
              <w:rPr>
                <w:sz w:val="14"/>
                <w:szCs w:val="14"/>
                <w:color w:val="auto"/>
              </w:rPr>
            </w:pPr>
          </w:p>
        </w:tc>
      </w:tr>
      <w:tr>
        <w:trPr>
          <w:trHeight w:val="334"/>
        </w:trPr>
        <w:tc>
          <w:tcPr>
            <w:tcW w:w="5120" w:type="dxa"/>
            <w:vAlign w:val="bottom"/>
          </w:tcPr>
          <w:p>
            <w:pPr>
              <w:ind w:left="3040"/>
              <w:spacing w:after="0"/>
              <w:rPr>
                <w:sz w:val="20"/>
                <w:szCs w:val="20"/>
                <w:color w:val="auto"/>
              </w:rPr>
            </w:pPr>
            <w:r>
              <w:rPr>
                <w:rFonts w:ascii="Courier New" w:cs="Courier New" w:eastAsia="Courier New" w:hAnsi="Courier New"/>
                <w:sz w:val="14"/>
                <w:szCs w:val="14"/>
                <w:color w:val="auto"/>
              </w:rPr>
              <w:t>Commitments</w:t>
            </w:r>
          </w:p>
        </w:tc>
        <w:tc>
          <w:tcPr>
            <w:tcW w:w="1840" w:type="dxa"/>
            <w:vAlign w:val="bottom"/>
          </w:tcPr>
          <w:p>
            <w:pPr>
              <w:spacing w:after="0"/>
              <w:rPr>
                <w:sz w:val="24"/>
                <w:szCs w:val="24"/>
                <w:color w:val="auto"/>
              </w:rPr>
            </w:pPr>
          </w:p>
        </w:tc>
      </w:tr>
      <w:tr>
        <w:trPr>
          <w:trHeight w:val="668"/>
        </w:trPr>
        <w:tc>
          <w:tcPr>
            <w:tcW w:w="5120" w:type="dxa"/>
            <w:vAlign w:val="bottom"/>
          </w:tcPr>
          <w:p>
            <w:pPr>
              <w:ind w:left="620"/>
              <w:spacing w:after="0"/>
              <w:rPr>
                <w:sz w:val="20"/>
                <w:szCs w:val="20"/>
                <w:color w:val="auto"/>
              </w:rPr>
            </w:pPr>
            <w:r>
              <w:rPr>
                <w:rFonts w:ascii="Courier New" w:cs="Courier New" w:eastAsia="Courier New" w:hAnsi="Courier New"/>
                <w:sz w:val="14"/>
                <w:szCs w:val="14"/>
                <w:color w:val="auto"/>
              </w:rPr>
              <w:t>LENDER</w:t>
            </w:r>
          </w:p>
        </w:tc>
        <w:tc>
          <w:tcPr>
            <w:tcW w:w="1840" w:type="dxa"/>
            <w:vAlign w:val="bottom"/>
          </w:tcPr>
          <w:p>
            <w:pPr>
              <w:ind w:left="360"/>
              <w:spacing w:after="0"/>
              <w:rPr>
                <w:sz w:val="20"/>
                <w:szCs w:val="20"/>
                <w:color w:val="auto"/>
              </w:rPr>
            </w:pPr>
            <w:r>
              <w:rPr>
                <w:rFonts w:ascii="Courier New" w:cs="Courier New" w:eastAsia="Courier New" w:hAnsi="Courier New"/>
                <w:sz w:val="14"/>
                <w:szCs w:val="14"/>
                <w:color w:val="auto"/>
              </w:rPr>
              <w:t>COMMITMENT</w:t>
            </w:r>
          </w:p>
        </w:tc>
      </w:tr>
      <w:tr>
        <w:trPr>
          <w:trHeight w:val="167"/>
        </w:trPr>
        <w:tc>
          <w:tcPr>
            <w:tcW w:w="512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334"/>
        </w:trPr>
        <w:tc>
          <w:tcPr>
            <w:tcW w:w="5120" w:type="dxa"/>
            <w:vAlign w:val="bottom"/>
          </w:tcPr>
          <w:p>
            <w:pPr>
              <w:spacing w:after="0"/>
              <w:rPr>
                <w:sz w:val="20"/>
                <w:szCs w:val="20"/>
                <w:color w:val="auto"/>
              </w:rPr>
            </w:pPr>
            <w:r>
              <w:rPr>
                <w:rFonts w:ascii="Courier New" w:cs="Courier New" w:eastAsia="Courier New" w:hAnsi="Courier New"/>
                <w:sz w:val="14"/>
                <w:szCs w:val="14"/>
                <w:color w:val="auto"/>
              </w:rPr>
              <w:t>Fleet National Bank</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$41,538,461.54</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The Bank of New York</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$41,538,461.54</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Bank One, NA</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$30,000,000.00</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Bank of America, N.A</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$30,000,000.00</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JPMorgan Chase Bank</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$30,000,000.00</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Fifth Third Bank</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$19,230,769.23</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Union Bank of California, N.A.</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$18,461,538.45</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Key Bank National Association</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$16,153,846.15</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PNC Bank, National Association</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$13,846,153.85</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Mellon Bank</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$13,846,153.85</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Royal Bank of Scotland</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$13,846,153.85</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US Bank National Association</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$13,846,153.85</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The Bank of Nova Scotia</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$10,000,000.00</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Suntrust Bank, N.A.</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$10,000,000.00</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Citizens Bank of Massachusetts</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$9,230,769.23</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Sovereign Bank</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$9,230,769.23</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Wells Fargo Bank, National</w:t>
            </w:r>
          </w:p>
        </w:tc>
        <w:tc>
          <w:tcPr>
            <w:tcW w:w="1840" w:type="dxa"/>
            <w:vAlign w:val="bottom"/>
          </w:tcPr>
          <w:p>
            <w:pPr>
              <w:spacing w:after="0"/>
              <w:rPr>
                <w:sz w:val="14"/>
                <w:szCs w:val="14"/>
                <w:color w:val="auto"/>
              </w:rPr>
            </w:pP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Association</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$9,230,769.23</w:t>
            </w:r>
          </w:p>
        </w:tc>
      </w:tr>
      <w:tr>
        <w:trPr>
          <w:trHeight w:val="167"/>
        </w:trPr>
        <w:tc>
          <w:tcPr>
            <w:tcW w:w="51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840" w:type="dxa"/>
            <w:vAlign w:val="bottom"/>
          </w:tcPr>
          <w:p>
            <w:pPr>
              <w:ind w:left="180"/>
              <w:spacing w:after="0"/>
              <w:rPr>
                <w:sz w:val="20"/>
                <w:szCs w:val="20"/>
                <w:color w:val="auto"/>
              </w:rPr>
            </w:pPr>
            <w:r>
              <w:rPr>
                <w:rFonts w:ascii="Courier New" w:cs="Courier New" w:eastAsia="Courier New" w:hAnsi="Courier New"/>
                <w:sz w:val="14"/>
                <w:szCs w:val="14"/>
                <w:color w:val="auto"/>
              </w:rPr>
              <w:t>$330,000,000.00</w:t>
            </w:r>
          </w:p>
        </w:tc>
      </w:tr>
    </w:tbl>
    <w:p>
      <w:pPr>
        <w:sectPr>
          <w:pgSz w:w="11900" w:h="16838" w:orient="portrait"/>
          <w:cols w:equalWidth="0" w:num="1">
            <w:col w:w="10239"/>
          </w:cols>
          <w:pgMar w:left="220" w:top="620" w:right="1440" w:bottom="1440" w:gutter="0" w:footer="0" w:header="0"/>
        </w:sectPr>
      </w:pPr>
    </w:p>
    <w:bookmarkStart w:id="52" w:name="page53"/>
    <w:bookmarkEnd w:id="52"/>
    <w:p>
      <w:pPr>
        <w:jc w:val="right"/>
        <w:ind w:right="3279"/>
        <w:spacing w:after="0"/>
        <w:rPr>
          <w:sz w:val="20"/>
          <w:szCs w:val="20"/>
          <w:color w:val="auto"/>
        </w:rPr>
      </w:pPr>
      <w:r>
        <w:rPr>
          <w:rFonts w:ascii="Courier New" w:cs="Courier New" w:eastAsia="Courier New" w:hAnsi="Courier New"/>
          <w:sz w:val="14"/>
          <w:szCs w:val="14"/>
          <w:color w:val="auto"/>
        </w:rPr>
        <w:t>EXHIBIT 10.17</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RESTORATION AGREEMENT</w:t>
      </w:r>
    </w:p>
    <w:p>
      <w:pPr>
        <w:spacing w:after="0" w:line="175" w:lineRule="exact"/>
        <w:rPr>
          <w:sz w:val="20"/>
          <w:szCs w:val="20"/>
          <w:color w:val="auto"/>
        </w:rPr>
      </w:pPr>
    </w:p>
    <w:p>
      <w:pPr>
        <w:ind w:right="3719" w:firstLine="781"/>
        <w:spacing w:after="0" w:line="258" w:lineRule="auto"/>
        <w:rPr>
          <w:sz w:val="20"/>
          <w:szCs w:val="20"/>
          <w:color w:val="auto"/>
        </w:rPr>
      </w:pPr>
      <w:r>
        <w:rPr>
          <w:rFonts w:ascii="Courier New" w:cs="Courier New" w:eastAsia="Courier New" w:hAnsi="Courier New"/>
          <w:sz w:val="14"/>
          <w:szCs w:val="14"/>
          <w:color w:val="auto"/>
        </w:rPr>
        <w:t>This Agreement dated this December 31, 2002 by and between The TJX Companies, Inc. (the "Corporation") and Bernard Cammarata ("Executive").</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WHEREAS Executive and the Corporation, by an agreement dated October 28, 1999 (the "SERP Relinquishment Agreement"), agreed that Executive would relinquish such rights as he had to benefits (including both benefits previously earned and any benefits that might be earned in the future) under the Corporation's Supplemental Executive Retirement Plan (the "SERP"), in recognition of modified benefits arrangements (the "Prior Insurance Agreements" and, together with the SERP Relinquishment Agreement, the "1999 Agreements") under which the Corporation agreed to fund certain life insurance policies (the "Policies") to be owned by insurance trusts designated by Executive (the "Trusts"); and</w:t>
      </w:r>
    </w:p>
    <w:p>
      <w:pPr>
        <w:spacing w:after="0" w:line="33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WHEREAS Executive has advised the Corporation that, pursuant to the terms of the Trusts, he has informed the trustee of the Trusts (the "Trustee") that he will exercise his right to acquire, immediately prior to the Closing (as hereinafter defined), the Policies and other Trust assets from the Trusts, including any rights the Trusts may have under the Prior Insurance Agreements, subject to the liabilities of the Trusts to the Corporation under the Prior Insurance Agreements, for cash of equivalent value (the "Asset Substitutions"); and</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WHEREAS the Corporation has, and Executive individually has and in his capacity as successor to the Trusts with respect to the Prior Insurance Agreements will have, determined that it is in its and his respective best interests to amend the Prior Insurance Agreements to provide for a termination of the Corporation's remaining rights and obligations under the Prior Insurance Agreements; and</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WHEREAS, in recognition of the alterations resulting from the foregoing to the 1999 Agreements and the benefits intended to be provided thereby, the Corporation is willing to pay to Executive the restored supplemental pension benefit hereinafter described on the terms hereinafter described.</w:t>
      </w:r>
    </w:p>
    <w:p>
      <w:pPr>
        <w:spacing w:after="0" w:line="163"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NOW, THEREFORE, the parties hereto, intending to be bound hereby, agree as follows:</w:t>
      </w:r>
    </w:p>
    <w:p>
      <w:pPr>
        <w:spacing w:after="0" w:line="160" w:lineRule="exact"/>
        <w:rPr>
          <w:sz w:val="20"/>
          <w:szCs w:val="20"/>
          <w:color w:val="auto"/>
        </w:rPr>
      </w:pPr>
    </w:p>
    <w:p>
      <w:pPr>
        <w:ind w:right="3459" w:firstLine="790"/>
        <w:spacing w:after="0" w:line="255" w:lineRule="auto"/>
        <w:tabs>
          <w:tab w:leader="none" w:pos="104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 closing to be held on a mutually agreed date but in no event later than December 31, 2002 (the "Closing"), the following transactions shall occur simultaneously:</w:t>
      </w:r>
    </w:p>
    <w:p>
      <w:pPr>
        <w:spacing w:after="0" w:line="162" w:lineRule="exact"/>
        <w:rPr>
          <w:rFonts w:ascii="Courier New" w:cs="Courier New" w:eastAsia="Courier New" w:hAnsi="Courier New"/>
          <w:sz w:val="14"/>
          <w:szCs w:val="14"/>
          <w:color w:val="auto"/>
        </w:rPr>
      </w:pPr>
    </w:p>
    <w:p>
      <w:pPr>
        <w:ind w:right="3279" w:firstLine="790"/>
        <w:spacing w:after="0" w:line="253" w:lineRule="auto"/>
        <w:tabs>
          <w:tab w:leader="none" w:pos="1042"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as of the Closing, the Corporation shall be relieved of all rights and obligations under the Prior Insurance Agreements including any obligation to make premium payments or payments of any kind with respect to the Policies, whether due or to become due, and shall have no right to any refund or death benefit of any kind from the Policies. At the Closing, the Corporation shall execute and deliver to Executive a mutually acceptable release of the collateral assignment of rights that it holds with respect to the Policies to secure its repayment rights under the Prior Insurance Agreements.</w:t>
      </w:r>
    </w:p>
    <w:p>
      <w:pPr>
        <w:sectPr>
          <w:pgSz w:w="11900" w:h="16838" w:orient="portrait"/>
          <w:cols w:equalWidth="0" w:num="1">
            <w:col w:w="10239"/>
          </w:cols>
          <w:pgMar w:left="220" w:top="308" w:right="1440" w:bottom="1440" w:gutter="0" w:footer="0" w:header="0"/>
        </w:sectPr>
      </w:pPr>
    </w:p>
    <w:bookmarkStart w:id="53" w:name="page54"/>
    <w:bookmarkEnd w:id="53"/>
    <w:p>
      <w:pPr>
        <w:ind w:left="-790" w:right="3279" w:firstLine="790"/>
        <w:spacing w:after="0" w:line="252" w:lineRule="auto"/>
        <w:tabs>
          <w:tab w:leader="none" w:pos="25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Closing, the Corporation shall pay to Executive, as a restored supplemental pension benefit payable separate and apart from the SERP, the amount of $2,494,553 less all applicable tax and other required withholdings, as reasonably determined by the Corporation. Executive acknowledges that by reason of the Corporation's relinquishment of any right to refunds of premiums paid with respect to the Policies and of any other rights with respect to the Policies, Executive will be treated as having received taxable wage income subject to tax withholding (the "Insurance Restructuring Amount") in an amount equal to the aggregate of the premiums paid by the Corporation with respect to the Policies, and that the amount of any withholding with respect to the Insurance Restructuring Amount will be taken from the payment described in the first sentence of this Paragraph 3 together with all required withholdings with respect to the payment described in this Paragraph 3 itself. If the payment described in the first sentence of this Paragraph 3 is not sufficient to satisfy all such required withholdings, Executive shall pay the balance in cash to the Corporation at the Closing.</w:t>
      </w:r>
    </w:p>
    <w:p>
      <w:pPr>
        <w:spacing w:after="0" w:line="173" w:lineRule="exact"/>
        <w:rPr>
          <w:rFonts w:ascii="Courier New" w:cs="Courier New" w:eastAsia="Courier New" w:hAnsi="Courier New"/>
          <w:sz w:val="14"/>
          <w:szCs w:val="14"/>
          <w:color w:val="auto"/>
        </w:rPr>
      </w:pPr>
    </w:p>
    <w:p>
      <w:pPr>
        <w:ind w:left="-790" w:right="3379" w:firstLine="790"/>
        <w:spacing w:after="0" w:line="253" w:lineRule="auto"/>
        <w:tabs>
          <w:tab w:leader="none" w:pos="25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represents to the Corporation that the following representations and warranties are correct and complete as of the date of this Agreement and will be correct and complete as of the Closing: Executive has the power and authority to execute and deliver this Agreement and to perform his obligations hereunder; this Agreement has been duly executed and delivered by Executive and constitutes his legal, valid and binding obligation, enforceable against him in accordance with its terms and conditions; and neither the execution and the delivery of this Agreement, nor the consummation of the transactions contemplated hereby, will violate any constitution, statute, regulation, rule, injunction, judgment, order, decree, ruling, charge, or other restriction of any government, governmental agency, or court to which Executive is subject.</w:t>
      </w:r>
    </w:p>
    <w:p>
      <w:pPr>
        <w:spacing w:after="0" w:line="163" w:lineRule="exact"/>
        <w:rPr>
          <w:rFonts w:ascii="Courier New" w:cs="Courier New" w:eastAsia="Courier New" w:hAnsi="Courier New"/>
          <w:sz w:val="14"/>
          <w:szCs w:val="14"/>
          <w:color w:val="auto"/>
        </w:rPr>
      </w:pPr>
    </w:p>
    <w:p>
      <w:pPr>
        <w:ind w:left="-790" w:right="3279" w:firstLine="790"/>
        <w:spacing w:after="0" w:line="252" w:lineRule="auto"/>
        <w:tabs>
          <w:tab w:leader="none" w:pos="25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represents to Executive that the following representations and warranties are correct and complete as of the date of this Agreement and will be correct and complete as of the Closing: The Corporation has the power and authority to execute and deliver this Agreement and to perform its obligations hereunder; all actions or proceedings to be taken by or on the part of the Corporation to authorize and permit the execution and delivery by the Corporation of this Agreement and the instruments required to be executed and delivered by Corporation pursuant hereto, the performance by Corporation of its obligations hereunder, and the consummation by Corporation of the transactions contemplated herein, have been duly and properly taken; this Agreement has been duly executed and delivered by the Corporation and constitutes the legal, valid and binding obligation of the Corporation, enforceable against it in accordance with its terms and conditions; and neither the execution and the delivery of this Agreement, nor the consummation of the transactions contemplated hereby will violate any constitution, statute, regulation, rule, injunction, judgment, order, decree, ruling, charge, or other restriction of any government, governmental agency, or court to which the Corporation is subject.</w:t>
      </w:r>
    </w:p>
    <w:p>
      <w:pPr>
        <w:spacing w:after="0" w:line="340" w:lineRule="exact"/>
        <w:rPr>
          <w:rFonts w:ascii="Courier New" w:cs="Courier New" w:eastAsia="Courier New" w:hAnsi="Courier New"/>
          <w:sz w:val="14"/>
          <w:szCs w:val="14"/>
          <w:color w:val="auto"/>
        </w:rPr>
      </w:pPr>
    </w:p>
    <w:p>
      <w:pPr>
        <w:ind w:left="-790" w:right="3639" w:firstLine="790"/>
        <w:spacing w:after="0" w:line="258" w:lineRule="auto"/>
        <w:tabs>
          <w:tab w:leader="none" w:pos="251"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and Executive shall cooperate in effectuating or causing to be effectuated the transactions contemplated hereby.</w:t>
      </w:r>
    </w:p>
    <w:p>
      <w:pPr>
        <w:spacing w:after="0" w:line="160" w:lineRule="exact"/>
        <w:rPr>
          <w:sz w:val="20"/>
          <w:szCs w:val="20"/>
          <w:color w:val="auto"/>
        </w:rPr>
      </w:pPr>
    </w:p>
    <w:p>
      <w:pPr>
        <w:ind w:left="251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449"/>
          </w:cols>
          <w:pgMar w:left="1010" w:top="620" w:right="1440" w:bottom="1440" w:gutter="0" w:footer="0" w:header="0"/>
        </w:sectPr>
      </w:pPr>
    </w:p>
    <w:bookmarkStart w:id="54" w:name="page55"/>
    <w:bookmarkEnd w:id="54"/>
    <w:p>
      <w:pPr>
        <w:jc w:val="both"/>
        <w:ind w:left="-790" w:right="3459" w:firstLine="790"/>
        <w:spacing w:after="0" w:line="255" w:lineRule="auto"/>
        <w:tabs>
          <w:tab w:leader="none" w:pos="25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binding on Executive, the Corporation, and their respective heirs and assigns, including any successor to the Corporation or the Corporation's business by merger or otherwise.</w:t>
      </w:r>
    </w:p>
    <w:p>
      <w:pPr>
        <w:spacing w:after="0" w:line="162" w:lineRule="exact"/>
        <w:rPr>
          <w:rFonts w:ascii="Courier New" w:cs="Courier New" w:eastAsia="Courier New" w:hAnsi="Courier New"/>
          <w:sz w:val="14"/>
          <w:szCs w:val="14"/>
          <w:color w:val="auto"/>
        </w:rPr>
      </w:pPr>
    </w:p>
    <w:p>
      <w:pPr>
        <w:ind w:left="-790" w:right="3719" w:firstLine="790"/>
        <w:spacing w:after="0" w:line="254" w:lineRule="auto"/>
        <w:tabs>
          <w:tab w:leader="none" w:pos="25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as of the Closing, this Agreement supersedes the SERP Relinquishment Agreement; provided, that Paragraphs 1 and 5 of the SERP Relinquishment Agreement shall be deemed for all purposes to survive as provisions of this Agreement.</w:t>
      </w:r>
    </w:p>
    <w:p>
      <w:pPr>
        <w:spacing w:after="0" w:line="163" w:lineRule="exact"/>
        <w:rPr>
          <w:rFonts w:ascii="Courier New" w:cs="Courier New" w:eastAsia="Courier New" w:hAnsi="Courier New"/>
          <w:sz w:val="14"/>
          <w:szCs w:val="14"/>
          <w:color w:val="auto"/>
        </w:rPr>
      </w:pPr>
    </w:p>
    <w:p>
      <w:pPr>
        <w:ind w:left="-790" w:right="3279" w:firstLine="790"/>
        <w:spacing w:after="0" w:line="252" w:lineRule="auto"/>
        <w:tabs>
          <w:tab w:leader="none" w:pos="251"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that he has been separately advised with respect to the arrangements that are the subject matter of this Agreement and has not relied upon any advice from the Corporation with respect to the tax treatment of such arrangements or other matters pertaining thereto. Executive agrees to indemnify the Corporation for, and hold it harmless against, (i) any and all taxes (including, without limitation, withholding taxes) and related interest and penalties that may be asserted against the Corporation with respect to the arrangements contemplated by this Agreement, and (ii) any claims asserted by the trustees or beneficiaries of the Trusts with respect to the 1999 Agreements and/or the Prior Insurance Agreements, or any of them, or by any other person claiming under or on behalf of the trusts (including any successor trustee), whether relating to the obligation of the Company under the 1999 Agreements to fund the Policies or otherwise relating to the 1999 Agreements and/or the Prior Insurance Agreements, and any suits, liabilities, charges, penalties and expenses of any kind relating to such claims. The indemnity set out in clause (i) shall not be construed as indemnifying the Corporation for, or holding it harmless against, any loss of any deduction that the Corporation may claim with respect to any payment made pursuant to the arrangements contemplated by this Agreement. The provisions of this paragraph and Paragraph 8 above shall survive the termination of this Agreement.</w:t>
      </w:r>
    </w:p>
    <w:p>
      <w:pPr>
        <w:spacing w:after="0" w:line="174" w:lineRule="exact"/>
        <w:rPr>
          <w:rFonts w:ascii="Courier New" w:cs="Courier New" w:eastAsia="Courier New" w:hAnsi="Courier New"/>
          <w:sz w:val="14"/>
          <w:szCs w:val="14"/>
          <w:color w:val="auto"/>
        </w:rPr>
      </w:pPr>
    </w:p>
    <w:p>
      <w:pPr>
        <w:ind w:left="-790" w:right="3279" w:firstLine="790"/>
        <w:spacing w:after="0" w:line="252" w:lineRule="auto"/>
        <w:tabs>
          <w:tab w:leader="none" w:pos="33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federal law applies, this Agreement shall be construed and applied in accordance with the laws of the Commonwealth of Massachusetts and deemed for all purposes to be an agreement under seal. Each of the parties hereto hereby irrevocably and unconditionally consents to submit to the exclusive jurisdiction of the courts of the Commonwealth of Massachusetts and of the United States of America located in the Commonwealth of Massachusetts for any actions, suits or proceedings arising out of or relating to this Agreement and the transactions contemplated hereby, and each of the parties hereto agrees not to commence any action, suit or proceeding relating hereto or thereto except in such courts. Each of the parties hereto hereby irrevocably and unconditionally waives any objection to the laying of venue of any action, suit or proceeding arising out of this Agreement or the transactions contemplated hereby or thereby, in the courts of the Commonwealth of Massachusetts or the United States of America located in the Commonwealth of Massachusetts, and hereby further irrevocably and unconditionally waives and agrees not to plead or claim in any such court that any such action, suit or proceeding brought in any such court has been brought in an inconvenient forum. In any action or suit to enforce any right or remedy under this Agreement or to interpret any provision of this Agreement, the prevailing party shall be entitled to recover its costs, including reasonable attorneys' fees.</w:t>
      </w:r>
    </w:p>
    <w:p>
      <w:pPr>
        <w:spacing w:after="0" w:line="175" w:lineRule="exact"/>
        <w:rPr>
          <w:sz w:val="20"/>
          <w:szCs w:val="20"/>
          <w:color w:val="auto"/>
        </w:rPr>
      </w:pPr>
    </w:p>
    <w:p>
      <w:pPr>
        <w:ind w:left="251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449"/>
          </w:cols>
          <w:pgMar w:left="1010" w:top="620" w:right="1440" w:bottom="1440" w:gutter="0" w:footer="0" w:header="0"/>
        </w:sectPr>
      </w:pPr>
    </w:p>
    <w:bookmarkStart w:id="55" w:name="page56"/>
    <w:bookmarkEnd w:id="55"/>
    <w:p>
      <w:pPr>
        <w:ind w:right="3279" w:firstLine="781"/>
        <w:spacing w:after="0" w:line="255" w:lineRule="auto"/>
        <w:rPr>
          <w:sz w:val="20"/>
          <w:szCs w:val="20"/>
          <w:color w:val="auto"/>
        </w:rPr>
      </w:pPr>
      <w:r>
        <w:rPr>
          <w:rFonts w:ascii="Courier New" w:cs="Courier New" w:eastAsia="Courier New" w:hAnsi="Courier New"/>
          <w:sz w:val="14"/>
          <w:szCs w:val="14"/>
          <w:color w:val="auto"/>
        </w:rPr>
        <w:t>IN WITNESS WHEREOF, TJX has caused this Agreement to be executed by its duly authorized officer, and Executive has executed this Agreement, under seal as of the date first written above.</w:t>
      </w:r>
    </w:p>
    <w:p>
      <w:pPr>
        <w:spacing w:after="0" w:line="162"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THE TJX COMPANIES, INC.</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Edmond J. English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340" w:space="520"/>
            <w:col w:w="5379"/>
          </w:cols>
          <w:pgMar w:left="220" w:top="620" w:right="1440" w:bottom="1440" w:gutter="0" w:footer="0" w:header="0"/>
          <w:type w:val="continuous"/>
        </w:sectPr>
      </w:pPr>
    </w:p>
    <w:p>
      <w:pPr>
        <w:ind w:left="4860"/>
        <w:spacing w:after="0"/>
        <w:rPr>
          <w:sz w:val="20"/>
          <w:szCs w:val="20"/>
          <w:color w:val="auto"/>
        </w:rPr>
      </w:pPr>
      <w:r>
        <w:rPr>
          <w:rFonts w:ascii="Courier New" w:cs="Courier New" w:eastAsia="Courier New" w:hAnsi="Courier New"/>
          <w:sz w:val="14"/>
          <w:szCs w:val="14"/>
          <w:color w:val="auto"/>
        </w:rPr>
        <w:t>/s/ Bernard Cammarata</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Bernard Cammarata</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type w:val="continuous"/>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December 31,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Bernard Cammarata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73 Captain Miles Lane</w:t>
      </w:r>
    </w:p>
    <w:p>
      <w:pPr>
        <w:spacing w:after="0" w:line="8"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4"/>
          <w:szCs w:val="14"/>
          <w:color w:val="auto"/>
        </w:rPr>
        <w:t>Concord, MA</w:t>
        <w:tab/>
        <w:t>01742</w:t>
      </w:r>
    </w:p>
    <w:p>
      <w:pPr>
        <w:spacing w:after="0" w:line="175"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4"/>
          <w:szCs w:val="14"/>
          <w:color w:val="auto"/>
        </w:rPr>
        <w:t>Re:</w:t>
      </w:r>
      <w:r>
        <w:rPr>
          <w:sz w:val="20"/>
          <w:szCs w:val="20"/>
          <w:color w:val="auto"/>
        </w:rPr>
        <w:tab/>
      </w:r>
      <w:r>
        <w:rPr>
          <w:rFonts w:ascii="Courier New" w:cs="Courier New" w:eastAsia="Courier New" w:hAnsi="Courier New"/>
          <w:sz w:val="14"/>
          <w:szCs w:val="14"/>
          <w:color w:val="auto"/>
        </w:rPr>
        <w:t>Conditional reimbursement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Dear Mr. Cammarata:</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Reference is made to an agreement of even date herewith (the "Restoration Agreement") pursuant to which, inter alia, The TJX Companies, Inc. ("TJX") has agreed with you that (i) TJX is foregoing its right to a refund of premium payments with respect to certain life insurance policies acquired in 1999 (the "Policies"); (ii) TJX is relieved of any obligation to make additional premium payments with respect to the Policies; and (iii) TJX will pay to you a restored supplemental pension benefit. The Policies were previously held in insurance trusts of which you were the settlor and grantor (the "Trusts"). You acquired the Policies and related rights and liabilities from the Trusts.</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You have been separately advised by and have relied upon your counsel with respect to the tax consequences associated with the foregoing transactions (the "Transactions"). Our understanding is that you have been advised that the federal gift tax consequences of the Transactions are not entirely clear. In view of your valued service to TJX, as reflected in part in the restored supplemental pension referred to above, TJX agrees that if, in connection with an examination of your federal gift tax return, the IRS asserts that you (and your spouse, in the event of a split-gift election) have made a taxable gift with respect to the Transactions (the "Gift"), TJX will pay you an amount (the "Award") equal to the lesser of (i) 1.82 times the amount of the Gift times the highest marginal gift tax rate in effect in the year in which the Gift was deemed to be made, or (ii) $1,125,000. The Award shall be paid, at the sole discretion of TJX, either in cash or in shares of restricted stock (the "Restricted Stock") under and subject to the terms of the Stock Incentive Plan (or any successor plan). If the Award is paid in shares of Restricted Stock, the number of shares of Restricted Stock comprising the Award shall be the number of shares determined by dividing the Award amount by the closing price of a share of TJX common stock on the date of the grant (or on the next preceding trading day, if the date of grant is not a trading day), without any discount for the restrictions applicable to such shares. If the Award is paid in Restricted Stock, the Restricted Stock will vest as follows: 25% of the Award will vest on the date on which the ECC determines whether the MIP target performance goal (Corporate) for the first fiscal year of the Company commencing not earlier than 90 days prior to the date of grant of the Award (the "first year") has been met, but only if the performance for such first year is at least 67% of such target; 25% of the Award will vest on the date on</w:t>
      </w:r>
    </w:p>
    <w:p>
      <w:pPr>
        <w:sectPr>
          <w:pgSz w:w="11900" w:h="16838" w:orient="portrait"/>
          <w:cols w:equalWidth="0" w:num="1">
            <w:col w:w="10239"/>
          </w:cols>
          <w:pgMar w:left="220" w:top="954" w:right="1440" w:bottom="1440" w:gutter="0" w:footer="0" w:header="0"/>
        </w:sectPr>
      </w:pPr>
    </w:p>
    <w:bookmarkStart w:id="57" w:name="page58"/>
    <w:bookmarkEnd w:id="57"/>
    <w:p>
      <w:pPr>
        <w:ind w:right="3279"/>
        <w:spacing w:after="0" w:line="253" w:lineRule="auto"/>
        <w:rPr>
          <w:sz w:val="20"/>
          <w:szCs w:val="20"/>
          <w:color w:val="auto"/>
        </w:rPr>
      </w:pPr>
      <w:r>
        <w:rPr>
          <w:rFonts w:ascii="Courier New" w:cs="Courier New" w:eastAsia="Courier New" w:hAnsi="Courier New"/>
          <w:sz w:val="14"/>
          <w:szCs w:val="14"/>
          <w:color w:val="auto"/>
        </w:rPr>
        <w:t>which the ECC determines whether the MIP target performance goal (Corporate) for the next fiscal year of the Company (the "second year") has been met, but only if the performance for such second year is at least 67% of such target; 25% of the Award will vest on the date on which the ECC determines whether the MIP target performance goal (Corporate) for the next fiscal year of the Company (the "third year") has been met, but only if the performance for such third year is at least 67% of such target; and 25% of the Award will vest on the date on which the ECC determines whether the MIP target performance goal (Corporate) for the next following fiscal year of the Company (the "fourth year") has been met, but only if the performance for such fourth year is at least 67% of such target. Vesting of any Restricted Stock will not be conditioned upon your continued service for TJX. You acknowledge that the ECC has complete discretion in determining MIP target performance goals each year.</w:t>
      </w:r>
    </w:p>
    <w:p>
      <w:pPr>
        <w:spacing w:after="0" w:line="163"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If this letter agreement is consistent with your understanding of our discussions, please sign the enclosed copy of this letter in the space indicated below and return it to me, whereupon this letter agreement will be binding in accordance with its terms as an agreement under seal.</w:t>
      </w:r>
    </w:p>
    <w:p>
      <w:pPr>
        <w:spacing w:after="0" w:line="163"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THE TJX COMPANIES, INC.</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Edmond J. English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2">
            <w:col w:w="4440" w:space="520"/>
            <w:col w:w="52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Agreed:</w:t>
      </w:r>
    </w:p>
    <w:p>
      <w:pPr>
        <w:spacing w:after="0" w:line="175"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4"/>
          <w:szCs w:val="14"/>
          <w:color w:val="auto"/>
        </w:rPr>
        <w:t>/s/ Bernard Cammarata</w:t>
      </w:r>
      <w:r>
        <w:rPr>
          <w:sz w:val="20"/>
          <w:szCs w:val="20"/>
          <w:color w:val="auto"/>
        </w:rPr>
        <w:tab/>
      </w:r>
      <w:r>
        <w:rPr>
          <w:rFonts w:ascii="Courier New" w:cs="Courier New" w:eastAsia="Courier New" w:hAnsi="Courier New"/>
          <w:sz w:val="14"/>
          <w:szCs w:val="14"/>
          <w:color w:val="auto"/>
        </w:rPr>
        <w:t>[seal]</w:t>
      </w:r>
    </w:p>
    <w:p>
      <w:pPr>
        <w:spacing w:after="0" w:line="8" w:lineRule="exact"/>
        <w:rPr>
          <w:sz w:val="20"/>
          <w:szCs w:val="20"/>
          <w:color w:val="auto"/>
        </w:rPr>
      </w:pPr>
    </w:p>
    <w:p>
      <w:pPr>
        <w:ind w:left="180" w:hanging="171"/>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Bernard Cammarata</w:t>
      </w:r>
    </w:p>
    <w:p>
      <w:pPr>
        <w:spacing w:after="0" w:line="17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December 31, 2002</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type w:val="continuous"/>
        </w:sectPr>
      </w:pPr>
    </w:p>
    <w:bookmarkStart w:id="58" w:name="page59"/>
    <w:bookmarkEnd w:id="58"/>
    <w:p>
      <w:pPr>
        <w:jc w:val="right"/>
        <w:ind w:right="3279"/>
        <w:spacing w:after="0"/>
        <w:rPr>
          <w:sz w:val="20"/>
          <w:szCs w:val="20"/>
          <w:color w:val="auto"/>
        </w:rPr>
      </w:pPr>
      <w:r>
        <w:rPr>
          <w:rFonts w:ascii="Courier New" w:cs="Courier New" w:eastAsia="Courier New" w:hAnsi="Courier New"/>
          <w:sz w:val="14"/>
          <w:szCs w:val="14"/>
          <w:color w:val="auto"/>
        </w:rPr>
        <w:t>EXHIBIT 10.19</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RESTORATION AGREEMENT</w:t>
      </w:r>
    </w:p>
    <w:p>
      <w:pPr>
        <w:spacing w:after="0" w:line="175" w:lineRule="exact"/>
        <w:rPr>
          <w:sz w:val="20"/>
          <w:szCs w:val="20"/>
          <w:color w:val="auto"/>
        </w:rPr>
      </w:pPr>
    </w:p>
    <w:p>
      <w:pPr>
        <w:ind w:right="3799" w:firstLine="781"/>
        <w:spacing w:after="0" w:line="258" w:lineRule="auto"/>
        <w:rPr>
          <w:sz w:val="20"/>
          <w:szCs w:val="20"/>
          <w:color w:val="auto"/>
        </w:rPr>
      </w:pPr>
      <w:r>
        <w:rPr>
          <w:rFonts w:ascii="Courier New" w:cs="Courier New" w:eastAsia="Courier New" w:hAnsi="Courier New"/>
          <w:sz w:val="14"/>
          <w:szCs w:val="14"/>
          <w:color w:val="auto"/>
        </w:rPr>
        <w:t>This Agreement dated this January 20, 2003 by and between The TJX Companies, Inc. (the "Corporation") and Richard Lesser ("Executive").</w:t>
      </w:r>
    </w:p>
    <w:p>
      <w:pPr>
        <w:spacing w:after="0" w:line="160"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WHEREAS Executive and the Corporation, by an agreement dated March 1, 2000 (the "SERP Relinquishment Agreement"), agreed that Executive would relinquish rights he had to certain benefits under the Corporation's Supplemental Executive Retirement Plan, in recognition of modified benefits arrangements (the "Prior Insurance Agreements" and, together with the SERP Relinquishment Agreement, the "2000 Agreements") under which the Corporation agreed to fund certain life insurance policies (the "Policies") to be owned by an insurance trust designated by Executive (the "Trust"); and</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WHEREAS the Corporation, Executive and the successor trustee of the Trust have determined that it is in their respective best interests to amend the Prior Insurance Agreement (the "Insurance Agreement Amendment") to provide for an immediate refund to the Corporation of a portion of the premiums already paid by the Corporation and a termination of the Corporation's remaining rights and obligations under the Prior Insurance Agreement; and</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WHEREAS, in recognition of the alterations resulting from the foregoing to the 2000 Agreements and the benefits intended to be provided thereby, the Corporation is willing to pay to Executive a restored lump-sum pension benefit plus an additional amount with respect to certain taxes that may become payable as a result of the foregoing.</w:t>
      </w:r>
    </w:p>
    <w:p>
      <w:pPr>
        <w:spacing w:after="0" w:line="162"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NOW, THEREFORE, the parties hereto, intending to be bound hereby, agree as follows:</w:t>
      </w:r>
    </w:p>
    <w:p>
      <w:pPr>
        <w:spacing w:after="0" w:line="160" w:lineRule="exact"/>
        <w:rPr>
          <w:sz w:val="20"/>
          <w:szCs w:val="20"/>
          <w:color w:val="auto"/>
        </w:rPr>
      </w:pPr>
    </w:p>
    <w:p>
      <w:pPr>
        <w:ind w:right="3459" w:firstLine="790"/>
        <w:spacing w:after="0" w:line="254" w:lineRule="auto"/>
        <w:tabs>
          <w:tab w:leader="none" w:pos="104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 closing to be held on a mutually agreed date (the "Closing"), the Corporation shall pay to Executive the amount of $1,416,937 less all applicable tax and other required withholdings as reasonably determined by the Corporation. The payment described in the immediately preceding sentence shall be made promptly upon termination of the Prior Insurance Agreement.</w:t>
      </w:r>
    </w:p>
    <w:p>
      <w:pPr>
        <w:spacing w:after="0" w:line="162" w:lineRule="exact"/>
        <w:rPr>
          <w:rFonts w:ascii="Courier New" w:cs="Courier New" w:eastAsia="Courier New" w:hAnsi="Courier New"/>
          <w:sz w:val="14"/>
          <w:szCs w:val="14"/>
          <w:color w:val="auto"/>
        </w:rPr>
      </w:pPr>
    </w:p>
    <w:p>
      <w:pPr>
        <w:ind w:right="3379" w:firstLine="790"/>
        <w:spacing w:after="0" w:line="253" w:lineRule="auto"/>
        <w:tabs>
          <w:tab w:leader="none" w:pos="104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represents to the Corporation that the following representations and warranties are correct and complete as of the date of this Agreement and will be correct and complete as of the Closing: Executive has the power and authority to execute and deliver this Agreement and to perform his obligations hereunder; this Agreement has been duly executed and delivered by Executive and constitutes his legal, valid and binding obligation, enforceable against him in accordance with its terms and conditions; and neither the execution and the delivery of this Agreement, nor the consummation of the transactions contemplated hereby, will violate any constitution, statute, regulation, rule, injunction, judgment, order, decree, ruling, charge, or other restriction of any government, governmental agency, or court to which Executive is subject.</w:t>
      </w:r>
    </w:p>
    <w:p>
      <w:pPr>
        <w:spacing w:after="0" w:line="163" w:lineRule="exact"/>
        <w:rPr>
          <w:rFonts w:ascii="Courier New" w:cs="Courier New" w:eastAsia="Courier New" w:hAnsi="Courier New"/>
          <w:sz w:val="14"/>
          <w:szCs w:val="14"/>
          <w:color w:val="auto"/>
        </w:rPr>
      </w:pPr>
    </w:p>
    <w:p>
      <w:pPr>
        <w:ind w:right="3459" w:firstLine="790"/>
        <w:spacing w:after="0" w:line="255" w:lineRule="auto"/>
        <w:tabs>
          <w:tab w:leader="none" w:pos="104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represents to Executive that the following representations and warranties are correct and complete as of the date of this Agreement and will be correct and</w:t>
      </w:r>
    </w:p>
    <w:p>
      <w:pPr>
        <w:sectPr>
          <w:pgSz w:w="11900" w:h="16838" w:orient="portrait"/>
          <w:cols w:equalWidth="0" w:num="1">
            <w:col w:w="10239"/>
          </w:cols>
          <w:pgMar w:left="220" w:top="475" w:right="1440" w:bottom="1440" w:gutter="0" w:footer="0" w:header="0"/>
        </w:sectPr>
      </w:pPr>
    </w:p>
    <w:bookmarkStart w:id="59" w:name="page60"/>
    <w:bookmarkEnd w:id="59"/>
    <w:p>
      <w:pPr>
        <w:ind w:right="3279"/>
        <w:spacing w:after="0" w:line="252" w:lineRule="auto"/>
        <w:rPr>
          <w:sz w:val="20"/>
          <w:szCs w:val="20"/>
          <w:color w:val="auto"/>
        </w:rPr>
      </w:pPr>
      <w:r>
        <w:rPr>
          <w:rFonts w:ascii="Courier New" w:cs="Courier New" w:eastAsia="Courier New" w:hAnsi="Courier New"/>
          <w:sz w:val="14"/>
          <w:szCs w:val="14"/>
          <w:color w:val="auto"/>
        </w:rPr>
        <w:t>complete as of the Closing: The Corporation has the power and authority to execute and deliver this Agreement and to perform its obligations hereunder; all actions or proceedings to be taken by or on the part of the Corporation to authorize and permit the execution and delivery by the Corporation of this Agreement and the instruments required to be executed and delivered by Corporation pursuant hereto, the performance by Corporation of its obligations hereunder, and the consummation by Corporation of the transactions contemplated herein, have been duly and properly taken; this Agreement has been duly executed and delivered by the Corporation and constitutes the legal, valid and binding obligation of the Corporation, enforceable against it in accordance with its terms and conditions; and neither the execution and the delivery of this Agreement, nor the consummation of the transactions contemplated hereby will violate any constitution, statute, regulation, rule, injunction, judgment, order, decree, ruling, charge, or other restriction of any government, governmental agency, or court to which the Corporation is subject.</w:t>
      </w:r>
    </w:p>
    <w:p>
      <w:pPr>
        <w:spacing w:after="0" w:line="173" w:lineRule="exact"/>
        <w:rPr>
          <w:sz w:val="20"/>
          <w:szCs w:val="20"/>
          <w:color w:val="auto"/>
        </w:rPr>
      </w:pPr>
    </w:p>
    <w:p>
      <w:pPr>
        <w:ind w:right="3639" w:firstLine="790"/>
        <w:spacing w:after="0" w:line="258" w:lineRule="auto"/>
        <w:tabs>
          <w:tab w:leader="none" w:pos="104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and Executive shall cooperate in effectuating or causing to be effectuated the transactions contemplated hereby.</w:t>
      </w:r>
    </w:p>
    <w:p>
      <w:pPr>
        <w:spacing w:after="0" w:line="159" w:lineRule="exact"/>
        <w:rPr>
          <w:rFonts w:ascii="Courier New" w:cs="Courier New" w:eastAsia="Courier New" w:hAnsi="Courier New"/>
          <w:sz w:val="14"/>
          <w:szCs w:val="14"/>
          <w:color w:val="auto"/>
        </w:rPr>
      </w:pPr>
    </w:p>
    <w:p>
      <w:pPr>
        <w:jc w:val="both"/>
        <w:ind w:right="3459" w:firstLine="790"/>
        <w:spacing w:after="0" w:line="255" w:lineRule="auto"/>
        <w:tabs>
          <w:tab w:leader="none" w:pos="104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be binding on Executive, the Corporation, and their respective heirs and assigns, including any successor to the Corporation or the Corporation's business by merger or otherwise.</w:t>
      </w:r>
    </w:p>
    <w:p>
      <w:pPr>
        <w:spacing w:after="0" w:line="162" w:lineRule="exact"/>
        <w:rPr>
          <w:rFonts w:ascii="Courier New" w:cs="Courier New" w:eastAsia="Courier New" w:hAnsi="Courier New"/>
          <w:sz w:val="14"/>
          <w:szCs w:val="14"/>
          <w:color w:val="auto"/>
        </w:rPr>
      </w:pPr>
    </w:p>
    <w:p>
      <w:pPr>
        <w:ind w:right="3719" w:firstLine="790"/>
        <w:spacing w:after="0" w:line="254" w:lineRule="auto"/>
        <w:tabs>
          <w:tab w:leader="none" w:pos="104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as of the Closing, this Agreement supersedes the SERP Relinquishment Agreement; provided, that Paragraphs 1 and 4 of the SERP Relinquishment Agreement shall be deemed for all purposes to survive as provisions of this Agreement.</w:t>
      </w:r>
    </w:p>
    <w:p>
      <w:pPr>
        <w:spacing w:after="0" w:line="163" w:lineRule="exact"/>
        <w:rPr>
          <w:rFonts w:ascii="Courier New" w:cs="Courier New" w:eastAsia="Courier New" w:hAnsi="Courier New"/>
          <w:sz w:val="14"/>
          <w:szCs w:val="14"/>
          <w:color w:val="auto"/>
        </w:rPr>
      </w:pPr>
    </w:p>
    <w:p>
      <w:pPr>
        <w:ind w:right="3279" w:firstLine="790"/>
        <w:spacing w:after="0" w:line="252" w:lineRule="auto"/>
        <w:tabs>
          <w:tab w:leader="none" w:pos="104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acknowledges that he has been separately advised with respect to the arrangements that are the subject matter of this Agreement and has not relied upon any advice from the Corporation with respect to the tax treatment of such arrangements or other matters pertaining thereto. Executive agrees to indemnify the Corporation for, and hold it harmless against, (i) any and all taxes (including, without limitation, withholding taxes) and related interest and penalties that may be asserted against the Corporation with respect to the arrangements contemplated by this Agreement, and (ii) any claims asserted by the trustee or beneficiaries of the Trust with respect to the 2000 Agreements, or any of them, or by any other person claiming under or on behalf of the trust (including any successor trustee), whether relating to the obligation of the Company under the 2000 Agreements to fund the Policies or otherwise relating to the 2000 Agreements, and any suits, liabilities, charges, penalties and expenses of any kind relating to such claims. The indemnity set out in clause (i) shall not be construed as indemnifying the Corporation for, or holding it harmless against, any loss of any deduction (including any associated interest or penalties) that the Corporation may claim with respect to any payment made pursuant to the arrangements contemplated by this Agreement. The provisions of this paragraph and Paragraph 6 above shall survive the termination of this Agreement.</w:t>
      </w:r>
    </w:p>
    <w:p>
      <w:pPr>
        <w:spacing w:after="0" w:line="34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60" w:name="page61"/>
    <w:bookmarkEnd w:id="60"/>
    <w:p>
      <w:pPr>
        <w:ind w:right="3279" w:firstLine="790"/>
        <w:spacing w:after="0" w:line="252" w:lineRule="auto"/>
        <w:tabs>
          <w:tab w:leader="none" w:pos="104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to the extent federal law applies, this Agreement shall be construed and applied in accordance with the laws of the Commonwealth of Massachusetts and deemed for all purposes to be an agreement under seal. Each of the parties hereto hereby irrevocably and unconditionally consents to submit to the exclusive jurisdiction of the courts of the Commonwealth of Massachusetts and of the United States of America located in the Commonwealth of Massachusetts for any actions, suits or proceedings arising out of or relating to this Agreement and the transactions contemplated hereby, and each of the parties hereto agrees not to commence any action, suit or proceeding relating hereto or thereto except in such courts. Each of the parties hereto hereby irrevocably and unconditionally waives any objection to the laying of venue of any action, suit or proceeding arising out of this Agreement or the transactions contemplated hereby or thereby, in the courts of the Commonwealth of Massachusetts or the United States of America located in the Commonwealth of Massachusetts, and hereby further irrevocably and unconditionally waives and agrees not to plead or claim in any such court that any such action, suit or proceeding brought in any such court has been brought in an inconvenient forum. In any action or suit to enforce any right or remedy under this Agreement or to interpret any provision of this Agreement, the prevailing party shall be entitled to recover its costs, including reasonable attorneys' fees.</w:t>
      </w:r>
    </w:p>
    <w:p>
      <w:pPr>
        <w:spacing w:after="0" w:line="175"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IN WITNESS WHEREOF, TJX has caused this Agreement to be executed by its duly authorized officer, and Executive has executed this Agreement, under seal as of the date first written above.</w:t>
      </w:r>
    </w:p>
    <w:p>
      <w:pPr>
        <w:spacing w:after="0" w:line="162"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THE TJX COMPANIES, INC.</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Donald G. Campbell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4260" w:space="520"/>
            <w:col w:w="5459"/>
          </w:cols>
          <w:pgMar w:left="220" w:top="620" w:right="1440" w:bottom="1440" w:gutter="0" w:footer="0" w:header="0"/>
          <w:type w:val="continuous"/>
        </w:sectPr>
      </w:pPr>
    </w:p>
    <w:p>
      <w:pPr>
        <w:ind w:left="4780"/>
        <w:spacing w:after="0"/>
        <w:rPr>
          <w:sz w:val="20"/>
          <w:szCs w:val="20"/>
          <w:color w:val="auto"/>
        </w:rPr>
      </w:pPr>
      <w:r>
        <w:rPr>
          <w:rFonts w:ascii="Courier New" w:cs="Courier New" w:eastAsia="Courier New" w:hAnsi="Courier New"/>
          <w:sz w:val="14"/>
          <w:szCs w:val="14"/>
          <w:color w:val="auto"/>
        </w:rPr>
        <w:t>/s/ Richard G. Lesser</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Richard G. Lesser</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type w:val="continuous"/>
        </w:sectPr>
      </w:pPr>
    </w:p>
    <w:bookmarkStart w:id="61" w:name="page62"/>
    <w:bookmarkEnd w:id="61"/>
    <w:p>
      <w:pPr>
        <w:jc w:val="right"/>
        <w:ind w:right="3279"/>
        <w:spacing w:after="0"/>
        <w:rPr>
          <w:sz w:val="20"/>
          <w:szCs w:val="20"/>
          <w:color w:val="auto"/>
        </w:rPr>
      </w:pPr>
      <w:r>
        <w:rPr>
          <w:rFonts w:ascii="Courier New" w:cs="Courier New" w:eastAsia="Courier New" w:hAnsi="Courier New"/>
          <w:sz w:val="14"/>
          <w:szCs w:val="14"/>
          <w:color w:val="auto"/>
        </w:rPr>
        <w:t>EXHIBIT 10.20</w:t>
      </w:r>
    </w:p>
    <w:p>
      <w:pPr>
        <w:spacing w:after="0" w:line="17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MODIFICATION AGREEMENT</w:t>
      </w:r>
    </w:p>
    <w:p>
      <w:pPr>
        <w:spacing w:after="0" w:line="17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This Modification Agreement dated this January 20, 2003 by and among The TJX Companies, Inc. (the "Corporation"), Boston Private Bank and Trust Company as trustee (the "Trustee") of The Richard and Clare Lesser 1998 Irrevocable Insurance Trust (the "Trust"), and Richard G. Lesser ("Executive").</w:t>
      </w:r>
    </w:p>
    <w:p>
      <w:pPr>
        <w:spacing w:after="0" w:line="163" w:lineRule="exact"/>
        <w:rPr>
          <w:sz w:val="20"/>
          <w:szCs w:val="20"/>
          <w:color w:val="auto"/>
        </w:rPr>
      </w:pPr>
    </w:p>
    <w:p>
      <w:pPr>
        <w:ind w:right="4159" w:firstLine="781"/>
        <w:spacing w:after="0" w:line="258" w:lineRule="auto"/>
        <w:rPr>
          <w:sz w:val="20"/>
          <w:szCs w:val="20"/>
          <w:color w:val="auto"/>
        </w:rPr>
      </w:pPr>
      <w:r>
        <w:rPr>
          <w:rFonts w:ascii="Courier New" w:cs="Courier New" w:eastAsia="Courier New" w:hAnsi="Courier New"/>
          <w:sz w:val="14"/>
          <w:szCs w:val="14"/>
          <w:color w:val="auto"/>
        </w:rPr>
        <w:t>WHEREAS the Trust is the owner of the life insurance policies identified on Exhibit A to this Agreement (the "Policies"); and</w:t>
      </w:r>
    </w:p>
    <w:p>
      <w:pPr>
        <w:spacing w:after="0" w:line="16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WHEREAS, by an agreement among the Corporation, the Trust and Executive dated as of March 1, 2000 (the "Prior Agreement"), (i) the Corporation agreed to pay specified premiums with respect to the Policies, (ii) Executive and the Trustees agreed that an amount equal to those premiums would be repaid to the Corporation in accordance with and subject to terms more fully set forth in the Prior Agreement, and (iii) the Trustees assigned the Policies to the Corporation as collateral to secure the Corporation's rights to repayment (the "Collateral Assignment"); and</w:t>
      </w:r>
    </w:p>
    <w:p>
      <w:pPr>
        <w:spacing w:after="0" w:line="165" w:lineRule="exact"/>
        <w:rPr>
          <w:sz w:val="20"/>
          <w:szCs w:val="20"/>
          <w:color w:val="auto"/>
        </w:rPr>
      </w:pPr>
    </w:p>
    <w:p>
      <w:pPr>
        <w:ind w:right="4059" w:firstLine="781"/>
        <w:spacing w:after="0" w:line="258" w:lineRule="auto"/>
        <w:rPr>
          <w:sz w:val="20"/>
          <w:szCs w:val="20"/>
          <w:color w:val="auto"/>
        </w:rPr>
      </w:pPr>
      <w:r>
        <w:rPr>
          <w:rFonts w:ascii="Courier New" w:cs="Courier New" w:eastAsia="Courier New" w:hAnsi="Courier New"/>
          <w:sz w:val="14"/>
          <w:szCs w:val="14"/>
          <w:color w:val="auto"/>
        </w:rPr>
        <w:t>WHEREAS the parties hereto have determined that it is in their respective best interests to amend the Prior Agreement;</w:t>
      </w:r>
    </w:p>
    <w:p>
      <w:pPr>
        <w:spacing w:after="0" w:line="160"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NOW, THEREFORE, the parties hereto, intending to be bound hereby, agree as follows:</w:t>
      </w:r>
    </w:p>
    <w:p>
      <w:pPr>
        <w:spacing w:after="0" w:line="160" w:lineRule="exact"/>
        <w:rPr>
          <w:sz w:val="20"/>
          <w:szCs w:val="20"/>
          <w:color w:val="auto"/>
        </w:rPr>
      </w:pPr>
    </w:p>
    <w:p>
      <w:pPr>
        <w:ind w:right="3279" w:firstLine="790"/>
        <w:spacing w:after="0" w:line="253" w:lineRule="auto"/>
        <w:tabs>
          <w:tab w:leader="none" w:pos="104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Repayment and Termination. At a closing to be held on a mutually agreed date but in no event later than January 20, 2003 (the "Closing"), the following transactions shall occur simultaneously: (a) the Trust will pay to the Corporation $825,000 in immediately available funds; and (b) a mutual release in the form attached hereto as Exhibit B shall be executed and delivered by the parties specified therein. Upon the consummation of the Closing: (i) the Prior Agreement shall forthwith terminate; (ii) the Corporation shall be relieved of any obligation to make premium payments or payments of any kind with respect to the Policies; and (iii) the Corporation shall have no further right to any refund or death benefit payment from the Policies.</w:t>
      </w:r>
    </w:p>
    <w:p>
      <w:pPr>
        <w:spacing w:after="0" w:line="164" w:lineRule="exact"/>
        <w:rPr>
          <w:rFonts w:ascii="Courier New" w:cs="Courier New" w:eastAsia="Courier New" w:hAnsi="Courier New"/>
          <w:sz w:val="14"/>
          <w:szCs w:val="14"/>
          <w:color w:val="auto"/>
        </w:rPr>
      </w:pPr>
    </w:p>
    <w:p>
      <w:pPr>
        <w:ind w:right="3379" w:firstLine="790"/>
        <w:spacing w:after="0" w:line="254" w:lineRule="auto"/>
        <w:tabs>
          <w:tab w:leader="none" w:pos="104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Trustee. The Trustee represents to the Corporation that the following representations and warranties are correct and complete as of the date of this Agreement and will be correct and complete as of the Closing:</w:t>
      </w:r>
    </w:p>
    <w:p>
      <w:pPr>
        <w:spacing w:after="0" w:line="163" w:lineRule="exact"/>
        <w:rPr>
          <w:sz w:val="20"/>
          <w:szCs w:val="20"/>
          <w:color w:val="auto"/>
        </w:rPr>
      </w:pPr>
    </w:p>
    <w:p>
      <w:pPr>
        <w:ind w:left="800" w:right="3379" w:firstLine="781"/>
        <w:spacing w:after="0" w:line="253" w:lineRule="auto"/>
        <w:rPr>
          <w:sz w:val="20"/>
          <w:szCs w:val="20"/>
          <w:color w:val="auto"/>
        </w:rPr>
      </w:pPr>
      <w:r>
        <w:rPr>
          <w:rFonts w:ascii="Courier New" w:cs="Courier New" w:eastAsia="Courier New" w:hAnsi="Courier New"/>
          <w:sz w:val="14"/>
          <w:szCs w:val="14"/>
          <w:color w:val="auto"/>
        </w:rPr>
        <w:t>2.1 Authority. The Trustee has the power and authority to execute and deliver this Agreement and to perform his respective obligations hereunder. All actions or proceedings to be taken by or on the part of the Trustee to authorize and permit the execution and delivery by the Trustee of this Agreement and the instruments required to be executed and delivered by Trustee pursuant hereto, the performance by the Trustee of its obligations hereunder, and the consummation by the Trustee of the transactions contemplated herein, have been duly and properly taken. This Agreement has been duly executed and delivered by the Trustee and constitutes the legal, valid and binding</w:t>
      </w:r>
    </w:p>
    <w:p>
      <w:pPr>
        <w:sectPr>
          <w:pgSz w:w="11900" w:h="16838" w:orient="portrait"/>
          <w:cols w:equalWidth="0" w:num="1">
            <w:col w:w="10239"/>
          </w:cols>
          <w:pgMar w:left="220" w:top="475" w:right="1440" w:bottom="1440" w:gutter="0" w:footer="0" w:header="0"/>
        </w:sectPr>
      </w:pPr>
    </w:p>
    <w:bookmarkStart w:id="62" w:name="page63"/>
    <w:bookmarkEnd w:id="62"/>
    <w:p>
      <w:pPr>
        <w:ind w:left="10" w:right="4159"/>
        <w:spacing w:after="0" w:line="258" w:lineRule="auto"/>
        <w:rPr>
          <w:sz w:val="20"/>
          <w:szCs w:val="20"/>
          <w:color w:val="auto"/>
        </w:rPr>
      </w:pPr>
      <w:r>
        <w:rPr>
          <w:rFonts w:ascii="Courier New" w:cs="Courier New" w:eastAsia="Courier New" w:hAnsi="Courier New"/>
          <w:sz w:val="14"/>
          <w:szCs w:val="14"/>
          <w:color w:val="auto"/>
        </w:rPr>
        <w:t>obligation of the Trustee, enforceable against the Trustee in accordance with its terms and conditions.</w:t>
      </w:r>
    </w:p>
    <w:p>
      <w:pPr>
        <w:spacing w:after="0" w:line="160" w:lineRule="exact"/>
        <w:rPr>
          <w:sz w:val="20"/>
          <w:szCs w:val="20"/>
          <w:color w:val="auto"/>
        </w:rPr>
      </w:pPr>
    </w:p>
    <w:p>
      <w:pPr>
        <w:ind w:left="10" w:right="3279" w:firstLine="781"/>
        <w:spacing w:after="0" w:line="253" w:lineRule="auto"/>
        <w:rPr>
          <w:sz w:val="20"/>
          <w:szCs w:val="20"/>
          <w:color w:val="auto"/>
        </w:rPr>
      </w:pPr>
      <w:r>
        <w:rPr>
          <w:rFonts w:ascii="Courier New" w:cs="Courier New" w:eastAsia="Courier New" w:hAnsi="Courier New"/>
          <w:sz w:val="14"/>
          <w:szCs w:val="14"/>
          <w:color w:val="auto"/>
        </w:rPr>
        <w:t>2.2 Noncontravention. Neither the execution and the delivery of this Agreement, nor the consummation of the transactions contemplated hereby will violate any constitution, statute, regulation, rule, injunction, judgment, order, decree, ruling, charge, or other restriction of any government, governmental agency, or court to which the Trustee or the Trust is subject or any provision of the Trust.</w:t>
      </w:r>
    </w:p>
    <w:p>
      <w:pPr>
        <w:spacing w:after="0" w:line="165" w:lineRule="exact"/>
        <w:rPr>
          <w:sz w:val="20"/>
          <w:szCs w:val="20"/>
          <w:color w:val="auto"/>
        </w:rPr>
      </w:pPr>
    </w:p>
    <w:p>
      <w:pPr>
        <w:ind w:left="10" w:right="3979" w:firstLine="781"/>
        <w:spacing w:after="0" w:line="258" w:lineRule="auto"/>
        <w:rPr>
          <w:sz w:val="20"/>
          <w:szCs w:val="20"/>
          <w:color w:val="auto"/>
        </w:rPr>
      </w:pPr>
      <w:r>
        <w:rPr>
          <w:rFonts w:ascii="Courier New" w:cs="Courier New" w:eastAsia="Courier New" w:hAnsi="Courier New"/>
          <w:sz w:val="14"/>
          <w:szCs w:val="14"/>
          <w:color w:val="auto"/>
        </w:rPr>
        <w:t>2.3 Beneficiaries. The persons named on Exhibit C (the "Beneficiaries") are the sole beneficiaries of the Trust.</w:t>
      </w:r>
    </w:p>
    <w:p>
      <w:pPr>
        <w:spacing w:after="0" w:line="160" w:lineRule="exact"/>
        <w:rPr>
          <w:sz w:val="20"/>
          <w:szCs w:val="20"/>
          <w:color w:val="auto"/>
        </w:rPr>
      </w:pPr>
    </w:p>
    <w:p>
      <w:pPr>
        <w:ind w:left="-790" w:right="3279" w:firstLine="790"/>
        <w:spacing w:after="0" w:line="254" w:lineRule="auto"/>
        <w:tabs>
          <w:tab w:leader="none" w:pos="251"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Executive. Executive represents to the Corporation that the following representations and warranties are correct and complete as of the date of this Agreement and will be correct and complete as of the Closing:</w:t>
      </w:r>
    </w:p>
    <w:p>
      <w:pPr>
        <w:spacing w:after="0" w:line="163" w:lineRule="exact"/>
        <w:rPr>
          <w:sz w:val="20"/>
          <w:szCs w:val="20"/>
          <w:color w:val="auto"/>
        </w:rPr>
      </w:pPr>
    </w:p>
    <w:p>
      <w:pPr>
        <w:ind w:left="10" w:right="3539" w:firstLine="781"/>
        <w:spacing w:after="0" w:line="254" w:lineRule="auto"/>
        <w:rPr>
          <w:sz w:val="20"/>
          <w:szCs w:val="20"/>
          <w:color w:val="auto"/>
        </w:rPr>
      </w:pPr>
      <w:r>
        <w:rPr>
          <w:rFonts w:ascii="Courier New" w:cs="Courier New" w:eastAsia="Courier New" w:hAnsi="Courier New"/>
          <w:sz w:val="14"/>
          <w:szCs w:val="14"/>
          <w:color w:val="auto"/>
        </w:rPr>
        <w:t>3.1 Authority. Executive has the power and authority to execute and deliver this Agreement and to perform his obligations hereunder. This Agreement has been duly executed and delivered by Executive and constitutes his legal, valid and binding obligation, enforceable against him in accordance with its terms and conditions.</w:t>
      </w:r>
    </w:p>
    <w:p>
      <w:pPr>
        <w:spacing w:after="0" w:line="162" w:lineRule="exact"/>
        <w:rPr>
          <w:sz w:val="20"/>
          <w:szCs w:val="20"/>
          <w:color w:val="auto"/>
        </w:rPr>
      </w:pPr>
    </w:p>
    <w:p>
      <w:pPr>
        <w:ind w:left="10" w:right="3279" w:firstLine="781"/>
        <w:spacing w:after="0" w:line="253" w:lineRule="auto"/>
        <w:rPr>
          <w:sz w:val="20"/>
          <w:szCs w:val="20"/>
          <w:color w:val="auto"/>
        </w:rPr>
      </w:pPr>
      <w:r>
        <w:rPr>
          <w:rFonts w:ascii="Courier New" w:cs="Courier New" w:eastAsia="Courier New" w:hAnsi="Courier New"/>
          <w:sz w:val="14"/>
          <w:szCs w:val="14"/>
          <w:color w:val="auto"/>
        </w:rPr>
        <w:t>3.2 Noncontravention. Neither the execution and the delivery of this Agreement, nor the consummation of the transactions contemplated hereby will violate any constitution, statute, regulation, rule, injunction, judgment, order, decree, ruling, charge, or other restriction of any government, governmental agency, or court to which Executive is subject.</w:t>
      </w:r>
    </w:p>
    <w:p>
      <w:pPr>
        <w:spacing w:after="0" w:line="165" w:lineRule="exact"/>
        <w:rPr>
          <w:sz w:val="20"/>
          <w:szCs w:val="20"/>
          <w:color w:val="auto"/>
        </w:rPr>
      </w:pPr>
    </w:p>
    <w:p>
      <w:pPr>
        <w:ind w:left="790"/>
        <w:spacing w:after="0"/>
        <w:rPr>
          <w:sz w:val="20"/>
          <w:szCs w:val="20"/>
          <w:color w:val="auto"/>
        </w:rPr>
      </w:pPr>
      <w:r>
        <w:rPr>
          <w:rFonts w:ascii="Courier New" w:cs="Courier New" w:eastAsia="Courier New" w:hAnsi="Courier New"/>
          <w:sz w:val="14"/>
          <w:szCs w:val="14"/>
          <w:color w:val="auto"/>
        </w:rPr>
        <w:t>3.3 Beneficiaries. The Beneficiaries are the sole</w:t>
      </w:r>
    </w:p>
    <w:p>
      <w:pPr>
        <w:spacing w:after="0" w:line="8"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beneficiaries of the Trust.</w:t>
      </w:r>
    </w:p>
    <w:p>
      <w:pPr>
        <w:spacing w:after="0" w:line="175" w:lineRule="exact"/>
        <w:rPr>
          <w:sz w:val="20"/>
          <w:szCs w:val="20"/>
          <w:color w:val="auto"/>
        </w:rPr>
      </w:pPr>
    </w:p>
    <w:p>
      <w:pPr>
        <w:jc w:val="both"/>
        <w:ind w:left="-790" w:right="3279" w:firstLine="790"/>
        <w:spacing w:after="0" w:line="254" w:lineRule="auto"/>
        <w:tabs>
          <w:tab w:leader="none" w:pos="251"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of the Corporation. The Corporation represents to the Trustee and Executive that the following representations and warranties are correct and complete as of the date of this Agreement and will be correct and complete as of the Closing:</w:t>
      </w:r>
    </w:p>
    <w:p>
      <w:pPr>
        <w:spacing w:after="0" w:line="163" w:lineRule="exact"/>
        <w:rPr>
          <w:sz w:val="20"/>
          <w:szCs w:val="20"/>
          <w:color w:val="auto"/>
        </w:rPr>
      </w:pPr>
    </w:p>
    <w:p>
      <w:pPr>
        <w:ind w:left="10" w:right="3279" w:firstLine="781"/>
        <w:spacing w:after="0" w:line="253" w:lineRule="auto"/>
        <w:rPr>
          <w:sz w:val="20"/>
          <w:szCs w:val="20"/>
          <w:color w:val="auto"/>
        </w:rPr>
      </w:pPr>
      <w:r>
        <w:rPr>
          <w:rFonts w:ascii="Courier New" w:cs="Courier New" w:eastAsia="Courier New" w:hAnsi="Courier New"/>
          <w:sz w:val="14"/>
          <w:szCs w:val="14"/>
          <w:color w:val="auto"/>
        </w:rPr>
        <w:t>4.1 Authority. The Corporation has the power and authority to execute and deliver this Agreement and to perform its obligations hereunder. All actions or proceedings to be taken by or on the part of the Corporation to authorize and permit the execution and delivery by the Corporation of this Agreement and the instruments required to be executed and delivered by Corporation pursuant hereto, the performance by Corporation of its obligations hereunder, and the consummation by Corporation of the transactions contemplated herein, have been duly and properly taken. This Agreement has been duly executed and delivered by the Corporation and constitutes the legal, valid and binding obligation of the Corporation, enforceable against it in accordance with its terms and conditions.</w:t>
      </w:r>
    </w:p>
    <w:p>
      <w:pPr>
        <w:spacing w:after="0" w:line="164" w:lineRule="exact"/>
        <w:rPr>
          <w:sz w:val="20"/>
          <w:szCs w:val="20"/>
          <w:color w:val="auto"/>
        </w:rPr>
      </w:pPr>
    </w:p>
    <w:p>
      <w:pPr>
        <w:ind w:left="251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449"/>
          </w:cols>
          <w:pgMar w:left="1010" w:top="620" w:right="1440" w:bottom="1440" w:gutter="0" w:footer="0" w:header="0"/>
        </w:sectPr>
      </w:pPr>
    </w:p>
    <w:bookmarkStart w:id="63" w:name="page64"/>
    <w:bookmarkEnd w:id="63"/>
    <w:p>
      <w:pPr>
        <w:ind w:left="10" w:right="3279" w:firstLine="781"/>
        <w:spacing w:after="0" w:line="253" w:lineRule="auto"/>
        <w:rPr>
          <w:sz w:val="20"/>
          <w:szCs w:val="20"/>
          <w:color w:val="auto"/>
        </w:rPr>
      </w:pPr>
      <w:r>
        <w:rPr>
          <w:rFonts w:ascii="Courier New" w:cs="Courier New" w:eastAsia="Courier New" w:hAnsi="Courier New"/>
          <w:sz w:val="14"/>
          <w:szCs w:val="14"/>
          <w:color w:val="auto"/>
        </w:rPr>
        <w:t>4.2 Noncontravention. Neither the execution and the delivery of this Agreement, nor the consummation of the transactions contemplated hereby will violate any constitution, statute, regulation, rule, injunction, judgment, order, decree, ruling, charge, or other restriction of any government, governmental agency, or court to which the Corporation is subject.</w:t>
      </w:r>
    </w:p>
    <w:p>
      <w:pPr>
        <w:spacing w:after="0" w:line="165" w:lineRule="exact"/>
        <w:rPr>
          <w:sz w:val="20"/>
          <w:szCs w:val="20"/>
          <w:color w:val="auto"/>
        </w:rPr>
      </w:pPr>
    </w:p>
    <w:p>
      <w:pPr>
        <w:ind w:left="-790" w:right="3279" w:firstLine="790"/>
        <w:spacing w:after="0" w:line="260" w:lineRule="auto"/>
        <w:tabs>
          <w:tab w:leader="none" w:pos="251"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Cooperation and Waiver. The Corporation agrees to cooperate with the Trustee in effectuating the release of the collateral assignment of the Policies.</w:t>
      </w:r>
    </w:p>
    <w:p>
      <w:pPr>
        <w:spacing w:after="0" w:line="324" w:lineRule="exact"/>
        <w:rPr>
          <w:rFonts w:ascii="Courier New" w:cs="Courier New" w:eastAsia="Courier New" w:hAnsi="Courier New"/>
          <w:sz w:val="14"/>
          <w:szCs w:val="14"/>
          <w:color w:val="auto"/>
        </w:rPr>
      </w:pPr>
    </w:p>
    <w:p>
      <w:pPr>
        <w:ind w:left="-790" w:right="3279" w:firstLine="790"/>
        <w:spacing w:after="0" w:line="253" w:lineRule="auto"/>
        <w:tabs>
          <w:tab w:leader="none" w:pos="251"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Executive hereby agree to indemnify, defend and hold harmless the Corporation and each of its directors and officers against and in respect of any liabilities arising out of or resulting from any claim by any trustee or beneficiary of the Trust with respect to this Agreement or any breach of any representation or warranty made by Executive or the Trustee herein. The indemnity given by Executive hereunder shall be in addition to, and not in lieu of, any and all other indemnities given by Executive with respect to the matters described herein or otherwise.</w:t>
      </w:r>
    </w:p>
    <w:p>
      <w:pPr>
        <w:spacing w:after="0" w:line="164" w:lineRule="exact"/>
        <w:rPr>
          <w:rFonts w:ascii="Courier New" w:cs="Courier New" w:eastAsia="Courier New" w:hAnsi="Courier New"/>
          <w:sz w:val="14"/>
          <w:szCs w:val="14"/>
          <w:color w:val="auto"/>
        </w:rPr>
      </w:pPr>
    </w:p>
    <w:p>
      <w:pPr>
        <w:ind w:left="-790" w:right="3379" w:firstLine="790"/>
        <w:spacing w:after="0" w:line="254" w:lineRule="auto"/>
        <w:tabs>
          <w:tab w:leader="none" w:pos="251"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Entire Agreement. The agreement of the parties that is comprised of this Agreement, the Exhibits hereto and the other documents referred to herein sets forth the entire agreement and understanding between the parties and supersedes any prior agreement or understanding, whether oral or written, relating to the subject matter of this Agreement.</w:t>
      </w:r>
    </w:p>
    <w:p>
      <w:pPr>
        <w:spacing w:after="0" w:line="162" w:lineRule="exact"/>
        <w:rPr>
          <w:rFonts w:ascii="Courier New" w:cs="Courier New" w:eastAsia="Courier New" w:hAnsi="Courier New"/>
          <w:sz w:val="14"/>
          <w:szCs w:val="14"/>
          <w:color w:val="auto"/>
        </w:rPr>
      </w:pPr>
    </w:p>
    <w:p>
      <w:pPr>
        <w:ind w:left="-790" w:right="3279" w:firstLine="790"/>
        <w:spacing w:after="0" w:line="254" w:lineRule="auto"/>
        <w:tabs>
          <w:tab w:leader="none" w:pos="251"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Binding Agreement. This Agreement shall be binding upon and inure to the benefit of and be enforceable by the successors and permissible assigns of the parties hereto. This Agreement and any rights hereunder shall not be assigned, hypothecated or otherwise transferred by any party hereto without the prior written consent of the other parties hereto.</w:t>
      </w:r>
    </w:p>
    <w:p>
      <w:pPr>
        <w:spacing w:after="0" w:line="162" w:lineRule="exact"/>
        <w:rPr>
          <w:sz w:val="20"/>
          <w:szCs w:val="20"/>
          <w:color w:val="auto"/>
        </w:rPr>
      </w:pPr>
    </w:p>
    <w:p>
      <w:pPr>
        <w:ind w:left="251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449"/>
          </w:cols>
          <w:pgMar w:left="1010" w:top="620" w:right="1440" w:bottom="1440" w:gutter="0" w:footer="0" w:header="0"/>
        </w:sectPr>
      </w:pPr>
    </w:p>
    <w:bookmarkStart w:id="64" w:name="page65"/>
    <w:bookmarkEnd w:id="64"/>
    <w:p>
      <w:pPr>
        <w:ind w:right="3279" w:firstLine="790"/>
        <w:spacing w:after="0" w:line="252" w:lineRule="auto"/>
        <w:tabs>
          <w:tab w:leader="none" w:pos="104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Except to the extent federal law applies, this Agreement shall be governed by and construed in accordance with the laws of the Commonwealth of Massachusetts and shall be deemed for all purposes to be an agreement under seal. Each of the parties hereto hereby irrevocably and unconditionally consents to submit to the exclusive jurisdiction of the courts of the Commonwealth of Massachusetts and of the United States of America located in the Commonwealth of Massachusetts for any actions, suits or proceedings arising out of or relating to this Agreement and the transactions contemplated hereby, and each of the parties hereto agrees not to commence any action, suit or proceeding relating hereto or thereto except in such courts. Each of the parties hereto hereby irrevocably and unconditionally waives any objection to the laying of venue of any action, suit or proceeding arising out of this Agreement or the transactions contemplated hereby or thereby, in the courts of the Commonwealth of Massachusetts or the United States of America located in the Commonwealth of Massachusetts, and hereby further irrevocably and unconditionally waives and agrees not to plead or claim in any such court that any such action, suit or proceeding brought in any such court has been brought in an inconvenient forum. In any action or suit to enforce any right or remedy under this Agreement or to interpret any provision of this Agreement, the prevailing party shall be entitled to recover its costs, including reasonable attorneys' fees.</w:t>
      </w:r>
    </w:p>
    <w:p>
      <w:pPr>
        <w:spacing w:after="0" w:line="341" w:lineRule="exact"/>
        <w:rPr>
          <w:sz w:val="20"/>
          <w:szCs w:val="20"/>
          <w:color w:val="auto"/>
        </w:rPr>
      </w:pPr>
    </w:p>
    <w:p>
      <w:pPr>
        <w:ind w:right="3639" w:firstLine="781"/>
        <w:spacing w:after="0" w:line="254" w:lineRule="auto"/>
        <w:rPr>
          <w:sz w:val="20"/>
          <w:szCs w:val="20"/>
          <w:color w:val="auto"/>
        </w:rPr>
      </w:pPr>
      <w:r>
        <w:rPr>
          <w:rFonts w:ascii="Courier New" w:cs="Courier New" w:eastAsia="Courier New" w:hAnsi="Courier New"/>
          <w:sz w:val="14"/>
          <w:szCs w:val="14"/>
          <w:color w:val="auto"/>
        </w:rPr>
        <w:t>IN WITNESS WHEREOF, the Corporation has caused this Agreement to be executed on its behalf by its duly authorized officer, and the Trustee and Executive have each hereunto set their hands, all as of the date first above written.</w:t>
      </w:r>
    </w:p>
    <w:p>
      <w:pPr>
        <w:spacing w:after="0" w:line="16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left="3140"/>
        <w:spacing w:after="0"/>
        <w:tabs>
          <w:tab w:leader="none" w:pos="3900" w:val="left"/>
          <w:tab w:leader="none" w:pos="432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tab/>
        <w:t>Donald G. Campbell</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BOSTON PRIVATE BANK AND</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TRUST COMPANY, as Trustee of</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The Richard and Clare Lesser 1998</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Irrevocable Insurance Trust</w:t>
      </w:r>
    </w:p>
    <w:p>
      <w:pPr>
        <w:spacing w:after="0" w:line="175" w:lineRule="exact"/>
        <w:rPr>
          <w:sz w:val="20"/>
          <w:szCs w:val="20"/>
          <w:color w:val="auto"/>
        </w:rPr>
      </w:pPr>
    </w:p>
    <w:p>
      <w:pPr>
        <w:ind w:left="3140"/>
        <w:spacing w:after="0"/>
        <w:tabs>
          <w:tab w:leader="none" w:pos="3900" w:val="left"/>
        </w:tabs>
        <w:rPr>
          <w:sz w:val="20"/>
          <w:szCs w:val="20"/>
          <w:color w:val="auto"/>
        </w:rPr>
      </w:pPr>
      <w:r>
        <w:rPr>
          <w:rFonts w:ascii="Courier New" w:cs="Courier New" w:eastAsia="Courier New" w:hAnsi="Courier New"/>
          <w:sz w:val="14"/>
          <w:szCs w:val="14"/>
          <w:color w:val="auto"/>
        </w:rPr>
        <w:t>By:</w:t>
      </w:r>
      <w:r>
        <w:rPr>
          <w:sz w:val="20"/>
          <w:szCs w:val="20"/>
          <w:color w:val="auto"/>
        </w:rPr>
        <w:tab/>
      </w:r>
      <w:r>
        <w:rPr>
          <w:rFonts w:ascii="Courier New" w:cs="Courier New" w:eastAsia="Courier New" w:hAnsi="Courier New"/>
          <w:sz w:val="14"/>
          <w:szCs w:val="14"/>
          <w:color w:val="auto"/>
        </w:rPr>
        <w:t>/s/</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________________________________</w:t>
      </w:r>
    </w:p>
    <w:p>
      <w:pPr>
        <w:spacing w:after="0" w:line="17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/s/ Richard G. Lesser</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Richard G. Lesser</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65" w:name="page66"/>
    <w:bookmarkEnd w:id="65"/>
    <w:p>
      <w:pPr>
        <w:jc w:val="right"/>
        <w:ind w:right="36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6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6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640"/>
        <w:spacing w:after="0"/>
        <w:rPr>
          <w:sz w:val="20"/>
          <w:szCs w:val="20"/>
          <w:color w:val="auto"/>
        </w:rPr>
      </w:pPr>
      <w:r>
        <w:rPr>
          <w:rFonts w:ascii="Courier New" w:cs="Courier New" w:eastAsia="Courier New" w:hAnsi="Courier New"/>
          <w:sz w:val="14"/>
          <w:szCs w:val="14"/>
          <w:color w:val="auto"/>
        </w:rPr>
        <w:t>Exhibit 13</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THE TJX COMPANIES, INC.</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FINANCIAL DATA (CONTINUING OPERATIONS)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900" w:type="dxa"/>
            <w:vAlign w:val="bottom"/>
            <w:gridSpan w:val="5"/>
          </w:tcPr>
          <w:p>
            <w:pPr>
              <w:jc w:val="right"/>
              <w:ind w:right="788"/>
              <w:spacing w:after="0"/>
              <w:rPr>
                <w:sz w:val="20"/>
                <w:szCs w:val="20"/>
                <w:color w:val="auto"/>
              </w:rPr>
            </w:pPr>
            <w:r>
              <w:rPr>
                <w:rFonts w:ascii="Courier New" w:cs="Courier New" w:eastAsia="Courier New" w:hAnsi="Courier New"/>
                <w:sz w:val="14"/>
                <w:szCs w:val="14"/>
                <w:color w:val="auto"/>
              </w:rPr>
              <w:t>Fiscal Year Ended January</w:t>
            </w: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480" w:type="dxa"/>
            <w:vAlign w:val="bottom"/>
          </w:tcPr>
          <w:p>
            <w:pPr>
              <w:ind w:left="520"/>
              <w:spacing w:after="0"/>
              <w:rPr>
                <w:sz w:val="20"/>
                <w:szCs w:val="20"/>
                <w:color w:val="auto"/>
              </w:rPr>
            </w:pPr>
            <w:r>
              <w:rPr>
                <w:rFonts w:ascii="Courier New" w:cs="Courier New" w:eastAsia="Courier New" w:hAnsi="Courier New"/>
                <w:sz w:val="14"/>
                <w:szCs w:val="14"/>
                <w:color w:val="auto"/>
              </w:rPr>
              <w:t>Amounts In Thousands</w:t>
            </w:r>
          </w:p>
        </w:tc>
        <w:tc>
          <w:tcPr>
            <w:tcW w:w="7120" w:type="dxa"/>
            <w:vAlign w:val="bottom"/>
            <w:gridSpan w:val="10"/>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Except Per Share Amounts</w:t>
            </w:r>
          </w:p>
        </w:tc>
        <w:tc>
          <w:tcPr>
            <w:tcW w:w="520" w:type="dxa"/>
            <w:vAlign w:val="bottom"/>
          </w:tcPr>
          <w:p>
            <w:pPr>
              <w:spacing w:after="0"/>
              <w:rPr>
                <w:sz w:val="14"/>
                <w:szCs w:val="14"/>
                <w:color w:val="auto"/>
              </w:rPr>
            </w:pPr>
          </w:p>
        </w:tc>
        <w:tc>
          <w:tcPr>
            <w:tcW w:w="118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2003</w:t>
            </w:r>
          </w:p>
        </w:tc>
        <w:tc>
          <w:tcPr>
            <w:tcW w:w="300" w:type="dxa"/>
            <w:vAlign w:val="bottom"/>
          </w:tcPr>
          <w:p>
            <w:pPr>
              <w:spacing w:after="0"/>
              <w:rPr>
                <w:sz w:val="14"/>
                <w:szCs w:val="14"/>
                <w:color w:val="auto"/>
              </w:rPr>
            </w:pP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c>
          <w:tcPr>
            <w:tcW w:w="300" w:type="dxa"/>
            <w:vAlign w:val="bottom"/>
          </w:tcPr>
          <w:p>
            <w:pPr>
              <w:spacing w:after="0"/>
              <w:rPr>
                <w:sz w:val="14"/>
                <w:szCs w:val="14"/>
                <w:color w:val="auto"/>
              </w:rPr>
            </w:pPr>
          </w:p>
        </w:tc>
        <w:tc>
          <w:tcPr>
            <w:tcW w:w="1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26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2000</w:t>
            </w:r>
          </w:p>
        </w:tc>
        <w:tc>
          <w:tcPr>
            <w:tcW w:w="300" w:type="dxa"/>
            <w:vAlign w:val="bottom"/>
          </w:tcPr>
          <w:p>
            <w:pPr>
              <w:spacing w:after="0"/>
              <w:rPr>
                <w:sz w:val="14"/>
                <w:szCs w:val="14"/>
                <w:color w:val="auto"/>
              </w:rPr>
            </w:pPr>
          </w:p>
        </w:tc>
        <w:tc>
          <w:tcPr>
            <w:tcW w:w="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1999</w:t>
            </w: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Income statement and per share data:</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Net sales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11,981,207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10,708,998</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9,579,006</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8,795,347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7,949,101</w:t>
            </w:r>
          </w:p>
        </w:tc>
      </w:tr>
      <w:tr>
        <w:trPr>
          <w:trHeight w:val="334"/>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Income from continuing operations</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before cumulative effect of</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accounting change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578,388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540,397</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538,066</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526,822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433,202</w:t>
            </w:r>
          </w:p>
        </w:tc>
      </w:tr>
      <w:tr>
        <w:trPr>
          <w:trHeight w:val="334"/>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common</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shares for diluted earnings</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per share calculation</w:t>
            </w:r>
          </w:p>
        </w:tc>
        <w:tc>
          <w:tcPr>
            <w:tcW w:w="5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537,740</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556,268</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578,392</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635,582</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669,296</w:t>
            </w:r>
          </w:p>
        </w:tc>
      </w:tr>
      <w:tr>
        <w:trPr>
          <w:trHeight w:val="334"/>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per share</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from continuing operations</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before cumulative effect of</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accounting change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w:t>
            </w:r>
          </w:p>
        </w:tc>
      </w:tr>
      <w:tr>
        <w:trPr>
          <w:trHeight w:val="334"/>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declared per share</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Cash and cash equivalents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492,330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492,776</w:t>
            </w:r>
          </w:p>
        </w:tc>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132,535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371,759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461,244</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Working capital</w:t>
            </w:r>
          </w:p>
        </w:tc>
        <w:tc>
          <w:tcPr>
            <w:tcW w:w="5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674,195</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800,916</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537,185</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532,017</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663,902</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5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3,940,489</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3,595,743</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2,932,283</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2,804,963</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2,760,127</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5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396,724</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449,444</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257,005</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238,569</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207,742</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Long-term obligations (1)</w:t>
            </w:r>
          </w:p>
        </w:tc>
        <w:tc>
          <w:tcPr>
            <w:tcW w:w="5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693,764</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702,379</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319,372</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319,367</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220,344</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Shareholders' equity</w:t>
            </w:r>
          </w:p>
        </w:tc>
        <w:tc>
          <w:tcPr>
            <w:tcW w:w="5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1,409,147</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1,340,698</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1,218,712</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1,119,228</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1,220,656</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Other financial data:</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After-tax return on average</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shareholders' equity</w:t>
            </w:r>
          </w:p>
        </w:tc>
        <w:tc>
          <w:tcPr>
            <w:tcW w:w="52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42.1%</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w:t>
            </w:r>
          </w:p>
        </w:tc>
        <w:tc>
          <w:tcPr>
            <w:tcW w:w="30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46.0%</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36.3%</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Total debt as a percentage</w:t>
            </w:r>
          </w:p>
        </w:tc>
        <w:tc>
          <w:tcPr>
            <w:tcW w:w="5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480" w:type="dxa"/>
            <w:vAlign w:val="bottom"/>
          </w:tcPr>
          <w:p>
            <w:pPr>
              <w:ind w:left="360"/>
              <w:spacing w:after="0"/>
              <w:rPr>
                <w:sz w:val="20"/>
                <w:szCs w:val="20"/>
                <w:color w:val="auto"/>
              </w:rPr>
            </w:pPr>
            <w:r>
              <w:rPr>
                <w:rFonts w:ascii="Courier New" w:cs="Courier New" w:eastAsia="Courier New" w:hAnsi="Courier New"/>
                <w:sz w:val="14"/>
                <w:szCs w:val="14"/>
                <w:color w:val="auto"/>
              </w:rPr>
              <w:t>of total capitalization (2)</w:t>
            </w:r>
          </w:p>
        </w:tc>
        <w:tc>
          <w:tcPr>
            <w:tcW w:w="52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w:t>
            </w:r>
          </w:p>
        </w:tc>
        <w:tc>
          <w:tcPr>
            <w:tcW w:w="30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34.4%</w:t>
            </w:r>
          </w:p>
        </w:tc>
        <w:tc>
          <w:tcPr>
            <w:tcW w:w="30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22.7%</w:t>
            </w:r>
          </w:p>
        </w:tc>
        <w:tc>
          <w:tcPr>
            <w:tcW w:w="26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w:t>
            </w:r>
          </w:p>
        </w:tc>
        <w:tc>
          <w:tcPr>
            <w:tcW w:w="3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15.3%</w:t>
            </w:r>
          </w:p>
        </w:tc>
      </w:tr>
      <w:tr>
        <w:trPr>
          <w:trHeight w:val="334"/>
        </w:trPr>
        <w:tc>
          <w:tcPr>
            <w:tcW w:w="3480" w:type="dxa"/>
            <w:vAlign w:val="bottom"/>
          </w:tcPr>
          <w:p>
            <w:pPr>
              <w:spacing w:after="0"/>
              <w:rPr>
                <w:sz w:val="20"/>
                <w:szCs w:val="20"/>
                <w:color w:val="auto"/>
              </w:rPr>
            </w:pPr>
            <w:r>
              <w:rPr>
                <w:rFonts w:ascii="Courier New" w:cs="Courier New" w:eastAsia="Courier New" w:hAnsi="Courier New"/>
                <w:sz w:val="14"/>
                <w:szCs w:val="14"/>
                <w:color w:val="auto"/>
              </w:rPr>
              <w:t>Stores in operation at year-end:</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T.J. Maxx</w:t>
            </w:r>
          </w:p>
        </w:tc>
        <w:tc>
          <w:tcPr>
            <w:tcW w:w="5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713</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687</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661</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632</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Marshalls</w:t>
            </w:r>
          </w:p>
        </w:tc>
        <w:tc>
          <w:tcPr>
            <w:tcW w:w="5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629</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582</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535</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505</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475</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Winners</w:t>
            </w:r>
          </w:p>
        </w:tc>
        <w:tc>
          <w:tcPr>
            <w:tcW w:w="5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T.K. Maxx</w:t>
            </w:r>
          </w:p>
        </w:tc>
        <w:tc>
          <w:tcPr>
            <w:tcW w:w="5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HomeGoods</w:t>
            </w:r>
          </w:p>
        </w:tc>
        <w:tc>
          <w:tcPr>
            <w:tcW w:w="5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142</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112</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A.J. Wright</w:t>
            </w:r>
          </w:p>
        </w:tc>
        <w:tc>
          <w:tcPr>
            <w:tcW w:w="5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HomeSense</w:t>
            </w:r>
          </w:p>
        </w:tc>
        <w:tc>
          <w:tcPr>
            <w:tcW w:w="5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14"/>
                <w:szCs w:val="14"/>
                <w:color w:val="auto"/>
              </w:rPr>
            </w:pPr>
          </w:p>
        </w:tc>
        <w:tc>
          <w:tcPr>
            <w:tcW w:w="17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5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1,843</w:t>
            </w:r>
          </w:p>
        </w:tc>
        <w:tc>
          <w:tcPr>
            <w:tcW w:w="30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1,665</w:t>
            </w:r>
          </w:p>
        </w:tc>
        <w:tc>
          <w:tcPr>
            <w:tcW w:w="30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1,493</w:t>
            </w:r>
          </w:p>
        </w:tc>
        <w:tc>
          <w:tcPr>
            <w:tcW w:w="2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1,357</w:t>
            </w:r>
          </w:p>
        </w:tc>
        <w:tc>
          <w:tcPr>
            <w:tcW w:w="30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1,246</w:t>
            </w:r>
          </w:p>
        </w:tc>
      </w:tr>
      <w:tr>
        <w:trPr>
          <w:trHeight w:val="167"/>
        </w:trPr>
        <w:tc>
          <w:tcPr>
            <w:tcW w:w="3480" w:type="dxa"/>
            <w:vAlign w:val="bottom"/>
          </w:tcPr>
          <w:p>
            <w:pPr>
              <w:spacing w:after="0"/>
              <w:rPr>
                <w:sz w:val="14"/>
                <w:szCs w:val="14"/>
                <w:color w:val="auto"/>
              </w:rPr>
            </w:pPr>
          </w:p>
        </w:tc>
        <w:tc>
          <w:tcPr>
            <w:tcW w:w="17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right="3900" w:hanging="351"/>
        <w:spacing w:after="0" w:line="258"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long-term debt, exclusive of current installments and obligation under capital lease, less portion due within one year.</w:t>
      </w:r>
    </w:p>
    <w:p>
      <w:pPr>
        <w:spacing w:after="0" w:line="159" w:lineRule="exact"/>
        <w:rPr>
          <w:rFonts w:ascii="Courier New" w:cs="Courier New" w:eastAsia="Courier New" w:hAnsi="Courier New"/>
          <w:sz w:val="14"/>
          <w:szCs w:val="14"/>
          <w:color w:val="auto"/>
        </w:rPr>
      </w:pPr>
    </w:p>
    <w:p>
      <w:pPr>
        <w:ind w:left="360" w:right="3820" w:hanging="351"/>
        <w:spacing w:after="0" w:line="258" w:lineRule="auto"/>
        <w:tabs>
          <w:tab w:leader="none" w:pos="36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capitalization includes shareholders' equity, short-term debt, long-term debt and capital lease obligation, including current maturities.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600"/>
          </w:cols>
          <w:pgMar w:left="220" w:top="308" w:right="1079" w:bottom="1440" w:gutter="0" w:footer="0" w:header="0"/>
        </w:sectPr>
      </w:pPr>
    </w:p>
    <w:bookmarkStart w:id="66" w:name="page67"/>
    <w:bookmarkEnd w:id="66"/>
    <w:p>
      <w:pPr>
        <w:ind w:left="252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CONSOLIDATED STATEMENTS OF INCOME</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8"/>
        </w:trPr>
        <w:tc>
          <w:tcPr>
            <w:tcW w:w="5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Fiscal Year Ended</w:t>
            </w: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5440" w:type="dxa"/>
            <w:vAlign w:val="bottom"/>
          </w:tcPr>
          <w:p>
            <w:pPr>
              <w:spacing w:after="0"/>
              <w:rPr>
                <w:sz w:val="14"/>
                <w:szCs w:val="14"/>
                <w:color w:val="auto"/>
              </w:rPr>
            </w:pPr>
          </w:p>
        </w:tc>
        <w:tc>
          <w:tcPr>
            <w:tcW w:w="490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440" w:type="dxa"/>
            <w:vAlign w:val="bottom"/>
          </w:tcPr>
          <w:p>
            <w:pPr>
              <w:spacing w:after="0"/>
              <w:rPr>
                <w:sz w:val="14"/>
                <w:szCs w:val="14"/>
                <w:color w:val="auto"/>
              </w:rPr>
            </w:pPr>
          </w:p>
        </w:tc>
        <w:tc>
          <w:tcPr>
            <w:tcW w:w="17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JANUARY 25,</w:t>
            </w:r>
          </w:p>
        </w:tc>
        <w:tc>
          <w:tcPr>
            <w:tcW w:w="178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January 26,</w:t>
            </w:r>
          </w:p>
        </w:tc>
        <w:tc>
          <w:tcPr>
            <w:tcW w:w="1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January 27,</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Amounts In Thousands Except Per Share Amounts</w:t>
            </w:r>
          </w:p>
        </w:tc>
        <w:tc>
          <w:tcPr>
            <w:tcW w:w="74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13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2002</w:t>
            </w:r>
          </w:p>
        </w:tc>
        <w:tc>
          <w:tcPr>
            <w:tcW w:w="4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44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7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$11,981,207</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$10,708,998</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$ 9,579,006</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Cost of sales, including buying and occupancy costs</w:t>
            </w:r>
          </w:p>
        </w:tc>
        <w:tc>
          <w:tcPr>
            <w:tcW w:w="7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9,079,579</w:t>
            </w:r>
          </w:p>
        </w:tc>
        <w:tc>
          <w:tcPr>
            <w:tcW w:w="44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8,122,922</w:t>
            </w:r>
          </w:p>
        </w:tc>
        <w:tc>
          <w:tcPr>
            <w:tcW w:w="4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7,188,124</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 expenses</w:t>
            </w:r>
          </w:p>
        </w:tc>
        <w:tc>
          <w:tcPr>
            <w:tcW w:w="7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1,938,531</w:t>
            </w:r>
          </w:p>
        </w:tc>
        <w:tc>
          <w:tcPr>
            <w:tcW w:w="4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1,686,389</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1,503,036</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7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25,373</w:t>
            </w:r>
          </w:p>
        </w:tc>
        <w:tc>
          <w:tcPr>
            <w:tcW w:w="4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25,643</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22,904</w:t>
            </w:r>
          </w:p>
        </w:tc>
      </w:tr>
      <w:tr>
        <w:trPr>
          <w:trHeight w:val="167"/>
        </w:trPr>
        <w:tc>
          <w:tcPr>
            <w:tcW w:w="5440" w:type="dxa"/>
            <w:vAlign w:val="bottom"/>
          </w:tcPr>
          <w:p>
            <w:pPr>
              <w:spacing w:after="0"/>
              <w:rPr>
                <w:sz w:val="14"/>
                <w:szCs w:val="14"/>
                <w:color w:val="auto"/>
              </w:rPr>
            </w:pPr>
          </w:p>
        </w:tc>
        <w:tc>
          <w:tcPr>
            <w:tcW w:w="17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provision for income taxes</w:t>
            </w:r>
          </w:p>
        </w:tc>
        <w:tc>
          <w:tcPr>
            <w:tcW w:w="7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937,724</w:t>
            </w:r>
          </w:p>
        </w:tc>
        <w:tc>
          <w:tcPr>
            <w:tcW w:w="4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874,044</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864,942</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7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359,336</w:t>
            </w:r>
          </w:p>
        </w:tc>
        <w:tc>
          <w:tcPr>
            <w:tcW w:w="4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333,647</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326,876</w:t>
            </w:r>
          </w:p>
        </w:tc>
      </w:tr>
      <w:tr>
        <w:trPr>
          <w:trHeight w:val="167"/>
        </w:trPr>
        <w:tc>
          <w:tcPr>
            <w:tcW w:w="5440" w:type="dxa"/>
            <w:vAlign w:val="bottom"/>
          </w:tcPr>
          <w:p>
            <w:pPr>
              <w:spacing w:after="0"/>
              <w:rPr>
                <w:sz w:val="14"/>
                <w:szCs w:val="14"/>
                <w:color w:val="auto"/>
              </w:rPr>
            </w:pPr>
          </w:p>
        </w:tc>
        <w:tc>
          <w:tcPr>
            <w:tcW w:w="17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740" w:type="dxa"/>
            <w:vAlign w:val="bottom"/>
          </w:tcPr>
          <w:p>
            <w:pPr>
              <w:spacing w:after="0"/>
              <w:rPr>
                <w:sz w:val="24"/>
                <w:szCs w:val="2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578,388</w:t>
            </w:r>
          </w:p>
        </w:tc>
        <w:tc>
          <w:tcPr>
            <w:tcW w:w="440" w:type="dxa"/>
            <w:vAlign w:val="bottom"/>
          </w:tcPr>
          <w:p>
            <w:pPr>
              <w:spacing w:after="0"/>
              <w:rPr>
                <w:sz w:val="24"/>
                <w:szCs w:val="2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540,397</w:t>
            </w:r>
          </w:p>
        </w:tc>
        <w:tc>
          <w:tcPr>
            <w:tcW w:w="4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538,066</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net of income taxes</w:t>
            </w:r>
          </w:p>
        </w:tc>
        <w:tc>
          <w:tcPr>
            <w:tcW w:w="7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(40,000)</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440" w:type="dxa"/>
            <w:vAlign w:val="bottom"/>
          </w:tcPr>
          <w:p>
            <w:pPr>
              <w:spacing w:after="0"/>
              <w:rPr>
                <w:sz w:val="14"/>
                <w:szCs w:val="14"/>
                <w:color w:val="auto"/>
              </w:rPr>
            </w:pPr>
          </w:p>
        </w:tc>
        <w:tc>
          <w:tcPr>
            <w:tcW w:w="17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578,388</w:t>
            </w:r>
          </w:p>
        </w:tc>
        <w:tc>
          <w:tcPr>
            <w:tcW w:w="4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500,397</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538,066</w:t>
            </w:r>
          </w:p>
        </w:tc>
      </w:tr>
      <w:tr>
        <w:trPr>
          <w:trHeight w:val="167"/>
        </w:trPr>
        <w:tc>
          <w:tcPr>
            <w:tcW w:w="5440" w:type="dxa"/>
            <w:vAlign w:val="bottom"/>
          </w:tcPr>
          <w:p>
            <w:pPr>
              <w:spacing w:after="0"/>
              <w:rPr>
                <w:sz w:val="14"/>
                <w:szCs w:val="14"/>
                <w:color w:val="auto"/>
              </w:rPr>
            </w:pPr>
          </w:p>
        </w:tc>
        <w:tc>
          <w:tcPr>
            <w:tcW w:w="17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4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Income from continuing operations</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w:t>
            </w:r>
          </w:p>
        </w:tc>
        <w:tc>
          <w:tcPr>
            <w:tcW w:w="4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r>
      <w:tr>
        <w:trPr>
          <w:trHeight w:val="167"/>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w:t>
            </w:r>
          </w:p>
        </w:tc>
        <w:tc>
          <w:tcPr>
            <w:tcW w:w="4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r>
      <w:tr>
        <w:trPr>
          <w:trHeight w:val="167"/>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common shares - basic</w:t>
            </w:r>
          </w:p>
        </w:tc>
        <w:tc>
          <w:tcPr>
            <w:tcW w:w="7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532,241</w:t>
            </w:r>
          </w:p>
        </w:tc>
        <w:tc>
          <w:tcPr>
            <w:tcW w:w="4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550,647</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574,881</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Income from continuing operations</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w:t>
            </w:r>
          </w:p>
        </w:tc>
        <w:tc>
          <w:tcPr>
            <w:tcW w:w="4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w:t>
            </w:r>
          </w:p>
        </w:tc>
      </w:tr>
      <w:tr>
        <w:trPr>
          <w:trHeight w:val="167"/>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w:t>
            </w:r>
          </w:p>
        </w:tc>
        <w:tc>
          <w:tcPr>
            <w:tcW w:w="4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.90</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w:t>
            </w:r>
          </w:p>
        </w:tc>
      </w:tr>
      <w:tr>
        <w:trPr>
          <w:trHeight w:val="167"/>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common shares - diluted</w:t>
            </w:r>
          </w:p>
        </w:tc>
        <w:tc>
          <w:tcPr>
            <w:tcW w:w="74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537,740</w:t>
            </w:r>
          </w:p>
        </w:tc>
        <w:tc>
          <w:tcPr>
            <w:tcW w:w="4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556,268</w:t>
            </w:r>
          </w:p>
        </w:tc>
        <w:tc>
          <w:tcPr>
            <w:tcW w:w="4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578,392</w:t>
            </w:r>
          </w:p>
        </w:tc>
      </w:tr>
      <w:tr>
        <w:trPr>
          <w:trHeight w:val="334"/>
        </w:trPr>
        <w:tc>
          <w:tcPr>
            <w:tcW w:w="5440" w:type="dxa"/>
            <w:vAlign w:val="bottom"/>
          </w:tcPr>
          <w:p>
            <w:pPr>
              <w:spacing w:after="0"/>
              <w:rPr>
                <w:sz w:val="20"/>
                <w:szCs w:val="20"/>
                <w:color w:val="auto"/>
              </w:rPr>
            </w:pPr>
            <w:r>
              <w:rPr>
                <w:rFonts w:ascii="Courier New" w:cs="Courier New" w:eastAsia="Courier New" w:hAnsi="Courier New"/>
                <w:sz w:val="14"/>
                <w:szCs w:val="14"/>
                <w:color w:val="auto"/>
              </w:rPr>
              <w:t>Cash dividends declared per share</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w:t>
            </w:r>
          </w:p>
        </w:tc>
        <w:tc>
          <w:tcPr>
            <w:tcW w:w="440" w:type="dxa"/>
            <w:vAlign w:val="bottom"/>
          </w:tcPr>
          <w:p>
            <w:pPr>
              <w:ind w:left="3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.09</w:t>
            </w:r>
          </w:p>
        </w:tc>
        <w:tc>
          <w:tcPr>
            <w:tcW w:w="4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.08</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340"/>
          </w:cols>
          <w:pgMar w:left="220" w:top="620" w:right="1339" w:bottom="1440" w:gutter="0" w:footer="0" w:header="0"/>
        </w:sectPr>
      </w:pPr>
    </w:p>
    <w:bookmarkStart w:id="67" w:name="page68"/>
    <w:bookmarkEnd w:id="67"/>
    <w:p>
      <w:pPr>
        <w:ind w:left="252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8"/>
        </w:trPr>
        <w:tc>
          <w:tcPr>
            <w:tcW w:w="6480" w:type="dxa"/>
            <w:vAlign w:val="bottom"/>
          </w:tcPr>
          <w:p>
            <w:pPr>
              <w:spacing w:after="0"/>
              <w:rPr>
                <w:sz w:val="24"/>
                <w:szCs w:val="24"/>
                <w:color w:val="auto"/>
              </w:rPr>
            </w:pPr>
          </w:p>
        </w:tc>
        <w:tc>
          <w:tcPr>
            <w:tcW w:w="20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JANUARY 25,</w:t>
            </w:r>
          </w:p>
        </w:tc>
        <w:tc>
          <w:tcPr>
            <w:tcW w:w="142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January 26,</w:t>
            </w:r>
          </w:p>
        </w:tc>
      </w:tr>
      <w:tr>
        <w:trPr>
          <w:trHeight w:val="167"/>
        </w:trPr>
        <w:tc>
          <w:tcPr>
            <w:tcW w:w="64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680" w:type="dxa"/>
            <w:vAlign w:val="bottom"/>
          </w:tcPr>
          <w:p>
            <w:pPr>
              <w:spacing w:after="0"/>
              <w:rPr>
                <w:sz w:val="14"/>
                <w:szCs w:val="14"/>
                <w:color w:val="auto"/>
              </w:rPr>
            </w:pPr>
          </w:p>
        </w:tc>
        <w:tc>
          <w:tcPr>
            <w:tcW w:w="132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2003</w:t>
            </w:r>
          </w:p>
        </w:tc>
        <w:tc>
          <w:tcPr>
            <w:tcW w:w="4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6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spacing w:after="0"/>
              <w:rPr>
                <w:sz w:val="14"/>
                <w:szCs w:val="14"/>
                <w:color w:val="auto"/>
              </w:rPr>
            </w:pPr>
          </w:p>
        </w:tc>
        <w:tc>
          <w:tcPr>
            <w:tcW w:w="13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4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6480" w:type="dxa"/>
            <w:vAlign w:val="bottom"/>
          </w:tcPr>
          <w:p>
            <w:pPr>
              <w:ind w:left="180"/>
              <w:spacing w:after="0"/>
              <w:rPr>
                <w:sz w:val="20"/>
                <w:szCs w:val="20"/>
                <w:color w:val="auto"/>
              </w:rPr>
            </w:pPr>
            <w:r>
              <w:rPr>
                <w:rFonts w:ascii="Courier New" w:cs="Courier New" w:eastAsia="Courier New" w:hAnsi="Courier New"/>
                <w:sz w:val="14"/>
                <w:szCs w:val="14"/>
                <w:color w:val="auto"/>
              </w:rPr>
              <w:t>Current assets:</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6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492,330</w:t>
            </w:r>
          </w:p>
        </w:tc>
        <w:tc>
          <w:tcPr>
            <w:tcW w:w="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492,776</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Accounts receivable</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75,515</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69,209</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Merchandise inventories</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1,563,450</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1,456,976</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Prepaid expenses and other current assets</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100,284</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84,962</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Current deferred income taxes, net</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8,961</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12,003</w:t>
            </w:r>
          </w:p>
        </w:tc>
      </w:tr>
      <w:tr>
        <w:trPr>
          <w:trHeight w:val="167"/>
        </w:trPr>
        <w:tc>
          <w:tcPr>
            <w:tcW w:w="6480" w:type="dxa"/>
            <w:vAlign w:val="bottom"/>
          </w:tcPr>
          <w:p>
            <w:pPr>
              <w:spacing w:after="0"/>
              <w:rPr>
                <w:sz w:val="14"/>
                <w:szCs w:val="14"/>
                <w:color w:val="auto"/>
              </w:rPr>
            </w:pP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480" w:type="dxa"/>
            <w:vAlign w:val="bottom"/>
          </w:tcPr>
          <w:p>
            <w:pPr>
              <w:ind w:left="520"/>
              <w:spacing w:after="0"/>
              <w:rPr>
                <w:sz w:val="20"/>
                <w:szCs w:val="20"/>
                <w:color w:val="auto"/>
              </w:rPr>
            </w:pPr>
            <w:r>
              <w:rPr>
                <w:rFonts w:ascii="Courier New" w:cs="Courier New" w:eastAsia="Courier New" w:hAnsi="Courier New"/>
                <w:sz w:val="14"/>
                <w:szCs w:val="14"/>
                <w:color w:val="auto"/>
              </w:rPr>
              <w:t>Total current assets</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2,240,540</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2,115,926</w:t>
            </w:r>
          </w:p>
        </w:tc>
      </w:tr>
      <w:tr>
        <w:trPr>
          <w:trHeight w:val="167"/>
        </w:trPr>
        <w:tc>
          <w:tcPr>
            <w:tcW w:w="6480" w:type="dxa"/>
            <w:vAlign w:val="bottom"/>
          </w:tcPr>
          <w:p>
            <w:pPr>
              <w:spacing w:after="0"/>
              <w:rPr>
                <w:sz w:val="14"/>
                <w:szCs w:val="14"/>
                <w:color w:val="auto"/>
              </w:rPr>
            </w:pP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480" w:type="dxa"/>
            <w:vAlign w:val="bottom"/>
          </w:tcPr>
          <w:p>
            <w:pPr>
              <w:ind w:left="100"/>
              <w:spacing w:after="0"/>
              <w:rPr>
                <w:sz w:val="20"/>
                <w:szCs w:val="20"/>
                <w:color w:val="auto"/>
              </w:rPr>
            </w:pPr>
            <w:r>
              <w:rPr>
                <w:rFonts w:ascii="Courier New" w:cs="Courier New" w:eastAsia="Courier New" w:hAnsi="Courier New"/>
                <w:sz w:val="14"/>
                <w:szCs w:val="14"/>
                <w:color w:val="auto"/>
              </w:rPr>
              <w:t>Property at cost:</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Land and buildings</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230,810</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172,016</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Leasehold costs and improvements</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970,981</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853,733</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Furniture, fixtures and equipment</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1,409,123</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1,210,366</w:t>
            </w:r>
          </w:p>
        </w:tc>
      </w:tr>
      <w:tr>
        <w:trPr>
          <w:trHeight w:val="167"/>
        </w:trPr>
        <w:tc>
          <w:tcPr>
            <w:tcW w:w="6480" w:type="dxa"/>
            <w:vAlign w:val="bottom"/>
          </w:tcPr>
          <w:p>
            <w:pPr>
              <w:spacing w:after="0"/>
              <w:rPr>
                <w:sz w:val="14"/>
                <w:szCs w:val="14"/>
                <w:color w:val="auto"/>
              </w:rPr>
            </w:pP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2,610,914</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2,236,115</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1,232,189</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1,076,196</w:t>
            </w:r>
          </w:p>
        </w:tc>
      </w:tr>
      <w:tr>
        <w:trPr>
          <w:trHeight w:val="167"/>
        </w:trPr>
        <w:tc>
          <w:tcPr>
            <w:tcW w:w="6480" w:type="dxa"/>
            <w:vAlign w:val="bottom"/>
          </w:tcPr>
          <w:p>
            <w:pPr>
              <w:spacing w:after="0"/>
              <w:rPr>
                <w:sz w:val="14"/>
                <w:szCs w:val="14"/>
                <w:color w:val="auto"/>
              </w:rPr>
            </w:pP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1,378,725</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1,159,919</w:t>
            </w:r>
          </w:p>
        </w:tc>
      </w:tr>
      <w:tr>
        <w:trPr>
          <w:trHeight w:val="167"/>
        </w:trPr>
        <w:tc>
          <w:tcPr>
            <w:tcW w:w="6480" w:type="dxa"/>
            <w:vAlign w:val="bottom"/>
          </w:tcPr>
          <w:p>
            <w:pPr>
              <w:spacing w:after="0"/>
              <w:rPr>
                <w:sz w:val="14"/>
                <w:szCs w:val="14"/>
                <w:color w:val="auto"/>
              </w:rPr>
            </w:pP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480" w:type="dxa"/>
            <w:vAlign w:val="bottom"/>
          </w:tcPr>
          <w:p>
            <w:pPr>
              <w:ind w:left="100"/>
              <w:spacing w:after="0"/>
              <w:rPr>
                <w:sz w:val="20"/>
                <w:szCs w:val="20"/>
                <w:color w:val="auto"/>
              </w:rPr>
            </w:pPr>
            <w:r>
              <w:rPr>
                <w:rFonts w:ascii="Courier New" w:cs="Courier New" w:eastAsia="Courier New" w:hAnsi="Courier New"/>
                <w:sz w:val="14"/>
                <w:szCs w:val="14"/>
                <w:color w:val="auto"/>
              </w:rPr>
              <w:t>Property under capital lease, net of accumulated</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amortization of $3,723 and $1,489, respectively</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28,849</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31,083</w:t>
            </w:r>
          </w:p>
        </w:tc>
      </w:tr>
      <w:tr>
        <w:trPr>
          <w:trHeight w:val="334"/>
        </w:trPr>
        <w:tc>
          <w:tcPr>
            <w:tcW w:w="64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680" w:type="dxa"/>
            <w:vAlign w:val="bottom"/>
          </w:tcPr>
          <w:p>
            <w:pPr>
              <w:spacing w:after="0"/>
              <w:rPr>
                <w:sz w:val="24"/>
                <w:szCs w:val="2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113,192</w:t>
            </w:r>
          </w:p>
        </w:tc>
        <w:tc>
          <w:tcPr>
            <w:tcW w:w="42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83,139</w:t>
            </w:r>
          </w:p>
        </w:tc>
      </w:tr>
      <w:tr>
        <w:trPr>
          <w:trHeight w:val="167"/>
        </w:trPr>
        <w:tc>
          <w:tcPr>
            <w:tcW w:w="6480" w:type="dxa"/>
            <w:vAlign w:val="bottom"/>
          </w:tcPr>
          <w:p>
            <w:pPr>
              <w:spacing w:after="0"/>
              <w:rPr>
                <w:sz w:val="20"/>
                <w:szCs w:val="20"/>
                <w:color w:val="auto"/>
              </w:rPr>
            </w:pPr>
            <w:r>
              <w:rPr>
                <w:rFonts w:ascii="Courier New" w:cs="Courier New" w:eastAsia="Courier New" w:hAnsi="Courier New"/>
                <w:sz w:val="14"/>
                <w:szCs w:val="14"/>
                <w:color w:val="auto"/>
              </w:rPr>
              <w:t>Non-current deferred income taxes, net</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26,575</w:t>
            </w:r>
          </w:p>
        </w:tc>
      </w:tr>
      <w:tr>
        <w:trPr>
          <w:trHeight w:val="167"/>
        </w:trPr>
        <w:tc>
          <w:tcPr>
            <w:tcW w:w="6480" w:type="dxa"/>
            <w:vAlign w:val="bottom"/>
          </w:tcPr>
          <w:p>
            <w:pPr>
              <w:spacing w:after="0"/>
              <w:rPr>
                <w:sz w:val="20"/>
                <w:szCs w:val="20"/>
                <w:color w:val="auto"/>
              </w:rPr>
            </w:pPr>
            <w:r>
              <w:rPr>
                <w:rFonts w:ascii="Courier New" w:cs="Courier New" w:eastAsia="Courier New" w:hAnsi="Courier New"/>
                <w:sz w:val="14"/>
                <w:szCs w:val="14"/>
                <w:color w:val="auto"/>
              </w:rPr>
              <w:t>Goodwill and tradename, net of amortization</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179,183</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179,101</w:t>
            </w:r>
          </w:p>
        </w:tc>
      </w:tr>
      <w:tr>
        <w:trPr>
          <w:trHeight w:val="167"/>
        </w:trPr>
        <w:tc>
          <w:tcPr>
            <w:tcW w:w="6480" w:type="dxa"/>
            <w:vAlign w:val="bottom"/>
          </w:tcPr>
          <w:p>
            <w:pPr>
              <w:spacing w:after="0"/>
              <w:rPr>
                <w:sz w:val="14"/>
                <w:szCs w:val="14"/>
                <w:color w:val="auto"/>
              </w:rPr>
            </w:pP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480" w:type="dxa"/>
            <w:vAlign w:val="bottom"/>
          </w:tcPr>
          <w:p>
            <w:pPr>
              <w:ind w:left="520"/>
              <w:spacing w:after="0"/>
              <w:rPr>
                <w:sz w:val="20"/>
                <w:szCs w:val="20"/>
                <w:color w:val="auto"/>
              </w:rPr>
            </w:pPr>
            <w:r>
              <w:rPr>
                <w:rFonts w:ascii="Courier New" w:cs="Courier New" w:eastAsia="Courier New" w:hAnsi="Courier New"/>
                <w:sz w:val="14"/>
                <w:szCs w:val="14"/>
                <w:color w:val="auto"/>
              </w:rPr>
              <w:t>Total Assets</w:t>
            </w: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$ 3,940,489</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$ 3,595,743</w:t>
            </w:r>
          </w:p>
        </w:tc>
      </w:tr>
      <w:tr>
        <w:trPr>
          <w:trHeight w:val="167"/>
        </w:trPr>
        <w:tc>
          <w:tcPr>
            <w:tcW w:w="6480" w:type="dxa"/>
            <w:vAlign w:val="bottom"/>
          </w:tcPr>
          <w:p>
            <w:pPr>
              <w:spacing w:after="0"/>
              <w:rPr>
                <w:sz w:val="14"/>
                <w:szCs w:val="14"/>
                <w:color w:val="auto"/>
              </w:rPr>
            </w:pP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48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480" w:type="dxa"/>
            <w:vAlign w:val="bottom"/>
          </w:tcPr>
          <w:p>
            <w:pPr>
              <w:ind w:left="100"/>
              <w:spacing w:after="0"/>
              <w:rPr>
                <w:sz w:val="20"/>
                <w:szCs w:val="20"/>
                <w:color w:val="auto"/>
              </w:rPr>
            </w:pPr>
            <w:r>
              <w:rPr>
                <w:rFonts w:ascii="Courier New" w:cs="Courier New" w:eastAsia="Courier New" w:hAnsi="Courier New"/>
                <w:sz w:val="14"/>
                <w:szCs w:val="14"/>
                <w:color w:val="auto"/>
              </w:rPr>
              <w:t>Current liabilities:</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Current installments of long-term debt</w:t>
            </w:r>
          </w:p>
        </w:tc>
        <w:tc>
          <w:tcPr>
            <w:tcW w:w="6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15,000</w:t>
            </w:r>
          </w:p>
        </w:tc>
        <w:tc>
          <w:tcPr>
            <w:tcW w:w="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Obligation under capital lease due within one year</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1,348</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1,244</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817,633</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761,546</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669,732</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510,270</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Federal, foreign and state income taxes payable</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62,632</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41,950</w:t>
            </w:r>
          </w:p>
        </w:tc>
      </w:tr>
      <w:tr>
        <w:trPr>
          <w:trHeight w:val="167"/>
        </w:trPr>
        <w:tc>
          <w:tcPr>
            <w:tcW w:w="6480" w:type="dxa"/>
            <w:vAlign w:val="bottom"/>
          </w:tcPr>
          <w:p>
            <w:pPr>
              <w:spacing w:after="0"/>
              <w:rPr>
                <w:sz w:val="14"/>
                <w:szCs w:val="14"/>
                <w:color w:val="auto"/>
              </w:rPr>
            </w:pP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480" w:type="dxa"/>
            <w:vAlign w:val="bottom"/>
          </w:tcPr>
          <w:p>
            <w:pPr>
              <w:ind w:left="520"/>
              <w:spacing w:after="0"/>
              <w:rPr>
                <w:sz w:val="20"/>
                <w:szCs w:val="20"/>
                <w:color w:val="auto"/>
              </w:rPr>
            </w:pPr>
            <w:r>
              <w:rPr>
                <w:rFonts w:ascii="Courier New" w:cs="Courier New" w:eastAsia="Courier New" w:hAnsi="Courier New"/>
                <w:sz w:val="14"/>
                <w:szCs w:val="14"/>
                <w:color w:val="auto"/>
              </w:rPr>
              <w:t>Total current liabilities</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1,566,345</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1,315,010</w:t>
            </w:r>
          </w:p>
        </w:tc>
      </w:tr>
      <w:tr>
        <w:trPr>
          <w:trHeight w:val="167"/>
        </w:trPr>
        <w:tc>
          <w:tcPr>
            <w:tcW w:w="6480" w:type="dxa"/>
            <w:vAlign w:val="bottom"/>
          </w:tcPr>
          <w:p>
            <w:pPr>
              <w:spacing w:after="0"/>
              <w:rPr>
                <w:sz w:val="14"/>
                <w:szCs w:val="14"/>
                <w:color w:val="auto"/>
              </w:rPr>
            </w:pP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480" w:type="dxa"/>
            <w:vAlign w:val="bottom"/>
          </w:tcPr>
          <w:p>
            <w:pPr>
              <w:ind w:left="100"/>
              <w:spacing w:after="0"/>
              <w:rPr>
                <w:sz w:val="20"/>
                <w:szCs w:val="20"/>
                <w:color w:val="auto"/>
              </w:rPr>
            </w:pPr>
            <w:r>
              <w:rPr>
                <w:rFonts w:ascii="Courier New" w:cs="Courier New" w:eastAsia="Courier New" w:hAnsi="Courier New"/>
                <w:sz w:val="14"/>
                <w:szCs w:val="14"/>
                <w:color w:val="auto"/>
              </w:rPr>
              <w:t>Other long-term liabilities</w:t>
            </w:r>
          </w:p>
        </w:tc>
        <w:tc>
          <w:tcPr>
            <w:tcW w:w="680" w:type="dxa"/>
            <w:vAlign w:val="bottom"/>
          </w:tcPr>
          <w:p>
            <w:pPr>
              <w:spacing w:after="0"/>
              <w:rPr>
                <w:sz w:val="24"/>
                <w:szCs w:val="2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229,264</w:t>
            </w:r>
          </w:p>
        </w:tc>
        <w:tc>
          <w:tcPr>
            <w:tcW w:w="42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237,656</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Non-current deferred income taxes, net</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41,969</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Obligation under capital lease, less portion due within one year</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28,988</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30,336</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Long-term debt, exclusive of current installments</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664,776</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672,043</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Commitments and contingencies</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4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Common stock, authorized 1,200,000,000 shares, par value $1,</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480" w:type="dxa"/>
            <w:vAlign w:val="bottom"/>
          </w:tcPr>
          <w:p>
            <w:pPr>
              <w:ind w:left="520"/>
              <w:spacing w:after="0"/>
              <w:rPr>
                <w:sz w:val="20"/>
                <w:szCs w:val="20"/>
                <w:color w:val="auto"/>
              </w:rPr>
            </w:pPr>
            <w:r>
              <w:rPr>
                <w:rFonts w:ascii="Courier New" w:cs="Courier New" w:eastAsia="Courier New" w:hAnsi="Courier New"/>
                <w:sz w:val="14"/>
                <w:szCs w:val="14"/>
                <w:color w:val="auto"/>
              </w:rPr>
              <w:t>issued and outstanding 520,515,041 and 543,075,306</w:t>
            </w:r>
          </w:p>
        </w:tc>
        <w:tc>
          <w:tcPr>
            <w:tcW w:w="6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6480" w:type="dxa"/>
            <w:vAlign w:val="bottom"/>
          </w:tcPr>
          <w:p>
            <w:pPr>
              <w:ind w:left="520"/>
              <w:spacing w:after="0"/>
              <w:rPr>
                <w:sz w:val="20"/>
                <w:szCs w:val="20"/>
                <w:color w:val="auto"/>
              </w:rPr>
            </w:pPr>
            <w:r>
              <w:rPr>
                <w:rFonts w:ascii="Courier New" w:cs="Courier New" w:eastAsia="Courier New" w:hAnsi="Courier New"/>
                <w:sz w:val="14"/>
                <w:szCs w:val="14"/>
                <w:color w:val="auto"/>
              </w:rPr>
              <w:t>(post-split) shares, respectively</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520,515</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271,538</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Additional paid-in capital</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Accumulated other comprehensive income (loss)</w:t>
            </w:r>
          </w:p>
        </w:tc>
        <w:tc>
          <w:tcPr>
            <w:tcW w:w="680" w:type="dxa"/>
            <w:vAlign w:val="bottom"/>
          </w:tcPr>
          <w:p>
            <w:pPr>
              <w:spacing w:after="0"/>
              <w:rPr>
                <w:sz w:val="14"/>
                <w:szCs w:val="14"/>
                <w:color w:val="auto"/>
              </w:rPr>
            </w:pPr>
          </w:p>
        </w:tc>
        <w:tc>
          <w:tcPr>
            <w:tcW w:w="13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(3,164)</w:t>
            </w:r>
          </w:p>
        </w:tc>
        <w:tc>
          <w:tcPr>
            <w:tcW w:w="4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(6,755)</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Unearned stock compensation</w:t>
            </w:r>
          </w:p>
        </w:tc>
        <w:tc>
          <w:tcPr>
            <w:tcW w:w="680" w:type="dxa"/>
            <w:vAlign w:val="bottom"/>
          </w:tcPr>
          <w:p>
            <w:pPr>
              <w:spacing w:after="0"/>
              <w:rPr>
                <w:sz w:val="14"/>
                <w:szCs w:val="14"/>
                <w:color w:val="auto"/>
              </w:rPr>
            </w:pPr>
          </w:p>
        </w:tc>
        <w:tc>
          <w:tcPr>
            <w:tcW w:w="13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(7,652)</w:t>
            </w:r>
          </w:p>
        </w:tc>
        <w:tc>
          <w:tcPr>
            <w:tcW w:w="4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(4,654)</w:t>
            </w:r>
          </w:p>
        </w:tc>
      </w:tr>
      <w:tr>
        <w:trPr>
          <w:trHeight w:val="167"/>
        </w:trPr>
        <w:tc>
          <w:tcPr>
            <w:tcW w:w="6480" w:type="dxa"/>
            <w:vAlign w:val="bottom"/>
          </w:tcPr>
          <w:p>
            <w:pPr>
              <w:ind w:left="360"/>
              <w:spacing w:after="0"/>
              <w:rPr>
                <w:sz w:val="20"/>
                <w:szCs w:val="20"/>
                <w:color w:val="auto"/>
              </w:rPr>
            </w:pPr>
            <w:r>
              <w:rPr>
                <w:rFonts w:ascii="Courier New" w:cs="Courier New" w:eastAsia="Courier New" w:hAnsi="Courier New"/>
                <w:sz w:val="14"/>
                <w:szCs w:val="14"/>
                <w:color w:val="auto"/>
              </w:rPr>
              <w:t>Retained earnings</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899,448</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1,080,569</w:t>
            </w:r>
          </w:p>
        </w:tc>
      </w:tr>
      <w:tr>
        <w:trPr>
          <w:trHeight w:val="167"/>
        </w:trPr>
        <w:tc>
          <w:tcPr>
            <w:tcW w:w="6480" w:type="dxa"/>
            <w:vAlign w:val="bottom"/>
          </w:tcPr>
          <w:p>
            <w:pPr>
              <w:spacing w:after="0"/>
              <w:rPr>
                <w:sz w:val="14"/>
                <w:szCs w:val="14"/>
                <w:color w:val="auto"/>
              </w:rPr>
            </w:pP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480" w:type="dxa"/>
            <w:vAlign w:val="bottom"/>
          </w:tcPr>
          <w:p>
            <w:pPr>
              <w:ind w:left="520"/>
              <w:spacing w:after="0"/>
              <w:rPr>
                <w:sz w:val="20"/>
                <w:szCs w:val="20"/>
                <w:color w:val="auto"/>
              </w:rPr>
            </w:pPr>
            <w:r>
              <w:rPr>
                <w:rFonts w:ascii="Courier New" w:cs="Courier New" w:eastAsia="Courier New" w:hAnsi="Courier New"/>
                <w:sz w:val="14"/>
                <w:szCs w:val="14"/>
                <w:color w:val="auto"/>
              </w:rPr>
              <w:t>Total shareholders' equity</w:t>
            </w:r>
          </w:p>
        </w:tc>
        <w:tc>
          <w:tcPr>
            <w:tcW w:w="680" w:type="dxa"/>
            <w:vAlign w:val="bottom"/>
          </w:tcPr>
          <w:p>
            <w:pPr>
              <w:spacing w:after="0"/>
              <w:rPr>
                <w:sz w:val="14"/>
                <w:szCs w:val="14"/>
                <w:color w:val="auto"/>
              </w:rPr>
            </w:pPr>
          </w:p>
        </w:tc>
        <w:tc>
          <w:tcPr>
            <w:tcW w:w="1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1,409,147</w:t>
            </w:r>
          </w:p>
        </w:tc>
        <w:tc>
          <w:tcPr>
            <w:tcW w:w="4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1,340,698</w:t>
            </w:r>
          </w:p>
        </w:tc>
      </w:tr>
      <w:tr>
        <w:trPr>
          <w:trHeight w:val="167"/>
        </w:trPr>
        <w:tc>
          <w:tcPr>
            <w:tcW w:w="6480" w:type="dxa"/>
            <w:vAlign w:val="bottom"/>
          </w:tcPr>
          <w:p>
            <w:pPr>
              <w:spacing w:after="0"/>
              <w:rPr>
                <w:sz w:val="14"/>
                <w:szCs w:val="14"/>
                <w:color w:val="auto"/>
              </w:rPr>
            </w:pP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480" w:type="dxa"/>
            <w:vAlign w:val="bottom"/>
          </w:tcPr>
          <w:p>
            <w:pPr>
              <w:ind w:left="52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$ 3,940,489</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$ 3,595,743</w:t>
            </w:r>
          </w:p>
        </w:tc>
      </w:tr>
      <w:tr>
        <w:trPr>
          <w:trHeight w:val="167"/>
        </w:trPr>
        <w:tc>
          <w:tcPr>
            <w:tcW w:w="6480" w:type="dxa"/>
            <w:vAlign w:val="bottom"/>
          </w:tcPr>
          <w:p>
            <w:pPr>
              <w:spacing w:after="0"/>
              <w:rPr>
                <w:sz w:val="14"/>
                <w:szCs w:val="14"/>
                <w:color w:val="auto"/>
              </w:rPr>
            </w:pPr>
          </w:p>
        </w:tc>
        <w:tc>
          <w:tcPr>
            <w:tcW w:w="20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68" w:name="page69"/>
    <w:bookmarkEnd w:id="68"/>
    <w:p>
      <w:pPr>
        <w:ind w:left="252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8"/>
        </w:trPr>
        <w:tc>
          <w:tcPr>
            <w:tcW w:w="9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Fiscal Year Ended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9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56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JANUARY 25,</w:t>
            </w:r>
          </w:p>
        </w:tc>
        <w:tc>
          <w:tcPr>
            <w:tcW w:w="17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January 26,</w:t>
            </w:r>
          </w:p>
        </w:tc>
        <w:tc>
          <w:tcPr>
            <w:tcW w:w="126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January 27,</w:t>
            </w:r>
          </w:p>
        </w:tc>
      </w:tr>
      <w:tr>
        <w:trPr>
          <w:trHeight w:val="167"/>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In Thousands</w:t>
            </w:r>
          </w:p>
        </w:tc>
        <w:tc>
          <w:tcPr>
            <w:tcW w:w="420" w:type="dxa"/>
            <w:vAlign w:val="bottom"/>
          </w:tcPr>
          <w:p>
            <w:pPr>
              <w:spacing w:after="0"/>
              <w:rPr>
                <w:sz w:val="14"/>
                <w:szCs w:val="14"/>
                <w:color w:val="auto"/>
              </w:rPr>
            </w:pPr>
          </w:p>
        </w:tc>
        <w:tc>
          <w:tcPr>
            <w:tcW w:w="11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2003</w:t>
            </w:r>
          </w:p>
        </w:tc>
        <w:tc>
          <w:tcPr>
            <w:tcW w:w="340" w:type="dxa"/>
            <w:vAlign w:val="bottom"/>
          </w:tcPr>
          <w:p>
            <w:pPr>
              <w:spacing w:after="0"/>
              <w:rPr>
                <w:sz w:val="14"/>
                <w:szCs w:val="14"/>
                <w:color w:val="auto"/>
              </w:rPr>
            </w:pPr>
          </w:p>
        </w:tc>
        <w:tc>
          <w:tcPr>
            <w:tcW w:w="1400" w:type="dxa"/>
            <w:vAlign w:val="bottom"/>
          </w:tcPr>
          <w:p>
            <w:pPr>
              <w:jc w:val="right"/>
              <w:ind w:right="768"/>
              <w:spacing w:after="0"/>
              <w:rPr>
                <w:sz w:val="20"/>
                <w:szCs w:val="20"/>
                <w:color w:val="auto"/>
              </w:rPr>
            </w:pPr>
            <w:r>
              <w:rPr>
                <w:rFonts w:ascii="Courier New" w:cs="Courier New" w:eastAsia="Courier New" w:hAnsi="Courier New"/>
                <w:sz w:val="14"/>
                <w:szCs w:val="14"/>
                <w:color w:val="auto"/>
              </w:rPr>
              <w:t>2002</w:t>
            </w:r>
          </w:p>
        </w:tc>
        <w:tc>
          <w:tcPr>
            <w:tcW w:w="260" w:type="dxa"/>
            <w:vAlign w:val="bottom"/>
          </w:tcPr>
          <w:p>
            <w:pPr>
              <w:spacing w:after="0"/>
              <w:rPr>
                <w:sz w:val="14"/>
                <w:szCs w:val="14"/>
                <w:color w:val="auto"/>
              </w:rPr>
            </w:pPr>
          </w:p>
        </w:tc>
        <w:tc>
          <w:tcPr>
            <w:tcW w:w="10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spacing w:after="0"/>
              <w:rPr>
                <w:sz w:val="14"/>
                <w:szCs w:val="14"/>
                <w:color w:val="auto"/>
              </w:rPr>
            </w:pPr>
          </w:p>
        </w:tc>
        <w:tc>
          <w:tcPr>
            <w:tcW w:w="11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92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from operating activities:</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5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w:t>
            </w:r>
          </w:p>
        </w:tc>
        <w:tc>
          <w:tcPr>
            <w:tcW w:w="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578,388</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500,397</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538,066</w:t>
            </w:r>
          </w:p>
        </w:tc>
      </w:tr>
      <w:tr>
        <w:trPr>
          <w:trHeight w:val="167"/>
        </w:trPr>
        <w:tc>
          <w:tcPr>
            <w:tcW w:w="5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7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provided by operating activities:</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7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Loss from discontinued operations, net of income taxes</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40,000</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Depreciation and amortization</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207,876</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204,081</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175,781</w:t>
            </w:r>
          </w:p>
        </w:tc>
      </w:tr>
      <w:tr>
        <w:trPr>
          <w:trHeight w:val="167"/>
        </w:trPr>
        <w:tc>
          <w:tcPr>
            <w:tcW w:w="57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Property disposals and impairments</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8,699</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6,832</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4,559</w:t>
            </w:r>
          </w:p>
        </w:tc>
      </w:tr>
      <w:tr>
        <w:trPr>
          <w:trHeight w:val="167"/>
        </w:trPr>
        <w:tc>
          <w:tcPr>
            <w:tcW w:w="920" w:type="dxa"/>
            <w:vAlign w:val="bottom"/>
          </w:tcPr>
          <w:p>
            <w:pPr>
              <w:ind w:left="620"/>
              <w:spacing w:after="0"/>
              <w:rPr>
                <w:sz w:val="20"/>
                <w:szCs w:val="20"/>
                <w:color w:val="auto"/>
              </w:rPr>
            </w:pPr>
            <w:r>
              <w:rPr>
                <w:rFonts w:ascii="Courier New" w:cs="Courier New" w:eastAsia="Courier New" w:hAnsi="Courier New"/>
                <w:sz w:val="14"/>
                <w:szCs w:val="14"/>
                <w:color w:val="auto"/>
              </w:rPr>
              <w:t>Tax</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benefit of employee stock options</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11,767</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30,644</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15,941</w:t>
            </w:r>
          </w:p>
        </w:tc>
      </w:tr>
      <w:tr>
        <w:trPr>
          <w:trHeight w:val="167"/>
        </w:trPr>
        <w:tc>
          <w:tcPr>
            <w:tcW w:w="57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Deferred income tax provision (benefit)</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72,138</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35,230</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(24,235)</w:t>
            </w:r>
          </w:p>
        </w:tc>
      </w:tr>
      <w:tr>
        <w:trPr>
          <w:trHeight w:val="167"/>
        </w:trPr>
        <w:tc>
          <w:tcPr>
            <w:tcW w:w="57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Changes in assets and liabilities:</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7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(Increase) in accounts receivable</w:t>
            </w:r>
          </w:p>
        </w:tc>
        <w:tc>
          <w:tcPr>
            <w:tcW w:w="42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(5,983)</w:t>
            </w:r>
          </w:p>
        </w:tc>
        <w:tc>
          <w:tcPr>
            <w:tcW w:w="3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(7,615)</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(6,501)</w:t>
            </w:r>
          </w:p>
        </w:tc>
      </w:tr>
      <w:tr>
        <w:trPr>
          <w:trHeight w:val="167"/>
        </w:trPr>
        <w:tc>
          <w:tcPr>
            <w:tcW w:w="57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(Increase) in merchandise inventories</w:t>
            </w:r>
          </w:p>
        </w:tc>
        <w:tc>
          <w:tcPr>
            <w:tcW w:w="42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(85,644)</w:t>
            </w:r>
          </w:p>
        </w:tc>
        <w:tc>
          <w:tcPr>
            <w:tcW w:w="3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(13,292)</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(232,031)</w:t>
            </w:r>
          </w:p>
        </w:tc>
      </w:tr>
      <w:tr>
        <w:trPr>
          <w:trHeight w:val="167"/>
        </w:trPr>
        <w:tc>
          <w:tcPr>
            <w:tcW w:w="57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(Increase) in prepaid expenses and other current assets</w:t>
            </w:r>
          </w:p>
        </w:tc>
        <w:tc>
          <w:tcPr>
            <w:tcW w:w="42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(22,208)</w:t>
            </w:r>
          </w:p>
        </w:tc>
        <w:tc>
          <w:tcPr>
            <w:tcW w:w="3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(1,273)</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(12,083)</w:t>
            </w:r>
          </w:p>
        </w:tc>
      </w:tr>
      <w:tr>
        <w:trPr>
          <w:trHeight w:val="167"/>
        </w:trPr>
        <w:tc>
          <w:tcPr>
            <w:tcW w:w="57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Increase in accounts payable</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45,559</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120,770</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34,158</w:t>
            </w:r>
          </w:p>
        </w:tc>
      </w:tr>
      <w:tr>
        <w:trPr>
          <w:trHeight w:val="167"/>
        </w:trPr>
        <w:tc>
          <w:tcPr>
            <w:tcW w:w="57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Increase in accrued expenses and other liabilities</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112,781</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16,116</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69,726</w:t>
            </w:r>
          </w:p>
        </w:tc>
      </w:tr>
      <w:tr>
        <w:trPr>
          <w:trHeight w:val="167"/>
        </w:trPr>
        <w:tc>
          <w:tcPr>
            <w:tcW w:w="57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Increase (decrease) in income taxes payable</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20,334</w:t>
            </w:r>
          </w:p>
        </w:tc>
        <w:tc>
          <w:tcPr>
            <w:tcW w:w="3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(592)</w:t>
            </w:r>
          </w:p>
        </w:tc>
      </w:tr>
      <w:tr>
        <w:trPr>
          <w:trHeight w:val="167"/>
        </w:trPr>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net</w:t>
            </w:r>
          </w:p>
        </w:tc>
        <w:tc>
          <w:tcPr>
            <w:tcW w:w="42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(35,147)</w:t>
            </w:r>
          </w:p>
        </w:tc>
        <w:tc>
          <w:tcPr>
            <w:tcW w:w="3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(19,382)</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(6,026)</w:t>
            </w:r>
          </w:p>
        </w:tc>
      </w:tr>
      <w:tr>
        <w:trPr>
          <w:trHeight w:val="167"/>
        </w:trPr>
        <w:tc>
          <w:tcPr>
            <w:tcW w:w="9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Net cash</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provided by operating activities</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908,560</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912,446</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556,763</w:t>
            </w:r>
          </w:p>
        </w:tc>
      </w:tr>
      <w:tr>
        <w:trPr>
          <w:trHeight w:val="167"/>
        </w:trPr>
        <w:tc>
          <w:tcPr>
            <w:tcW w:w="9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from investing activities:</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Property</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additions</w:t>
            </w:r>
          </w:p>
        </w:tc>
        <w:tc>
          <w:tcPr>
            <w:tcW w:w="42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(396,724)</w:t>
            </w:r>
          </w:p>
        </w:tc>
        <w:tc>
          <w:tcPr>
            <w:tcW w:w="3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(449,444)</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(257,005)</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Issuance</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of note receivable</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(5,527)</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(23,100)</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from repayments on note receivable</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564</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125</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from sale of other assets</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9,183</w:t>
            </w:r>
          </w:p>
        </w:tc>
      </w:tr>
      <w:tr>
        <w:trPr>
          <w:trHeight w:val="167"/>
        </w:trPr>
        <w:tc>
          <w:tcPr>
            <w:tcW w:w="9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Net cash</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(used in) investing activities</w:t>
            </w:r>
          </w:p>
        </w:tc>
        <w:tc>
          <w:tcPr>
            <w:tcW w:w="42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(396,160)</w:t>
            </w:r>
          </w:p>
        </w:tc>
        <w:tc>
          <w:tcPr>
            <w:tcW w:w="3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(454,846)</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(270,922)</w:t>
            </w:r>
          </w:p>
        </w:tc>
      </w:tr>
      <w:tr>
        <w:trPr>
          <w:trHeight w:val="167"/>
        </w:trPr>
        <w:tc>
          <w:tcPr>
            <w:tcW w:w="9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from financing activities:</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from borrowings of short-term debt, net</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39,000</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from borrowings of long-term debt</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347,579</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Principal payments on long-term debt</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(73)</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(100,203)</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Payments</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on short-term debt, net</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(39,000)</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Payments</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on capital lease obligation</w:t>
            </w:r>
          </w:p>
        </w:tc>
        <w:tc>
          <w:tcPr>
            <w:tcW w:w="42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(1,244)</w:t>
            </w:r>
          </w:p>
        </w:tc>
        <w:tc>
          <w:tcPr>
            <w:tcW w:w="3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(992)</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Proceeds</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from sale and issuance of common stock, net</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33,916</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65,202</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26,101</w:t>
            </w:r>
          </w:p>
        </w:tc>
      </w:tr>
      <w:tr>
        <w:trPr>
          <w:trHeight w:val="167"/>
        </w:trPr>
        <w:tc>
          <w:tcPr>
            <w:tcW w:w="5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payments for repurchase of common stock</w:t>
            </w:r>
          </w:p>
        </w:tc>
        <w:tc>
          <w:tcPr>
            <w:tcW w:w="42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(481,734)</w:t>
            </w:r>
          </w:p>
        </w:tc>
        <w:tc>
          <w:tcPr>
            <w:tcW w:w="3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(424,163)</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(444,105)</w:t>
            </w:r>
          </w:p>
        </w:tc>
      </w:tr>
      <w:tr>
        <w:trPr>
          <w:trHeight w:val="167"/>
        </w:trPr>
        <w:tc>
          <w:tcPr>
            <w:tcW w:w="5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Cash dividends paid</w:t>
            </w:r>
          </w:p>
        </w:tc>
        <w:tc>
          <w:tcPr>
            <w:tcW w:w="42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(60,025)</w:t>
            </w:r>
          </w:p>
        </w:tc>
        <w:tc>
          <w:tcPr>
            <w:tcW w:w="3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(48,290)</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(44,693)</w:t>
            </w:r>
          </w:p>
        </w:tc>
      </w:tr>
      <w:tr>
        <w:trPr>
          <w:trHeight w:val="167"/>
        </w:trPr>
        <w:tc>
          <w:tcPr>
            <w:tcW w:w="9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Net cash</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(used in) financing activities</w:t>
            </w:r>
          </w:p>
        </w:tc>
        <w:tc>
          <w:tcPr>
            <w:tcW w:w="42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(509,087)</w:t>
            </w:r>
          </w:p>
        </w:tc>
        <w:tc>
          <w:tcPr>
            <w:tcW w:w="340" w:type="dxa"/>
            <w:vAlign w:val="bottom"/>
          </w:tcPr>
          <w:p>
            <w:pPr>
              <w:spacing w:after="0"/>
              <w:rPr>
                <w:sz w:val="14"/>
                <w:szCs w:val="14"/>
                <w:color w:val="auto"/>
              </w:rPr>
            </w:pPr>
          </w:p>
        </w:tc>
        <w:tc>
          <w:tcPr>
            <w:tcW w:w="1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(99,737)</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(523,900)</w:t>
            </w:r>
          </w:p>
        </w:tc>
      </w:tr>
      <w:tr>
        <w:trPr>
          <w:trHeight w:val="167"/>
        </w:trPr>
        <w:tc>
          <w:tcPr>
            <w:tcW w:w="9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5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Effect of exchange rate changes on cash</w:t>
            </w:r>
          </w:p>
        </w:tc>
        <w:tc>
          <w:tcPr>
            <w:tcW w:w="420" w:type="dxa"/>
            <w:vAlign w:val="bottom"/>
          </w:tcPr>
          <w:p>
            <w:pPr>
              <w:spacing w:after="0"/>
              <w:rPr>
                <w:sz w:val="24"/>
                <w:szCs w:val="2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(3,759)</w:t>
            </w:r>
          </w:p>
        </w:tc>
        <w:tc>
          <w:tcPr>
            <w:tcW w:w="340" w:type="dxa"/>
            <w:vAlign w:val="bottom"/>
          </w:tcPr>
          <w:p>
            <w:pPr>
              <w:spacing w:after="0"/>
              <w:rPr>
                <w:sz w:val="24"/>
                <w:szCs w:val="2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2,378</w:t>
            </w:r>
          </w:p>
        </w:tc>
        <w:tc>
          <w:tcPr>
            <w:tcW w:w="26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(1,165)</w:t>
            </w:r>
          </w:p>
        </w:tc>
      </w:tr>
      <w:tr>
        <w:trPr>
          <w:trHeight w:val="167"/>
        </w:trPr>
        <w:tc>
          <w:tcPr>
            <w:tcW w:w="9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42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(446)</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360,241</w:t>
            </w:r>
          </w:p>
        </w:tc>
        <w:tc>
          <w:tcPr>
            <w:tcW w:w="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(239,224)</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Cash and</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 at beginning of year</w:t>
            </w:r>
          </w:p>
        </w:tc>
        <w:tc>
          <w:tcPr>
            <w:tcW w:w="420" w:type="dxa"/>
            <w:vAlign w:val="bottom"/>
          </w:tcPr>
          <w:p>
            <w:pPr>
              <w:spacing w:after="0"/>
              <w:rPr>
                <w:sz w:val="14"/>
                <w:szCs w:val="14"/>
                <w:color w:val="auto"/>
              </w:rPr>
            </w:pP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492,776</w:t>
            </w:r>
          </w:p>
        </w:tc>
        <w:tc>
          <w:tcPr>
            <w:tcW w:w="340" w:type="dxa"/>
            <w:vAlign w:val="bottom"/>
          </w:tcPr>
          <w:p>
            <w:pPr>
              <w:spacing w:after="0"/>
              <w:rPr>
                <w:sz w:val="14"/>
                <w:szCs w:val="14"/>
                <w:color w:val="auto"/>
              </w:rPr>
            </w:pP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132,535</w:t>
            </w:r>
          </w:p>
        </w:tc>
        <w:tc>
          <w:tcPr>
            <w:tcW w:w="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371,759</w:t>
            </w:r>
          </w:p>
        </w:tc>
      </w:tr>
      <w:tr>
        <w:trPr>
          <w:trHeight w:val="167"/>
        </w:trPr>
        <w:tc>
          <w:tcPr>
            <w:tcW w:w="9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Cash and</w:t>
            </w:r>
          </w:p>
        </w:tc>
        <w:tc>
          <w:tcPr>
            <w:tcW w:w="4780" w:type="dxa"/>
            <w:vAlign w:val="bottom"/>
          </w:tcPr>
          <w:p>
            <w:pPr>
              <w:ind w:left="40"/>
              <w:spacing w:after="0"/>
              <w:rPr>
                <w:sz w:val="20"/>
                <w:szCs w:val="20"/>
                <w:color w:val="auto"/>
              </w:rPr>
            </w:pPr>
            <w:r>
              <w:rPr>
                <w:rFonts w:ascii="Courier New" w:cs="Courier New" w:eastAsia="Courier New" w:hAnsi="Courier New"/>
                <w:sz w:val="14"/>
                <w:szCs w:val="14"/>
                <w:color w:val="auto"/>
              </w:rPr>
              <w:t>cash equivalents at end of year</w:t>
            </w:r>
          </w:p>
        </w:tc>
        <w:tc>
          <w:tcPr>
            <w:tcW w:w="4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492,330</w:t>
            </w:r>
          </w:p>
        </w:tc>
        <w:tc>
          <w:tcPr>
            <w:tcW w:w="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492,776</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132,535</w:t>
            </w:r>
          </w:p>
        </w:tc>
      </w:tr>
      <w:tr>
        <w:trPr>
          <w:trHeight w:val="167"/>
        </w:trPr>
        <w:tc>
          <w:tcPr>
            <w:tcW w:w="9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60"/>
          </w:cols>
          <w:pgMar w:left="220" w:top="620" w:right="1419" w:bottom="1440" w:gutter="0" w:footer="0" w:header="0"/>
        </w:sectPr>
      </w:pPr>
    </w:p>
    <w:bookmarkStart w:id="69" w:name="page70"/>
    <w:bookmarkEnd w:id="69"/>
    <w:p>
      <w:pPr>
        <w:ind w:left="252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SHAREHOLDERS' EQUITY</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Accumulated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Common</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Additional</w:t>
            </w:r>
          </w:p>
        </w:tc>
        <w:tc>
          <w:tcPr>
            <w:tcW w:w="160" w:type="dxa"/>
            <w:vAlign w:val="bottom"/>
          </w:tcPr>
          <w:p>
            <w:pPr>
              <w:spacing w:after="0"/>
              <w:rPr>
                <w:sz w:val="14"/>
                <w:szCs w:val="14"/>
                <w:color w:val="auto"/>
              </w:rPr>
            </w:pPr>
          </w:p>
        </w:tc>
        <w:tc>
          <w:tcPr>
            <w:tcW w:w="12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Other</w:t>
            </w:r>
          </w:p>
        </w:tc>
        <w:tc>
          <w:tcPr>
            <w:tcW w:w="18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Unearned</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Stock, Par</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Paid-in</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Comprehensive</w:t>
            </w:r>
          </w:p>
        </w:tc>
        <w:tc>
          <w:tcPr>
            <w:tcW w:w="18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Stock</w:t>
            </w:r>
          </w:p>
        </w:tc>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Retained</w:t>
            </w:r>
          </w:p>
        </w:tc>
        <w:tc>
          <w:tcPr>
            <w:tcW w:w="1080" w:type="dxa"/>
            <w:vAlign w:val="bottom"/>
          </w:tcPr>
          <w:p>
            <w:pPr>
              <w:spacing w:after="0"/>
              <w:rPr>
                <w:sz w:val="14"/>
                <w:szCs w:val="14"/>
                <w:color w:val="auto"/>
              </w:rPr>
            </w:pP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6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Value $1</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Capital</w:t>
            </w:r>
          </w:p>
        </w:tc>
        <w:tc>
          <w:tcPr>
            <w:tcW w:w="1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Income (Loss)</w:t>
            </w: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Compensation</w:t>
            </w:r>
          </w:p>
        </w:tc>
        <w:tc>
          <w:tcPr>
            <w:tcW w:w="8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Earnings</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 January 29,2000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299,979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(1,433)</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(3,739)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824,421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$1,119,228</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Comprehensive income: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538,066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538,066</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(Loss) due to foreign currency</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80" w:type="dxa"/>
            <w:vAlign w:val="bottom"/>
          </w:tcPr>
          <w:p>
            <w:pPr>
              <w:ind w:left="520"/>
              <w:spacing w:after="0"/>
              <w:rPr>
                <w:sz w:val="20"/>
                <w:szCs w:val="20"/>
                <w:color w:val="auto"/>
              </w:rPr>
            </w:pPr>
            <w:r>
              <w:rPr>
                <w:rFonts w:ascii="Courier New" w:cs="Courier New" w:eastAsia="Courier New" w:hAnsi="Courier New"/>
                <w:sz w:val="14"/>
                <w:szCs w:val="14"/>
                <w:color w:val="auto"/>
              </w:rPr>
              <w:t>translation adjustments</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(11,860)</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(11,860)</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Gain on net investment hedge contracts</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11,547</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11,547</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Minimum pension liability adjustment</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(1,675)</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(1,675)</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Reclassification of prior unrealized loss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80" w:type="dxa"/>
            <w:vAlign w:val="bottom"/>
          </w:tcPr>
          <w:p>
            <w:pPr>
              <w:ind w:left="620"/>
              <w:spacing w:after="0"/>
              <w:rPr>
                <w:sz w:val="20"/>
                <w:szCs w:val="20"/>
                <w:color w:val="auto"/>
              </w:rPr>
            </w:pPr>
            <w:r>
              <w:rPr>
                <w:rFonts w:ascii="Courier New" w:cs="Courier New" w:eastAsia="Courier New" w:hAnsi="Courier New"/>
                <w:sz w:val="14"/>
                <w:szCs w:val="14"/>
                <w:color w:val="auto"/>
              </w:rPr>
              <w:t>on securities</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w:t>
            </w:r>
          </w:p>
        </w:tc>
      </w:tr>
      <w:tr>
        <w:trPr>
          <w:trHeight w:val="167"/>
        </w:trPr>
        <w:tc>
          <w:tcPr>
            <w:tcW w:w="4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Total comprehensive income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536,211</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Cash dividends declared on common stock</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(45,266)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(45,266)</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Restricted stock awards granted</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Restricted stock awards forfeited</w:t>
            </w:r>
          </w:p>
        </w:tc>
        <w:tc>
          <w:tcPr>
            <w:tcW w:w="3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w:t>
            </w:r>
          </w:p>
        </w:tc>
        <w:tc>
          <w:tcPr>
            <w:tcW w:w="1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(942)</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975</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Amortization of unearned stock compensation</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1,420</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1,420</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Issuance of common stock under stock</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80" w:type="dxa"/>
            <w:vAlign w:val="bottom"/>
          </w:tcPr>
          <w:p>
            <w:pPr>
              <w:ind w:left="360"/>
              <w:spacing w:after="0"/>
              <w:rPr>
                <w:sz w:val="20"/>
                <w:szCs w:val="20"/>
                <w:color w:val="auto"/>
              </w:rPr>
            </w:pPr>
            <w:r>
              <w:rPr>
                <w:rFonts w:ascii="Courier New" w:cs="Courier New" w:eastAsia="Courier New" w:hAnsi="Courier New"/>
                <w:sz w:val="14"/>
                <w:szCs w:val="14"/>
                <w:color w:val="auto"/>
              </w:rPr>
              <w:t>incentive plans and related tax benefits</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2,656</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39,293</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41,949</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Common stock repurchased</w:t>
            </w:r>
          </w:p>
        </w:tc>
        <w:tc>
          <w:tcPr>
            <w:tcW w:w="3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(22,233)</w:t>
            </w:r>
          </w:p>
        </w:tc>
        <w:tc>
          <w:tcPr>
            <w:tcW w:w="1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(38,548)</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(374,049)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(434,830)</w:t>
            </w:r>
          </w:p>
        </w:tc>
      </w:tr>
      <w:tr>
        <w:trPr>
          <w:trHeight w:val="167"/>
        </w:trPr>
        <w:tc>
          <w:tcPr>
            <w:tcW w:w="408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 January 27,2001</w:t>
            </w:r>
          </w:p>
        </w:tc>
        <w:tc>
          <w:tcPr>
            <w:tcW w:w="3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280,379</w:t>
            </w:r>
          </w:p>
        </w:tc>
        <w:tc>
          <w:tcPr>
            <w:tcW w:w="14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(3,288)</w:t>
            </w:r>
          </w:p>
        </w:tc>
        <w:tc>
          <w:tcPr>
            <w:tcW w:w="180" w:type="dxa"/>
            <w:vAlign w:val="bottom"/>
          </w:tcPr>
          <w:p>
            <w:pPr>
              <w:spacing w:after="0"/>
              <w:rPr>
                <w:sz w:val="24"/>
                <w:szCs w:val="2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(1,551)</w:t>
            </w:r>
          </w:p>
        </w:tc>
        <w:tc>
          <w:tcPr>
            <w:tcW w:w="80" w:type="dxa"/>
            <w:vAlign w:val="bottom"/>
          </w:tcPr>
          <w:p>
            <w:pPr>
              <w:spacing w:after="0"/>
              <w:rPr>
                <w:sz w:val="24"/>
                <w:szCs w:val="2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943,172</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1,218,712</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Comprehensive income: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500,397</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500,397</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accounting</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80" w:type="dxa"/>
            <w:vAlign w:val="bottom"/>
          </w:tcPr>
          <w:p>
            <w:pPr>
              <w:ind w:left="440"/>
              <w:spacing w:after="0"/>
              <w:rPr>
                <w:sz w:val="20"/>
                <w:szCs w:val="20"/>
                <w:color w:val="auto"/>
              </w:rPr>
            </w:pPr>
            <w:r>
              <w:rPr>
                <w:rFonts w:ascii="Courier New" w:cs="Courier New" w:eastAsia="Courier New" w:hAnsi="Courier New"/>
                <w:sz w:val="14"/>
                <w:szCs w:val="14"/>
                <w:color w:val="auto"/>
              </w:rPr>
              <w:t>change (SFAS No. 133)</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(1,572)</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(1,572)</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(Loss) due to foreign currency</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80" w:type="dxa"/>
            <w:vAlign w:val="bottom"/>
          </w:tcPr>
          <w:p>
            <w:pPr>
              <w:ind w:left="440"/>
              <w:spacing w:after="0"/>
              <w:rPr>
                <w:sz w:val="20"/>
                <w:szCs w:val="20"/>
                <w:color w:val="auto"/>
              </w:rPr>
            </w:pPr>
            <w:r>
              <w:rPr>
                <w:rFonts w:ascii="Courier New" w:cs="Courier New" w:eastAsia="Courier New" w:hAnsi="Courier New"/>
                <w:sz w:val="14"/>
                <w:szCs w:val="14"/>
                <w:color w:val="auto"/>
              </w:rPr>
              <w:t>translation adjustments</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(8,185)</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(8,185)</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Gain on net investment hedge contracts</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8,190</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8,190</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Minimum pension liability adjustment</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(2,151)</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(2,151)</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Amounts reclassified from other</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80" w:type="dxa"/>
            <w:vAlign w:val="bottom"/>
          </w:tcPr>
          <w:p>
            <w:pPr>
              <w:ind w:left="440"/>
              <w:spacing w:after="0"/>
              <w:rPr>
                <w:sz w:val="20"/>
                <w:szCs w:val="20"/>
                <w:color w:val="auto"/>
              </w:rPr>
            </w:pPr>
            <w:r>
              <w:rPr>
                <w:rFonts w:ascii="Courier New" w:cs="Courier New" w:eastAsia="Courier New" w:hAnsi="Courier New"/>
                <w:sz w:val="14"/>
                <w:szCs w:val="14"/>
                <w:color w:val="auto"/>
              </w:rPr>
              <w:t>comprehensive income to net income</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251</w:t>
            </w:r>
          </w:p>
        </w:tc>
      </w:tr>
      <w:tr>
        <w:trPr>
          <w:trHeight w:val="167"/>
        </w:trPr>
        <w:tc>
          <w:tcPr>
            <w:tcW w:w="4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Total comprehensive income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496,930</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Cash dividends declared on common stock</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(49,295)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(49,295)</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Restricted stock awards granted</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7,137</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(5,775)</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1,587</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Amortization of unearned stock compensation</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2,672</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2,672</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Issuance of common stock under stock</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80" w:type="dxa"/>
            <w:vAlign w:val="bottom"/>
          </w:tcPr>
          <w:p>
            <w:pPr>
              <w:ind w:left="360"/>
              <w:spacing w:after="0"/>
              <w:rPr>
                <w:sz w:val="20"/>
                <w:szCs w:val="20"/>
                <w:color w:val="auto"/>
              </w:rPr>
            </w:pPr>
            <w:r>
              <w:rPr>
                <w:rFonts w:ascii="Courier New" w:cs="Courier New" w:eastAsia="Courier New" w:hAnsi="Courier New"/>
                <w:sz w:val="14"/>
                <w:szCs w:val="14"/>
                <w:color w:val="auto"/>
              </w:rPr>
              <w:t>incentive plans and related tax benefits</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4,102</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90,153</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94,255</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Common stock repurchased</w:t>
            </w:r>
          </w:p>
        </w:tc>
        <w:tc>
          <w:tcPr>
            <w:tcW w:w="3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(13,168)</w:t>
            </w:r>
          </w:p>
        </w:tc>
        <w:tc>
          <w:tcPr>
            <w:tcW w:w="1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(97,290)</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( 313,705)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(424,163)</w:t>
            </w:r>
          </w:p>
        </w:tc>
      </w:tr>
      <w:tr>
        <w:trPr>
          <w:trHeight w:val="167"/>
        </w:trPr>
        <w:tc>
          <w:tcPr>
            <w:tcW w:w="408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 January 26,2002</w:t>
            </w:r>
          </w:p>
        </w:tc>
        <w:tc>
          <w:tcPr>
            <w:tcW w:w="3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271,538</w:t>
            </w:r>
          </w:p>
        </w:tc>
        <w:tc>
          <w:tcPr>
            <w:tcW w:w="14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24"/>
                <w:szCs w:val="24"/>
                <w:color w:val="auto"/>
              </w:rPr>
            </w:pP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(6,755)</w:t>
            </w:r>
          </w:p>
        </w:tc>
        <w:tc>
          <w:tcPr>
            <w:tcW w:w="180" w:type="dxa"/>
            <w:vAlign w:val="bottom"/>
          </w:tcPr>
          <w:p>
            <w:pPr>
              <w:spacing w:after="0"/>
              <w:rPr>
                <w:sz w:val="24"/>
                <w:szCs w:val="2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(4,654)</w:t>
            </w:r>
          </w:p>
        </w:tc>
        <w:tc>
          <w:tcPr>
            <w:tcW w:w="80" w:type="dxa"/>
            <w:vAlign w:val="bottom"/>
          </w:tcPr>
          <w:p>
            <w:pPr>
              <w:spacing w:after="0"/>
              <w:rPr>
                <w:sz w:val="24"/>
                <w:szCs w:val="2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1,080,569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1,340,698</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Comprehensive income: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578,388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578,388</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Gain due to foreign currency</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80" w:type="dxa"/>
            <w:vAlign w:val="bottom"/>
          </w:tcPr>
          <w:p>
            <w:pPr>
              <w:ind w:left="440"/>
              <w:spacing w:after="0"/>
              <w:rPr>
                <w:sz w:val="20"/>
                <w:szCs w:val="20"/>
                <w:color w:val="auto"/>
              </w:rPr>
            </w:pPr>
            <w:r>
              <w:rPr>
                <w:rFonts w:ascii="Courier New" w:cs="Courier New" w:eastAsia="Courier New" w:hAnsi="Courier New"/>
                <w:sz w:val="14"/>
                <w:szCs w:val="14"/>
                <w:color w:val="auto"/>
              </w:rPr>
              <w:t>translation adjustments</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23,006</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23,006</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(Loss) on net investment hedge contracts</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(23,241)</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(23,241)</w:t>
            </w:r>
          </w:p>
        </w:tc>
      </w:tr>
      <w:tr>
        <w:trPr>
          <w:trHeight w:val="167"/>
        </w:trPr>
        <w:tc>
          <w:tcPr>
            <w:tcW w:w="4080" w:type="dxa"/>
            <w:vAlign w:val="bottom"/>
          </w:tcPr>
          <w:p>
            <w:pPr>
              <w:ind w:left="260"/>
              <w:spacing w:after="0"/>
              <w:rPr>
                <w:sz w:val="20"/>
                <w:szCs w:val="20"/>
                <w:color w:val="auto"/>
              </w:rPr>
            </w:pPr>
            <w:r>
              <w:rPr>
                <w:rFonts w:ascii="Courier New" w:cs="Courier New" w:eastAsia="Courier New" w:hAnsi="Courier New"/>
                <w:sz w:val="14"/>
                <w:szCs w:val="14"/>
                <w:color w:val="auto"/>
              </w:rPr>
              <w:t>Minimum pension liability adjustment</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3,826</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3,826</w:t>
            </w:r>
          </w:p>
        </w:tc>
      </w:tr>
      <w:tr>
        <w:trPr>
          <w:trHeight w:val="167"/>
        </w:trPr>
        <w:tc>
          <w:tcPr>
            <w:tcW w:w="4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Total comprehensive income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581,979</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Stock split, two-for-one</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269,431</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(269,431)</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Cash dividends declared on common stock</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(63,421)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(63,421)</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Restricted stock awards granted</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5,870</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(6,195)</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Amortization of unearned stock compensation</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3,197</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3,197</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Issuance of common stock under stock</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4080" w:type="dxa"/>
            <w:vAlign w:val="bottom"/>
          </w:tcPr>
          <w:p>
            <w:pPr>
              <w:ind w:left="360"/>
              <w:spacing w:after="0"/>
              <w:rPr>
                <w:sz w:val="20"/>
                <w:szCs w:val="20"/>
                <w:color w:val="auto"/>
              </w:rPr>
            </w:pPr>
            <w:r>
              <w:rPr>
                <w:rFonts w:ascii="Courier New" w:cs="Courier New" w:eastAsia="Courier New" w:hAnsi="Courier New"/>
                <w:sz w:val="14"/>
                <w:szCs w:val="14"/>
                <w:color w:val="auto"/>
              </w:rPr>
              <w:t>incentive plans and related tax benefits</w:t>
            </w:r>
          </w:p>
        </w:tc>
        <w:tc>
          <w:tcPr>
            <w:tcW w:w="36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2,505</w:t>
            </w:r>
          </w:p>
        </w:tc>
        <w:tc>
          <w:tcPr>
            <w:tcW w:w="1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41,794</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44,299</w:t>
            </w:r>
          </w:p>
        </w:tc>
      </w:tr>
      <w:tr>
        <w:trPr>
          <w:trHeight w:val="167"/>
        </w:trPr>
        <w:tc>
          <w:tcPr>
            <w:tcW w:w="4080" w:type="dxa"/>
            <w:vAlign w:val="bottom"/>
          </w:tcPr>
          <w:p>
            <w:pPr>
              <w:ind w:left="100"/>
              <w:spacing w:after="0"/>
              <w:rPr>
                <w:sz w:val="20"/>
                <w:szCs w:val="20"/>
                <w:color w:val="auto"/>
              </w:rPr>
            </w:pPr>
            <w:r>
              <w:rPr>
                <w:rFonts w:ascii="Courier New" w:cs="Courier New" w:eastAsia="Courier New" w:hAnsi="Courier New"/>
                <w:sz w:val="14"/>
                <w:szCs w:val="14"/>
                <w:color w:val="auto"/>
              </w:rPr>
              <w:t>Common stock repurchased</w:t>
            </w:r>
          </w:p>
        </w:tc>
        <w:tc>
          <w:tcPr>
            <w:tcW w:w="36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(23,284)</w:t>
            </w:r>
          </w:p>
        </w:tc>
        <w:tc>
          <w:tcPr>
            <w:tcW w:w="140" w:type="dxa"/>
            <w:vAlign w:val="bottom"/>
          </w:tcPr>
          <w:p>
            <w:pPr>
              <w:spacing w:after="0"/>
              <w:rPr>
                <w:sz w:val="14"/>
                <w:szCs w:val="14"/>
                <w:color w:val="auto"/>
              </w:rPr>
            </w:pP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(47,664)</w:t>
            </w:r>
          </w:p>
        </w:tc>
        <w:tc>
          <w:tcPr>
            <w:tcW w:w="1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(426,657)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(497,605)</w:t>
            </w:r>
          </w:p>
        </w:tc>
      </w:tr>
      <w:tr>
        <w:trPr>
          <w:trHeight w:val="167"/>
        </w:trPr>
        <w:tc>
          <w:tcPr>
            <w:tcW w:w="408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80" w:type="dxa"/>
            <w:vAlign w:val="bottom"/>
          </w:tcPr>
          <w:p>
            <w:pPr>
              <w:spacing w:after="0"/>
              <w:rPr>
                <w:sz w:val="20"/>
                <w:szCs w:val="20"/>
                <w:color w:val="auto"/>
              </w:rPr>
            </w:pPr>
            <w:r>
              <w:rPr>
                <w:rFonts w:ascii="Courier New" w:cs="Courier New" w:eastAsia="Courier New" w:hAnsi="Courier New"/>
                <w:sz w:val="14"/>
                <w:szCs w:val="14"/>
                <w:color w:val="auto"/>
              </w:rPr>
              <w:t>Balance, January 25,2003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520,515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(3,164)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(7,652)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899,448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$1,409,147</w:t>
            </w:r>
          </w:p>
        </w:tc>
      </w:tr>
      <w:tr>
        <w:trPr>
          <w:trHeight w:val="167"/>
        </w:trPr>
        <w:tc>
          <w:tcPr>
            <w:tcW w:w="4080" w:type="dxa"/>
            <w:vAlign w:val="bottom"/>
          </w:tcPr>
          <w:p>
            <w:pPr>
              <w:spacing w:after="0"/>
              <w:rPr>
                <w:sz w:val="14"/>
                <w:szCs w:val="14"/>
                <w:color w:val="auto"/>
              </w:rPr>
            </w:pPr>
          </w:p>
        </w:tc>
        <w:tc>
          <w:tcPr>
            <w:tcW w:w="14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1540"/>
          </w:cols>
          <w:pgMar w:left="220" w:top="620" w:right="139" w:bottom="1440" w:gutter="0" w:footer="0" w:header="0"/>
        </w:sectPr>
      </w:pPr>
    </w:p>
    <w:bookmarkStart w:id="70" w:name="page71"/>
    <w:bookmarkEnd w:id="70"/>
    <w:p>
      <w:pPr>
        <w:ind w:left="252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left="440" w:hanging="431"/>
        <w:spacing w:after="0"/>
        <w:tabs>
          <w:tab w:leader="none" w:pos="44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ACCOUNTING POLICIES</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BASIS OF PRESENTATION: The consolidated financial statements of The TJX Companies, Inc. ("TJX", the "Company" or "We") include the financial statements of all of TJX's subsidiaries, including our foreign subsidiaries, all of which are wholly owned. All of TJX's activities are conducted within TJX or our subsidiaries and are consolidated in these financial statements. All intercompany transactions have been eliminated in consolidation. The notes pertain to continuing operations except where otherwise noted.</w:t>
      </w:r>
    </w:p>
    <w:p>
      <w:pPr>
        <w:spacing w:after="0" w:line="16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FISCAL YEAR: TJX's fiscal year ends on the last Saturday in January. The fiscal years ended January 25, 2003 ("fiscal 2003"), January 26, 2002 and January 27, 2001 each included 52 weeks.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USE OF ESTIMATES: The preparation of the financial statements, in conformity with accounting principles generally accepted in the United States, requires management to make estimates and assumptions that affect the reported amounts of assets and liabilities, and disclosure of contingent liabilities, at the date of the financial statements as well as the reported amounts of revenues and expenses during the reporting period. TJX considers the more significant accounting policies that involve management estimates and judgments to be those relating to inventory valuation, retirement obligations, accounting for taxes and reserves for discontinued operations. Actual amounts could differ from those estimates.</w:t>
      </w:r>
    </w:p>
    <w:p>
      <w:pPr>
        <w:spacing w:after="0" w:line="331"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REVENUE RECOGNITION: TJX records revenue at the time of sale and receipt of merchandise by the customer, net of a reserve for estimated returns. We estimate returns based upon our historical experience. We defer recognition of a layaway sale and its related profit to the accounting period when the customer receives layaway merchandise.</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CONSOLIDATED STATEMENTS OF INCOME CLASSIFICATIONS: Cost of sales, including buying and occupancy costs include the cost of merchandise sold; store occupancy costs (including real estate taxes, utility and maintenance costs, and fixed asset depreciation); the costs of operating our distribution centers; payroll, benefits and travel costs directly associated with buying inventory; and systems costs related to the buying and tracking of inventory.</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Selling, general and administrative expenses include store payroll and benefit costs; communication costs; credit and check expenses; advertising; administrative and field management payroll, benefits and travel costs; corporate administrative costs and depreciation; gains and losses on foreign currency exchange contracts and other nonrecurring gains or losses; and all other miscellaneous income and expense items.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CASH, CASH EQUIVALENTS AND SHORT-TERM INVESTMENTS: TJX generally considers highly liquid investments with an initial maturity of three months or less to be cash equivalents. Our investments are primarily high-grade commercial paper, institutional money market funds and time deposits with major banks. The fair value of cash equivalents approximates carrying value. During September 1999, we received 693,537 common shares of Manulife Financial Corporation. The shares reflected ownership interest in the demutualized insurer due to policies held by TJX. These securities were recorded at market value upon receipt resulting in an $8.5 million pre-tax gain. During fiscal 2001, we sold all of these shares for $9.2 million and realized a gain of $722,000.</w:t>
      </w:r>
    </w:p>
    <w:p>
      <w:pPr>
        <w:spacing w:after="0" w:line="164"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MERCHANDISE INVENTORIES: Inventories are stated at the lower of cost or market. TJX uses the retail method for valuing inventories on the first-in first-out basis. We almost exclusively utilize a permanent markdown strategy and lower the cost value of the inventory that is subject to markdown at the time the retail prices are lowered in our stores.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COMMON STOCK AND EQUITY: TJX's equity transactions consist primarily of the repurchase of our common stock under our stock repurchase program and the issuance of common stock under our stock incentive plan. Under the stock repurchase program we repurchase our common stock on the open market. The par value of the shares repurchased is charged to common stock with the excess of the purchase price over par first charged against any available additional paid-in capital ("APIC") and the balance charged to retained earnings. Virtually all shares are retired when purchased. We have an immaterial number of shares held in treasury which are reflected as a reduction to common stock outstanding.</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Shares issued under our stock incentive plan are issued from authorized but previously unissued shares, and proceeds received are recorded by increasing common stock for the par value of the shares with the excess over par added to APIC. Income tax benefits due to the exercise of stock options are also added to APIC and included with the proceeds received from the option exercise. The income tax benefits are included in cash flows from operating activities in the statements of cash flows. The par value and excess of the fair value over par value of restricted stock awards are also added to common stock and APIC with an offsetting amount recorded in unearned stock compensation. The amount</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141" w:gutter="0" w:footer="0" w:header="0"/>
        </w:sectPr>
      </w:pPr>
    </w:p>
    <w:bookmarkStart w:id="71" w:name="page72"/>
    <w:bookmarkEnd w:id="71"/>
    <w:p>
      <w:pPr>
        <w:ind w:left="252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included in unearned stock compensation is amortized into earnings over the vesting period of the related award. Due to the high volume of repurchases over the past several years we have no remaining balance in APIC.</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TJX has adopted the disclosure-only provisions of Statement of Financial Accounting Standards ("SFAS") No. 123, "Accounting for Stock-Based Compensation," and continues to apply the provisions of Accounting Principles Board Opinion No. 25, "Accounting for Stock Issued to Employees," in accounting for compensation expense under its stock option plans. TJX grants options at fair market value on the date of the grant, accordingly no compensation expense has been recognized for the stock options issued during fiscal 2003, 2002 or 2001. Compensation expense determined in accordance with SFAS No. 123, net of related income tax effect, amounted to $39.7 million,$27.8 million and $19.2 million for fiscal 2003, 2002 and 2001, respectively. Disclosure as required by SFAS No. 148, as discussed in New Accounting Standards below, is presented in Note E.</w:t>
      </w:r>
    </w:p>
    <w:p>
      <w:pPr>
        <w:spacing w:after="0" w:line="33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INTEREST: TJX's interest expense, net was $25.4 million, $25.6 million and $22.9 million in fiscal 2003, 2002 and 2001, respectively. Interest expense is presented net of interest income of $10.5 million, $15.0 million and $11.8 million in fiscal 2003, 2002 and 2001, respectively. We capitalize interest during the active construction period of major capital projects. Capitalized interest is added to the cost of the related assets. We capitalized interest of $559,000, $222,000 and $311,000 in fiscal 2003, 2002 and 2001, respectively. Debt discount and related issue expenses are amortized to interest expense over the lives of the related debt issues or to the first date the holders of the debt may request TJX to repurchase such debt.</w:t>
      </w:r>
    </w:p>
    <w:p>
      <w:pPr>
        <w:spacing w:after="0" w:line="164"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DEPRECIATION AND AMORTIZATION: For financial reporting purposes, TJX provides for depreciation and amortization of property by the use of the straight-line method over the estimated useful lives of the assets. Buildings are depreciated over 33 years, leasehold costs and improvements are generally amortized over the lease term (typically 10 years) or their estimated useful life, whichever is shorter, and furniture, fixtures and equipment are depreciated over 3 to 10 years. Depreciation and amortization expense for property was $196.4 million for fiscal 2003, $183.1 million for fiscal 2002, and $169.1 million for fiscal</w:t>
      </w:r>
    </w:p>
    <w:p>
      <w:pPr>
        <w:spacing w:after="0" w:line="3"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2001. Amortization expense for property held under a capital lease was $2.2 million and $1.5 million in fiscal 2003 and 2002, respectively. Maintenance and repairs are charged to expense as incurred. Significant costs incurred for internally developed software are capitalized and amortized over three to five years. Upon retirement or sale, the cost of disposed assets and the related accumulated depreciation are eliminated and any gain or loss is included in net income. Pre-opening costs are expensed as incurred.</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GOODWILL AND TRADENAME: Goodwill is primarily the excess of the purchase price paid over the carrying value of the minority interest acquired in fiscal 1990 in TJX's former 83%-owned subsidiary and represents goodwill associated with the T.J. Maxx chain and is included in the Marmaxx segment at January 25, 2003. In addition, goodwill includes the excess of cost over the estimated fair market value of the net assets of Winners acquired by TJX in fiscal 1991.</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Goodwill, net of amortization, totaled $71.5 million and $71.4 million as of January 25, 2003 and January 26, 2002, respectively, and had been amortized over 40 years on a straight-line basis through January 26, 2002. Annual amortization of goodwill was $2.6 million in fiscal 2002 and 2001. There was no amortization of goodwill in fiscal 2003. Cumulative amortization as of January 25, 2003 and January 26, 2002 was $32.9 million.</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Tradename is the value assigned to the name "Marshalls" as a result of TJX's acquisition of the Marshalls chain in fiscal 1996. The value of the tradename was determined by the discounted present value of assumed after-tax royalty payments, offset by a reduction for its pro-rata share of the total negative goodwill acquired. The final purchase price allocated to the tradename amounted to $128.3 million. The tradename had been amortized over 40 years through January 26, 2002. Annual amortization expense was $3.2 million in fiscal 2002 and 2001. There was no amortization of tradename in fiscal 2003. Cumulative amortization as of January 25, 2003 and January 26, 2002 was $20.6 million.</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acquires other tradenames of manufacturers to have marketing privileges for their products. Such tradenames are included in other assets and are amortized to cost of sales, including buying and occupancy costs over the term of the agreement generally from 7 to 10 years. The Company had $3.2 million and $569,000 in tradenames at January 25, 2003 and January 26, 2002, respectively. Tradenames and the related amortization are included in the related operating segment.</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July 2001, the Financial Accounting Standards Board ("FASB") issued SFAS No.142, "Goodwill and Other Intangible Assets." This Statement addresses how goodwill and other intangible assets should be accounted for after they have been initially recognized in the financial statements. We implemented SFAS No. 142 during our fiscal year beginning January 27, 2002. As a result of the new standard, we no longer amortize goodwill or the value of the Marshalls tradename which has an indefinite life. No impairments have been recorded on these assets to date.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974" w:gutter="0" w:footer="0" w:header="0"/>
        </w:sectPr>
      </w:pPr>
    </w:p>
    <w:bookmarkStart w:id="72" w:name="page73"/>
    <w:bookmarkEnd w:id="72"/>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4080"/>
        <w:spacing w:after="0" w:line="254" w:lineRule="auto"/>
        <w:rPr>
          <w:sz w:val="20"/>
          <w:szCs w:val="20"/>
          <w:color w:val="auto"/>
        </w:rPr>
      </w:pPr>
      <w:r>
        <w:rPr>
          <w:rFonts w:ascii="Courier New" w:cs="Courier New" w:eastAsia="Courier New" w:hAnsi="Courier New"/>
          <w:sz w:val="14"/>
          <w:szCs w:val="14"/>
          <w:color w:val="auto"/>
        </w:rPr>
        <w:t>The following schedule presents pro forma income from continuing operations (unaudited) and pro forma net income (unaudited) presented as if goodwill amortization and tradename amortization had not been included as an expense in the prior periods: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Fiscal Year Ended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920" w:type="dxa"/>
            <w:vAlign w:val="bottom"/>
          </w:tcPr>
          <w:p>
            <w:pPr>
              <w:spacing w:after="0"/>
              <w:rPr>
                <w:sz w:val="14"/>
                <w:szCs w:val="14"/>
                <w:color w:val="auto"/>
              </w:rPr>
            </w:pPr>
          </w:p>
        </w:tc>
        <w:tc>
          <w:tcPr>
            <w:tcW w:w="494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920" w:type="dxa"/>
            <w:vAlign w:val="bottom"/>
          </w:tcPr>
          <w:p>
            <w:pPr>
              <w:spacing w:after="0"/>
              <w:rPr>
                <w:sz w:val="14"/>
                <w:szCs w:val="14"/>
                <w:color w:val="auto"/>
              </w:rPr>
            </w:pPr>
          </w:p>
        </w:tc>
        <w:tc>
          <w:tcPr>
            <w:tcW w:w="190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JANUARY 25,</w:t>
            </w:r>
          </w:p>
        </w:tc>
        <w:tc>
          <w:tcPr>
            <w:tcW w:w="17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January 26,</w:t>
            </w:r>
          </w:p>
        </w:tc>
        <w:tc>
          <w:tcPr>
            <w:tcW w:w="13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January 27,</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8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480" w:type="dxa"/>
            <w:vAlign w:val="bottom"/>
          </w:tcPr>
          <w:p>
            <w:pPr>
              <w:spacing w:after="0"/>
              <w:rPr>
                <w:sz w:val="14"/>
                <w:szCs w:val="14"/>
                <w:color w:val="auto"/>
              </w:rPr>
            </w:pPr>
          </w:p>
        </w:tc>
        <w:tc>
          <w:tcPr>
            <w:tcW w:w="12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2002</w:t>
            </w:r>
          </w:p>
        </w:tc>
        <w:tc>
          <w:tcPr>
            <w:tcW w:w="30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920" w:type="dxa"/>
            <w:vAlign w:val="bottom"/>
          </w:tcPr>
          <w:p>
            <w:pPr>
              <w:spacing w:after="0"/>
              <w:rPr>
                <w:sz w:val="20"/>
                <w:szCs w:val="20"/>
                <w:color w:val="auto"/>
              </w:rPr>
            </w:pPr>
            <w:r>
              <w:rPr>
                <w:rFonts w:ascii="Courier New" w:cs="Courier New" w:eastAsia="Courier New" w:hAnsi="Courier New"/>
                <w:sz w:val="14"/>
                <w:szCs w:val="14"/>
                <w:color w:val="auto"/>
              </w:rPr>
              <w:t>Reported income from continuing operations</w:t>
            </w:r>
          </w:p>
        </w:tc>
        <w:tc>
          <w:tcPr>
            <w:tcW w:w="86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578,388</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540,397</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538,066</w:t>
            </w:r>
          </w:p>
        </w:tc>
      </w:tr>
      <w:tr>
        <w:trPr>
          <w:trHeight w:val="334"/>
        </w:trPr>
        <w:tc>
          <w:tcPr>
            <w:tcW w:w="5920" w:type="dxa"/>
            <w:vAlign w:val="bottom"/>
          </w:tcPr>
          <w:p>
            <w:pPr>
              <w:spacing w:after="0"/>
              <w:rPr>
                <w:sz w:val="20"/>
                <w:szCs w:val="20"/>
                <w:color w:val="auto"/>
              </w:rPr>
            </w:pPr>
            <w:r>
              <w:rPr>
                <w:rFonts w:ascii="Courier New" w:cs="Courier New" w:eastAsia="Courier New" w:hAnsi="Courier New"/>
                <w:sz w:val="14"/>
                <w:szCs w:val="14"/>
                <w:color w:val="auto"/>
              </w:rPr>
              <w:t>Add back: Goodwill amortization, net of related tax effects</w:t>
            </w:r>
          </w:p>
        </w:tc>
        <w:tc>
          <w:tcPr>
            <w:tcW w:w="8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2,607</w:t>
            </w: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2,609</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Add back: Tradename amortization, net of related tax effects</w:t>
            </w:r>
          </w:p>
        </w:tc>
        <w:tc>
          <w:tcPr>
            <w:tcW w:w="8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1,910</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1,910</w:t>
            </w:r>
          </w:p>
        </w:tc>
      </w:tr>
      <w:tr>
        <w:trPr>
          <w:trHeight w:val="167"/>
        </w:trPr>
        <w:tc>
          <w:tcPr>
            <w:tcW w:w="592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Pro forma income from continuing operations</w:t>
            </w:r>
          </w:p>
        </w:tc>
        <w:tc>
          <w:tcPr>
            <w:tcW w:w="86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578,388</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544,914</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542,585</w:t>
            </w:r>
          </w:p>
        </w:tc>
      </w:tr>
      <w:tr>
        <w:trPr>
          <w:trHeight w:val="167"/>
        </w:trPr>
        <w:tc>
          <w:tcPr>
            <w:tcW w:w="592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Reported income from continuing operations</w:t>
            </w:r>
          </w:p>
        </w:tc>
        <w:tc>
          <w:tcPr>
            <w:tcW w:w="86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Pro forma income from continuing operations</w:t>
            </w:r>
          </w:p>
        </w:tc>
        <w:tc>
          <w:tcPr>
            <w:tcW w:w="86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.98</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r>
      <w:tr>
        <w:trPr>
          <w:trHeight w:val="334"/>
        </w:trPr>
        <w:tc>
          <w:tcPr>
            <w:tcW w:w="5920" w:type="dxa"/>
            <w:vAlign w:val="bottom"/>
          </w:tcPr>
          <w:p>
            <w:pPr>
              <w:spacing w:after="0"/>
              <w:rPr>
                <w:sz w:val="20"/>
                <w:szCs w:val="20"/>
                <w:color w:val="auto"/>
              </w:rPr>
            </w:pPr>
            <w:r>
              <w:rPr>
                <w:rFonts w:ascii="Courier New" w:cs="Courier New" w:eastAsia="Courier New" w:hAnsi="Courier New"/>
                <w:sz w:val="14"/>
                <w:szCs w:val="14"/>
                <w:color w:val="auto"/>
              </w:rPr>
              <w:t>Reported net income</w:t>
            </w:r>
          </w:p>
        </w:tc>
        <w:tc>
          <w:tcPr>
            <w:tcW w:w="86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578,388</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500,397</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538,066</w:t>
            </w:r>
          </w:p>
        </w:tc>
      </w:tr>
      <w:tr>
        <w:trPr>
          <w:trHeight w:val="334"/>
        </w:trPr>
        <w:tc>
          <w:tcPr>
            <w:tcW w:w="5920" w:type="dxa"/>
            <w:vAlign w:val="bottom"/>
          </w:tcPr>
          <w:p>
            <w:pPr>
              <w:spacing w:after="0"/>
              <w:rPr>
                <w:sz w:val="20"/>
                <w:szCs w:val="20"/>
                <w:color w:val="auto"/>
              </w:rPr>
            </w:pPr>
            <w:r>
              <w:rPr>
                <w:rFonts w:ascii="Courier New" w:cs="Courier New" w:eastAsia="Courier New" w:hAnsi="Courier New"/>
                <w:sz w:val="14"/>
                <w:szCs w:val="14"/>
                <w:color w:val="auto"/>
              </w:rPr>
              <w:t>Add back: Goodwill amortization, net of related tax effects</w:t>
            </w:r>
          </w:p>
        </w:tc>
        <w:tc>
          <w:tcPr>
            <w:tcW w:w="860" w:type="dxa"/>
            <w:vAlign w:val="bottom"/>
          </w:tcPr>
          <w:p>
            <w:pPr>
              <w:spacing w:after="0"/>
              <w:rPr>
                <w:sz w:val="24"/>
                <w:szCs w:val="2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24"/>
                <w:szCs w:val="2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2,607</w:t>
            </w:r>
          </w:p>
        </w:tc>
        <w:tc>
          <w:tcPr>
            <w:tcW w:w="3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2,609</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Add back: Tradename amortization, net of related tax effects</w:t>
            </w:r>
          </w:p>
        </w:tc>
        <w:tc>
          <w:tcPr>
            <w:tcW w:w="86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1,910</w:t>
            </w:r>
          </w:p>
        </w:tc>
        <w:tc>
          <w:tcPr>
            <w:tcW w:w="30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1,910</w:t>
            </w:r>
          </w:p>
        </w:tc>
      </w:tr>
      <w:tr>
        <w:trPr>
          <w:trHeight w:val="167"/>
        </w:trPr>
        <w:tc>
          <w:tcPr>
            <w:tcW w:w="592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86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578,388</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504,914</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542,585</w:t>
            </w:r>
          </w:p>
        </w:tc>
      </w:tr>
      <w:tr>
        <w:trPr>
          <w:trHeight w:val="167"/>
        </w:trPr>
        <w:tc>
          <w:tcPr>
            <w:tcW w:w="5920" w:type="dxa"/>
            <w:vAlign w:val="bottom"/>
          </w:tcPr>
          <w:p>
            <w:pPr>
              <w:spacing w:after="0"/>
              <w:rPr>
                <w:sz w:val="14"/>
                <w:szCs w:val="14"/>
                <w:color w:val="auto"/>
              </w:rPr>
            </w:pPr>
          </w:p>
        </w:tc>
        <w:tc>
          <w:tcPr>
            <w:tcW w:w="19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Reported net income</w:t>
            </w:r>
          </w:p>
        </w:tc>
        <w:tc>
          <w:tcPr>
            <w:tcW w:w="86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w:t>
            </w:r>
          </w:p>
        </w:tc>
      </w:tr>
      <w:tr>
        <w:trPr>
          <w:trHeight w:val="167"/>
        </w:trPr>
        <w:tc>
          <w:tcPr>
            <w:tcW w:w="592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86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w:t>
            </w:r>
          </w:p>
        </w:tc>
        <w:tc>
          <w:tcPr>
            <w:tcW w:w="4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r>
    </w:tbl>
    <w:p>
      <w:pPr>
        <w:spacing w:after="0" w:line="338" w:lineRule="exact"/>
        <w:rPr>
          <w:sz w:val="20"/>
          <w:szCs w:val="20"/>
          <w:color w:val="auto"/>
        </w:rPr>
      </w:pPr>
    </w:p>
    <w:p>
      <w:pPr>
        <w:ind w:right="3900"/>
        <w:spacing w:after="0" w:line="253" w:lineRule="auto"/>
        <w:rPr>
          <w:sz w:val="20"/>
          <w:szCs w:val="20"/>
          <w:color w:val="auto"/>
        </w:rPr>
      </w:pPr>
      <w:r>
        <w:rPr>
          <w:rFonts w:ascii="Courier New" w:cs="Courier New" w:eastAsia="Courier New" w:hAnsi="Courier New"/>
          <w:sz w:val="14"/>
          <w:szCs w:val="14"/>
          <w:color w:val="auto"/>
        </w:rPr>
        <w:t>IMPAIRMENT OF LONG-LIVED ASSETS: TJX periodically reviews the value of its property and intangible assets in relation to the current and expected operating results of the related business segments in order to assess whether there has been a permanent impairment of their carrying values. An impairment exists when the undiscounted cash flow of an asset is less than the carrying cost of that asset. Store by store impairment analysis is performed, at a minimum, on an annual basis. We recorded an impairment loss of $3.1 million in fiscal 2001 as a component of the $6.3 million estimated cost of closing our three T.K. Maxx stores in the Netherlands.</w:t>
      </w:r>
    </w:p>
    <w:p>
      <w:pPr>
        <w:spacing w:after="0" w:line="164" w:lineRule="exact"/>
        <w:rPr>
          <w:sz w:val="20"/>
          <w:szCs w:val="20"/>
          <w:color w:val="auto"/>
        </w:rPr>
      </w:pPr>
    </w:p>
    <w:p>
      <w:pPr>
        <w:ind w:right="4160"/>
        <w:spacing w:after="0" w:line="255" w:lineRule="auto"/>
        <w:rPr>
          <w:sz w:val="20"/>
          <w:szCs w:val="20"/>
          <w:color w:val="auto"/>
        </w:rPr>
      </w:pPr>
      <w:r>
        <w:rPr>
          <w:rFonts w:ascii="Courier New" w:cs="Courier New" w:eastAsia="Courier New" w:hAnsi="Courier New"/>
          <w:sz w:val="14"/>
          <w:szCs w:val="14"/>
          <w:color w:val="auto"/>
        </w:rPr>
        <w:t>ADVERTISING COSTS: TJX expenses advertising costs as incurred. Advertising expense was $135.3 million,$128.5 million and $121.8 million for fiscal 2003, 2002 and 2001, respectively.</w:t>
      </w:r>
    </w:p>
    <w:p>
      <w:pPr>
        <w:spacing w:after="0" w:line="162" w:lineRule="exact"/>
        <w:rPr>
          <w:sz w:val="20"/>
          <w:szCs w:val="20"/>
          <w:color w:val="auto"/>
        </w:rPr>
      </w:pPr>
    </w:p>
    <w:p>
      <w:pPr>
        <w:ind w:right="4160"/>
        <w:spacing w:after="0" w:line="255" w:lineRule="auto"/>
        <w:rPr>
          <w:sz w:val="20"/>
          <w:szCs w:val="20"/>
          <w:color w:val="auto"/>
        </w:rPr>
      </w:pPr>
      <w:r>
        <w:rPr>
          <w:rFonts w:ascii="Courier New" w:cs="Courier New" w:eastAsia="Courier New" w:hAnsi="Courier New"/>
          <w:sz w:val="14"/>
          <w:szCs w:val="14"/>
          <w:color w:val="auto"/>
        </w:rPr>
        <w:t>EARNINGS PER SHARE: All earnings per share amounts discussed refer to diluted earnings per share unless otherwise indicated. All historical earnings per share amounts reflect the May 2002 two-for-one stock split.</w:t>
      </w:r>
    </w:p>
    <w:p>
      <w:pPr>
        <w:spacing w:after="0" w:line="162" w:lineRule="exact"/>
        <w:rPr>
          <w:sz w:val="20"/>
          <w:szCs w:val="20"/>
          <w:color w:val="auto"/>
        </w:rPr>
      </w:pPr>
    </w:p>
    <w:p>
      <w:pPr>
        <w:ind w:right="3900"/>
        <w:spacing w:after="0" w:line="253" w:lineRule="auto"/>
        <w:rPr>
          <w:sz w:val="20"/>
          <w:szCs w:val="20"/>
          <w:color w:val="auto"/>
        </w:rPr>
      </w:pPr>
      <w:r>
        <w:rPr>
          <w:rFonts w:ascii="Courier New" w:cs="Courier New" w:eastAsia="Courier New" w:hAnsi="Courier New"/>
          <w:sz w:val="14"/>
          <w:szCs w:val="14"/>
          <w:color w:val="auto"/>
        </w:rPr>
        <w:t>FOREIGN CURRENCY TRANSLATION AND RELATED HEDGING ACTIVITY: TJX's foreign assets and liabilities are translated at the fiscal year-end exchange rate. Activity of the foreign operations that affect the statements of income and cash flows are translated at the average exchange rates prevailing during the fiscal year. A large portion of the net investments in the foreign operations are hedged with foreign currency forward contracts and swap agreements. The translation adjustments associated with the foreign operations and the related hedging instruments are included in shareholders' equity as a component of accumulated other comprehensive income (loss). Cumulative foreign currency translation adjustments, net of hedging activity, included in shareholders' equity amounted to losses of $3.2 million and $2.9 million as of January 25, 2003 and January 26, 2002, respectively.</w:t>
      </w:r>
    </w:p>
    <w:p>
      <w:pPr>
        <w:spacing w:after="0" w:line="164" w:lineRule="exact"/>
        <w:rPr>
          <w:sz w:val="20"/>
          <w:szCs w:val="20"/>
          <w:color w:val="auto"/>
        </w:rPr>
      </w:pPr>
    </w:p>
    <w:p>
      <w:pPr>
        <w:ind w:right="4000" w:firstLine="781"/>
        <w:spacing w:after="0" w:line="253" w:lineRule="auto"/>
        <w:rPr>
          <w:sz w:val="20"/>
          <w:szCs w:val="20"/>
          <w:color w:val="auto"/>
        </w:rPr>
      </w:pPr>
      <w:r>
        <w:rPr>
          <w:rFonts w:ascii="Courier New" w:cs="Courier New" w:eastAsia="Courier New" w:hAnsi="Courier New"/>
          <w:sz w:val="14"/>
          <w:szCs w:val="14"/>
          <w:color w:val="auto"/>
        </w:rPr>
        <w:t>Effective January 28, 2001, TJX implemented SFAS No. 133, "Accounting for Derivative Instruments and Hedging Activities." This Statement, as amended, established accounting and reporting standards for derivative instruments, including certain derivative instruments embedded in other contracts, and for hedging activities. This Statement requires that an entity recognize all derivatives as either assets or liabilities in the statements of financial position and measure those instruments at fair value. This Statement also requires that companies recognize adjustments to the fair value of derivatives in earnings when they occur, if they do not qualify for hedge accounting. For derivatives that qualify for hedge accounting, changes in the fair value of the derivatives can be recognized currently in earnings, along with an offsetting adjustment against the basis of the underlying hedged item, or can be deferred in accumulated other comprehensive income.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860"/>
          </w:cols>
          <w:pgMar w:left="220" w:top="620" w:right="819" w:bottom="1440" w:gutter="0" w:footer="0" w:header="0"/>
        </w:sectPr>
      </w:pPr>
    </w:p>
    <w:bookmarkStart w:id="73" w:name="page74"/>
    <w:bookmarkEnd w:id="73"/>
    <w:p>
      <w:pPr>
        <w:ind w:left="252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This Statement affects the accounting for TJX's hedging contracts. As described in Note C, we periodically enter into forward foreign currency exchange contracts to hedge certain merchandise purchase commitments, intercompany balances, including intercompany debt, and net investment in and between foreign subsidiaries. Through January 27, 2001, we applied hedge accounting to these contracts. Upon adoption of SFAS No. 133, we prospectively elected not to apply the hedge accounting rules to our merchandise purchase commitment and intercompany balance (excluding intercompany debt) related contracts, even though these contracts effectively function as an economic hedge of the underlying exposure. Thus, the changes in fair value of the merchandise purchase commitment and intercompany balance (excluding intercompany debt) related contracts are reported in current earnings as a component of selling, general and administrative expenses, with no offset for marking the underlying exposure to fair value. We continue to apply hedge accounting to our net investment hedge contracts, and changes in fair value of these contracts, as well as gains and losses upon settlement, are recorded in accumulated other comprehensive income, offsetting changes in the cumulative foreign translation adjustments of our foreign divisions. We also apply hedge accounting to intercompany debt hedge contracts. If we deem the intercompany debt to be indefinitely invested, the hedge contracts are designated as net investment hedges and accounted for as described above. For all other intercompany debt, the changes in fair value of the related contracts are recorded in the statement of income and offset by marking the underlying item to fair value in the same period. Upon settlement, the realized gains and losses on these contracts are offset by the realized gains and losses of the underlying item in the statement of income.</w:t>
      </w:r>
    </w:p>
    <w:p>
      <w:pPr>
        <w:spacing w:after="0" w:line="34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At implementation of SFAS No. 133, the fair value of all of TJX's hedge contracts amounted to a net asset of $10.0 million, most of which related to net investment hedge contracts. The carrying value of all hedge contracts before adoption was $12.8 million. We also wrote off a net deferred asset of $1.2 million, related to premiums on existing hedge contracts, and thus recorded a charge to accumulated other comprehensive income for the cumulative effect of an accounting change of $1.6 million effective January 28, 2001.</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NEW ACCOUNTING STANDARDS: In June 2002, the FASB issued SFAS No. 146, "Accounting for Costs Associated with Exit or Disposal Activities." This Statement addresses financial accounting and reporting for costs associated with exit or disposal activities including store closing activities. The provisions of SFAS No. 146 are effective for exit or disposal activities initiated after December 31, 2002, with early adoption encouraged. Generally the effect of these provisions is to defer the recording of certain store closing costs from the date we commit to close a store to the date the store actually closes. The adoption of SFAS No. 146 will not have a material impact on our financial position or results of operations.</w:t>
      </w:r>
    </w:p>
    <w:p>
      <w:pPr>
        <w:spacing w:after="0" w:line="331"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December 2002, the FASB issued SFAS No. 148, "Accounting for Stock-Based Compensation - Transition and Disclosure." This Statement amends SFAS No. 123, "Accounting for Stock-Based Compensation," and provides alternative methods of transition for entities that voluntarily convert to the fair value based method of accounting for stock-based employee compensation and requires amended disclosure presentation for the fiscal year ending January 25, 2003 and all subsequent interim periods. We anticipate that the FASB may issue additional guidance or propose additional changes in this area. While we await additional FASB guidance we are continuing to account for stock-based compensation in accordance with APB Opinion No. 25.</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In November 2002, the FASB issued FASB Interpretation No. 45 "Guarantor's Accounting and Disclosure Requirements for Guarantees, Including Indirect Guarantees of Indebtedness of Others." This Interpretation specifies certain disclosures for guarantees issued by an entity and requires recognition and measurement at fair value for certain types of guarantees. We have included the disclosure requirements of the interpretation with regard to guarantees made by TJX in Note L. The recognition and measurement provisions, which we believe will not have a material effect on our financial position or results of operation, are effective for qualifying guarantees issued after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31, 2002.</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RECLASSIFICATIONS: We have reclassified certain amounts in prior years' financial statements for comparative purposes. Major reclassifications include the separate presentation of federal and state income taxes payable on the balance sheets and statements of cash flow and a more detailed presentation of unearned stock compensation within the statements of shareholders' equity.</w:t>
      </w:r>
    </w:p>
    <w:p>
      <w:pPr>
        <w:spacing w:after="0" w:line="162" w:lineRule="exact"/>
        <w:rPr>
          <w:sz w:val="20"/>
          <w:szCs w:val="20"/>
          <w:color w:val="auto"/>
        </w:rPr>
      </w:pPr>
    </w:p>
    <w:p>
      <w:pPr>
        <w:ind w:right="3639" w:firstLine="781"/>
        <w:spacing w:after="0" w:line="258" w:lineRule="auto"/>
        <w:rPr>
          <w:sz w:val="20"/>
          <w:szCs w:val="20"/>
          <w:color w:val="auto"/>
        </w:rPr>
      </w:pPr>
      <w:r>
        <w:rPr>
          <w:rFonts w:ascii="Courier New" w:cs="Courier New" w:eastAsia="Courier New" w:hAnsi="Courier New"/>
          <w:sz w:val="14"/>
          <w:szCs w:val="14"/>
          <w:color w:val="auto"/>
        </w:rPr>
        <w:t>None of the reclassifications had any impact on net income, current liabilities or total shareholders' equity as previously reported.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74" w:name="page75"/>
    <w:bookmarkEnd w:id="74"/>
    <w:p>
      <w:pPr>
        <w:ind w:left="252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LONG-TERM DEBT AND CREDIT LINES</w:t>
      </w:r>
    </w:p>
    <w:p>
      <w:pPr>
        <w:spacing w:after="0" w:line="175" w:lineRule="exact"/>
        <w:rPr>
          <w:sz w:val="20"/>
          <w:szCs w:val="20"/>
          <w:color w:val="auto"/>
        </w:rPr>
      </w:pPr>
    </w:p>
    <w:p>
      <w:pPr>
        <w:ind w:right="4260"/>
        <w:spacing w:after="0" w:line="255" w:lineRule="auto"/>
        <w:rPr>
          <w:sz w:val="20"/>
          <w:szCs w:val="20"/>
          <w:color w:val="auto"/>
        </w:rPr>
      </w:pPr>
      <w:r>
        <w:rPr>
          <w:rFonts w:ascii="Courier New" w:cs="Courier New" w:eastAsia="Courier New" w:hAnsi="Courier New"/>
          <w:sz w:val="14"/>
          <w:szCs w:val="14"/>
          <w:color w:val="auto"/>
        </w:rPr>
        <w:t>The table below presents long-term debt, exclusive of current installments, as of January 25, 2003 and January 26, 2002. Capital lease obligations are separately presented in Note 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248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JANUARY 25,</w:t>
            </w:r>
          </w:p>
        </w:tc>
        <w:tc>
          <w:tcPr>
            <w:tcW w:w="1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January 26,</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260" w:type="dxa"/>
            <w:vAlign w:val="bottom"/>
          </w:tcPr>
          <w:p>
            <w:pPr>
              <w:spacing w:after="0"/>
              <w:rPr>
                <w:sz w:val="14"/>
                <w:szCs w:val="14"/>
                <w:color w:val="auto"/>
              </w:rPr>
            </w:pPr>
          </w:p>
        </w:tc>
        <w:tc>
          <w:tcPr>
            <w:tcW w:w="1220" w:type="dxa"/>
            <w:vAlign w:val="bottom"/>
          </w:tcPr>
          <w:p>
            <w:pPr>
              <w:jc w:val="right"/>
              <w:ind w:right="808"/>
              <w:spacing w:after="0"/>
              <w:rPr>
                <w:sz w:val="20"/>
                <w:szCs w:val="20"/>
                <w:color w:val="auto"/>
              </w:rPr>
            </w:pPr>
            <w:r>
              <w:rPr>
                <w:rFonts w:ascii="Courier New" w:cs="Courier New" w:eastAsia="Courier New" w:hAnsi="Courier New"/>
                <w:sz w:val="14"/>
                <w:szCs w:val="14"/>
                <w:color w:val="auto"/>
                <w:w w:val="95"/>
              </w:rPr>
              <w:t>2003</w:t>
            </w:r>
          </w:p>
        </w:tc>
        <w:tc>
          <w:tcPr>
            <w:tcW w:w="2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340" w:type="dxa"/>
            <w:vAlign w:val="bottom"/>
          </w:tcPr>
          <w:p>
            <w:pPr>
              <w:spacing w:after="0"/>
              <w:rPr>
                <w:sz w:val="20"/>
                <w:szCs w:val="20"/>
                <w:color w:val="auto"/>
              </w:rPr>
            </w:pPr>
            <w:r>
              <w:rPr>
                <w:rFonts w:ascii="Courier New" w:cs="Courier New" w:eastAsia="Courier New" w:hAnsi="Courier New"/>
                <w:sz w:val="14"/>
                <w:szCs w:val="14"/>
                <w:color w:val="auto"/>
              </w:rPr>
              <w:t>General corporate debt:</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7340" w:type="dxa"/>
            <w:vAlign w:val="bottom"/>
          </w:tcPr>
          <w:p>
            <w:pPr>
              <w:ind w:left="180"/>
              <w:spacing w:after="0"/>
              <w:rPr>
                <w:sz w:val="20"/>
                <w:szCs w:val="20"/>
                <w:color w:val="auto"/>
              </w:rPr>
            </w:pPr>
            <w:r>
              <w:rPr>
                <w:rFonts w:ascii="Courier New" w:cs="Courier New" w:eastAsia="Courier New" w:hAnsi="Courier New"/>
                <w:sz w:val="14"/>
                <w:szCs w:val="14"/>
                <w:color w:val="auto"/>
              </w:rPr>
              <w:t>Medium term notes, interest at 5.87% on $15,000 maturing</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October 21, 2003</w:t>
            </w:r>
          </w:p>
        </w:tc>
        <w:tc>
          <w:tcPr>
            <w:tcW w:w="126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15,000</w:t>
            </w:r>
          </w:p>
        </w:tc>
      </w:tr>
      <w:tr>
        <w:trPr>
          <w:trHeight w:val="167"/>
        </w:trPr>
        <w:tc>
          <w:tcPr>
            <w:tcW w:w="7340" w:type="dxa"/>
            <w:vAlign w:val="bottom"/>
          </w:tcPr>
          <w:p>
            <w:pPr>
              <w:ind w:left="180"/>
              <w:spacing w:after="0"/>
              <w:rPr>
                <w:sz w:val="20"/>
                <w:szCs w:val="20"/>
                <w:color w:val="auto"/>
              </w:rPr>
            </w:pPr>
            <w:r>
              <w:rPr>
                <w:rFonts w:ascii="Courier New" w:cs="Courier New" w:eastAsia="Courier New" w:hAnsi="Courier New"/>
                <w:sz w:val="14"/>
                <w:szCs w:val="14"/>
                <w:color w:val="auto"/>
              </w:rPr>
              <w:t>Medium term notes, interest at 7.97% on $5,000 maturing</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September 20, 2004</w:t>
            </w:r>
          </w:p>
        </w:tc>
        <w:tc>
          <w:tcPr>
            <w:tcW w:w="126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5,000</w:t>
            </w:r>
          </w:p>
        </w:tc>
        <w:tc>
          <w:tcPr>
            <w:tcW w:w="2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w:t>
            </w:r>
          </w:p>
        </w:tc>
      </w:tr>
      <w:tr>
        <w:trPr>
          <w:trHeight w:val="167"/>
        </w:trPr>
        <w:tc>
          <w:tcPr>
            <w:tcW w:w="7340" w:type="dxa"/>
            <w:vAlign w:val="bottom"/>
          </w:tcPr>
          <w:p>
            <w:pPr>
              <w:ind w:left="180"/>
              <w:spacing w:after="0"/>
              <w:rPr>
                <w:sz w:val="20"/>
                <w:szCs w:val="20"/>
                <w:color w:val="auto"/>
              </w:rPr>
            </w:pPr>
            <w:r>
              <w:rPr>
                <w:rFonts w:ascii="Courier New" w:cs="Courier New" w:eastAsia="Courier New" w:hAnsi="Courier New"/>
                <w:sz w:val="14"/>
                <w:szCs w:val="14"/>
                <w:color w:val="auto"/>
              </w:rPr>
              <w:t>7% unsecured notes, maturing June 15, 2005 (effective interest rate of</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7.02% after reduction of the unamortized debt discount of $33</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and $47 in fiscal 2003 and 2002, respectively)</w:t>
            </w:r>
          </w:p>
        </w:tc>
        <w:tc>
          <w:tcPr>
            <w:tcW w:w="126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99,967</w:t>
            </w:r>
          </w:p>
        </w:tc>
        <w:tc>
          <w:tcPr>
            <w:tcW w:w="2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99,953</w:t>
            </w:r>
          </w:p>
        </w:tc>
      </w:tr>
      <w:tr>
        <w:trPr>
          <w:trHeight w:val="167"/>
        </w:trPr>
        <w:tc>
          <w:tcPr>
            <w:tcW w:w="7340" w:type="dxa"/>
            <w:vAlign w:val="bottom"/>
          </w:tcPr>
          <w:p>
            <w:pPr>
              <w:ind w:left="180"/>
              <w:spacing w:after="0"/>
              <w:rPr>
                <w:sz w:val="20"/>
                <w:szCs w:val="20"/>
                <w:color w:val="auto"/>
              </w:rPr>
            </w:pPr>
            <w:r>
              <w:rPr>
                <w:rFonts w:ascii="Courier New" w:cs="Courier New" w:eastAsia="Courier New" w:hAnsi="Courier New"/>
                <w:sz w:val="14"/>
                <w:szCs w:val="14"/>
                <w:color w:val="auto"/>
              </w:rPr>
              <w:t>7.45% unsecured notes, maturing December 15, 2009 (effective interest</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rate of 7.50% after reduction of unamortized debt discount of</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$439 and $503 in fiscal 2003 and 2002, respectively)</w:t>
            </w:r>
          </w:p>
        </w:tc>
        <w:tc>
          <w:tcPr>
            <w:tcW w:w="126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8"/>
              </w:rPr>
              <w:t>199,561</w:t>
            </w:r>
          </w:p>
        </w:tc>
        <w:tc>
          <w:tcPr>
            <w:tcW w:w="2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199,497</w:t>
            </w:r>
          </w:p>
        </w:tc>
      </w:tr>
      <w:tr>
        <w:trPr>
          <w:trHeight w:val="167"/>
        </w:trPr>
        <w:tc>
          <w:tcPr>
            <w:tcW w:w="7340" w:type="dxa"/>
            <w:vAlign w:val="bottom"/>
          </w:tcPr>
          <w:p>
            <w:pPr>
              <w:spacing w:after="0"/>
              <w:rPr>
                <w:sz w:val="14"/>
                <w:szCs w:val="14"/>
                <w:color w:val="auto"/>
              </w:rPr>
            </w:pPr>
          </w:p>
        </w:tc>
        <w:tc>
          <w:tcPr>
            <w:tcW w:w="24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ind w:left="180"/>
              <w:spacing w:after="0"/>
              <w:rPr>
                <w:sz w:val="20"/>
                <w:szCs w:val="20"/>
                <w:color w:val="auto"/>
              </w:rPr>
            </w:pPr>
            <w:r>
              <w:rPr>
                <w:rFonts w:ascii="Courier New" w:cs="Courier New" w:eastAsia="Courier New" w:hAnsi="Courier New"/>
                <w:sz w:val="14"/>
                <w:szCs w:val="14"/>
                <w:color w:val="auto"/>
              </w:rPr>
              <w:t>Total general corporate debt</w:t>
            </w:r>
          </w:p>
        </w:tc>
        <w:tc>
          <w:tcPr>
            <w:tcW w:w="126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8"/>
              </w:rPr>
              <w:t>304,528</w:t>
            </w:r>
          </w:p>
        </w:tc>
        <w:tc>
          <w:tcPr>
            <w:tcW w:w="2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319,450</w:t>
            </w:r>
          </w:p>
        </w:tc>
      </w:tr>
      <w:tr>
        <w:trPr>
          <w:trHeight w:val="167"/>
        </w:trPr>
        <w:tc>
          <w:tcPr>
            <w:tcW w:w="7340" w:type="dxa"/>
            <w:vAlign w:val="bottom"/>
          </w:tcPr>
          <w:p>
            <w:pPr>
              <w:spacing w:after="0"/>
              <w:rPr>
                <w:sz w:val="14"/>
                <w:szCs w:val="14"/>
                <w:color w:val="auto"/>
              </w:rPr>
            </w:pPr>
          </w:p>
        </w:tc>
        <w:tc>
          <w:tcPr>
            <w:tcW w:w="24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Subordinated debt:</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ind w:left="180"/>
              <w:spacing w:after="0"/>
              <w:rPr>
                <w:sz w:val="20"/>
                <w:szCs w:val="20"/>
                <w:color w:val="auto"/>
              </w:rPr>
            </w:pPr>
            <w:r>
              <w:rPr>
                <w:rFonts w:ascii="Courier New" w:cs="Courier New" w:eastAsia="Courier New" w:hAnsi="Courier New"/>
                <w:sz w:val="14"/>
                <w:szCs w:val="14"/>
                <w:color w:val="auto"/>
              </w:rPr>
              <w:t>Zero coupon convertible subordinated notes due February 13, 2021, after</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reduction of unamortized debt discount of $157,252 and $164,907</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ind w:left="360"/>
              <w:spacing w:after="0"/>
              <w:rPr>
                <w:sz w:val="20"/>
                <w:szCs w:val="20"/>
                <w:color w:val="auto"/>
              </w:rPr>
            </w:pPr>
            <w:r>
              <w:rPr>
                <w:rFonts w:ascii="Courier New" w:cs="Courier New" w:eastAsia="Courier New" w:hAnsi="Courier New"/>
                <w:sz w:val="14"/>
                <w:szCs w:val="14"/>
                <w:color w:val="auto"/>
              </w:rPr>
              <w:t>in fiscal 2003 and 2002, respectively</w:t>
            </w:r>
          </w:p>
        </w:tc>
        <w:tc>
          <w:tcPr>
            <w:tcW w:w="126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8"/>
              </w:rPr>
              <w:t>360,248</w:t>
            </w:r>
          </w:p>
        </w:tc>
        <w:tc>
          <w:tcPr>
            <w:tcW w:w="2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352,593</w:t>
            </w:r>
          </w:p>
        </w:tc>
      </w:tr>
      <w:tr>
        <w:trPr>
          <w:trHeight w:val="167"/>
        </w:trPr>
        <w:tc>
          <w:tcPr>
            <w:tcW w:w="7340" w:type="dxa"/>
            <w:vAlign w:val="bottom"/>
          </w:tcPr>
          <w:p>
            <w:pPr>
              <w:spacing w:after="0"/>
              <w:rPr>
                <w:sz w:val="14"/>
                <w:szCs w:val="14"/>
                <w:color w:val="auto"/>
              </w:rPr>
            </w:pPr>
          </w:p>
        </w:tc>
        <w:tc>
          <w:tcPr>
            <w:tcW w:w="24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ind w:left="180"/>
              <w:spacing w:after="0"/>
              <w:rPr>
                <w:sz w:val="20"/>
                <w:szCs w:val="20"/>
                <w:color w:val="auto"/>
              </w:rPr>
            </w:pPr>
            <w:r>
              <w:rPr>
                <w:rFonts w:ascii="Courier New" w:cs="Courier New" w:eastAsia="Courier New" w:hAnsi="Courier New"/>
                <w:sz w:val="14"/>
                <w:szCs w:val="14"/>
                <w:color w:val="auto"/>
              </w:rPr>
              <w:t>Total subordinated debt</w:t>
            </w:r>
          </w:p>
        </w:tc>
        <w:tc>
          <w:tcPr>
            <w:tcW w:w="126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8"/>
              </w:rPr>
              <w:t>360,248</w:t>
            </w:r>
          </w:p>
        </w:tc>
        <w:tc>
          <w:tcPr>
            <w:tcW w:w="2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352,593</w:t>
            </w:r>
          </w:p>
        </w:tc>
      </w:tr>
      <w:tr>
        <w:trPr>
          <w:trHeight w:val="167"/>
        </w:trPr>
        <w:tc>
          <w:tcPr>
            <w:tcW w:w="7340" w:type="dxa"/>
            <w:vAlign w:val="bottom"/>
          </w:tcPr>
          <w:p>
            <w:pPr>
              <w:spacing w:after="0"/>
              <w:rPr>
                <w:sz w:val="14"/>
                <w:szCs w:val="14"/>
                <w:color w:val="auto"/>
              </w:rPr>
            </w:pPr>
          </w:p>
        </w:tc>
        <w:tc>
          <w:tcPr>
            <w:tcW w:w="24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Long-term debt, exclusive of current installments</w:t>
            </w:r>
          </w:p>
        </w:tc>
        <w:tc>
          <w:tcPr>
            <w:tcW w:w="1260" w:type="dxa"/>
            <w:vAlign w:val="bottom"/>
          </w:tcPr>
          <w:p>
            <w:pPr>
              <w:ind w:left="100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8"/>
              </w:rPr>
              <w:t>664,776</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672,043</w:t>
            </w:r>
          </w:p>
        </w:tc>
      </w:tr>
      <w:tr>
        <w:trPr>
          <w:trHeight w:val="167"/>
        </w:trPr>
        <w:tc>
          <w:tcPr>
            <w:tcW w:w="7340" w:type="dxa"/>
            <w:vAlign w:val="bottom"/>
          </w:tcPr>
          <w:p>
            <w:pPr>
              <w:spacing w:after="0"/>
              <w:rPr>
                <w:sz w:val="14"/>
                <w:szCs w:val="14"/>
                <w:color w:val="auto"/>
              </w:rPr>
            </w:pPr>
          </w:p>
        </w:tc>
        <w:tc>
          <w:tcPr>
            <w:tcW w:w="24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501"/>
        </w:trPr>
        <w:tc>
          <w:tcPr>
            <w:tcW w:w="7340" w:type="dxa"/>
            <w:vAlign w:val="bottom"/>
          </w:tcPr>
          <w:p>
            <w:pPr>
              <w:ind w:left="800"/>
              <w:spacing w:after="0"/>
              <w:rPr>
                <w:sz w:val="20"/>
                <w:szCs w:val="20"/>
                <w:color w:val="auto"/>
              </w:rPr>
            </w:pPr>
            <w:r>
              <w:rPr>
                <w:rFonts w:ascii="Courier New" w:cs="Courier New" w:eastAsia="Courier New" w:hAnsi="Courier New"/>
                <w:sz w:val="14"/>
                <w:szCs w:val="14"/>
                <w:color w:val="auto"/>
              </w:rPr>
              <w:t>The aggregate maturities of long-term debt, exclusive of current</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installments at January 25, 2003 are as follows:</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668"/>
        </w:trPr>
        <w:tc>
          <w:tcPr>
            <w:tcW w:w="73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48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Long-Term Debt</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80" w:type="dxa"/>
            <w:vAlign w:val="bottom"/>
            <w:gridSpan w:val="2"/>
          </w:tcPr>
          <w:p>
            <w:pPr>
              <w:ind w:left="1180"/>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7340" w:type="dxa"/>
            <w:vAlign w:val="bottom"/>
          </w:tcPr>
          <w:p>
            <w:pPr>
              <w:spacing w:after="0"/>
              <w:rPr>
                <w:sz w:val="20"/>
                <w:szCs w:val="20"/>
                <w:color w:val="auto"/>
              </w:rPr>
            </w:pPr>
            <w:r>
              <w:rPr>
                <w:rFonts w:ascii="Courier New" w:cs="Courier New" w:eastAsia="Courier New" w:hAnsi="Courier New"/>
                <w:sz w:val="14"/>
                <w:szCs w:val="14"/>
                <w:color w:val="auto"/>
              </w:rPr>
              <w:t>Fiscal Year</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260" w:type="dxa"/>
            <w:vAlign w:val="bottom"/>
          </w:tcPr>
          <w:p>
            <w:pPr>
              <w:ind w:left="1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365,248</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126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99,967</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126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26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Later years</w:t>
            </w:r>
          </w:p>
        </w:tc>
        <w:tc>
          <w:tcPr>
            <w:tcW w:w="1260" w:type="dxa"/>
            <w:vAlign w:val="bottom"/>
          </w:tcPr>
          <w:p>
            <w:pPr>
              <w:spacing w:after="0"/>
              <w:rPr>
                <w:sz w:val="14"/>
                <w:szCs w:val="14"/>
                <w:color w:val="auto"/>
              </w:rPr>
            </w:pP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199,561</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spacing w:after="0"/>
              <w:rPr>
                <w:sz w:val="14"/>
                <w:szCs w:val="14"/>
                <w:color w:val="auto"/>
              </w:rPr>
            </w:pPr>
          </w:p>
        </w:tc>
        <w:tc>
          <w:tcPr>
            <w:tcW w:w="2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spacing w:after="0"/>
              <w:rPr>
                <w:sz w:val="20"/>
                <w:szCs w:val="20"/>
                <w:color w:val="auto"/>
              </w:rPr>
            </w:pPr>
            <w:r>
              <w:rPr>
                <w:rFonts w:ascii="Courier New" w:cs="Courier New" w:eastAsia="Courier New" w:hAnsi="Courier New"/>
                <w:sz w:val="14"/>
                <w:szCs w:val="14"/>
                <w:color w:val="auto"/>
              </w:rPr>
              <w:t>Aggregate maturities of long-term debt, exclusive of current installments</w:t>
            </w:r>
          </w:p>
        </w:tc>
        <w:tc>
          <w:tcPr>
            <w:tcW w:w="1260" w:type="dxa"/>
            <w:vAlign w:val="bottom"/>
          </w:tcPr>
          <w:p>
            <w:pPr>
              <w:ind w:left="1180"/>
              <w:spacing w:after="0"/>
              <w:rPr>
                <w:sz w:val="20"/>
                <w:szCs w:val="20"/>
                <w:color w:val="auto"/>
              </w:rPr>
            </w:pPr>
            <w:r>
              <w:rPr>
                <w:rFonts w:ascii="Courier New" w:cs="Courier New" w:eastAsia="Courier New" w:hAnsi="Courier New"/>
                <w:sz w:val="14"/>
                <w:szCs w:val="14"/>
                <w:color w:val="auto"/>
                <w:w w:val="70"/>
              </w:rPr>
              <w:t>$</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664,776</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7340" w:type="dxa"/>
            <w:vAlign w:val="bottom"/>
          </w:tcPr>
          <w:p>
            <w:pPr>
              <w:spacing w:after="0"/>
              <w:rPr>
                <w:sz w:val="14"/>
                <w:szCs w:val="14"/>
                <w:color w:val="auto"/>
              </w:rPr>
            </w:pPr>
          </w:p>
        </w:tc>
        <w:tc>
          <w:tcPr>
            <w:tcW w:w="24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338" w:lineRule="exact"/>
        <w:rPr>
          <w:sz w:val="20"/>
          <w:szCs w:val="20"/>
          <w:color w:val="auto"/>
        </w:rPr>
      </w:pPr>
    </w:p>
    <w:p>
      <w:pPr>
        <w:ind w:right="4080"/>
        <w:spacing w:after="0" w:line="254" w:lineRule="auto"/>
        <w:rPr>
          <w:sz w:val="20"/>
          <w:szCs w:val="20"/>
          <w:color w:val="auto"/>
        </w:rPr>
      </w:pPr>
      <w:r>
        <w:rPr>
          <w:rFonts w:ascii="Courier New" w:cs="Courier New" w:eastAsia="Courier New" w:hAnsi="Courier New"/>
          <w:sz w:val="14"/>
          <w:szCs w:val="14"/>
          <w:color w:val="auto"/>
        </w:rPr>
        <w:t>The above maturity table assumes that all holders of the zero coupon convertible subordinated notes exercise their put options in fiscal 2005. The note holders also have put options available to them in fiscal 2008 and 2014. If none of the put options are exercised and the notes are not redeemed or converted, the notes will mature in fiscal 2022.</w:t>
      </w:r>
    </w:p>
    <w:p>
      <w:pPr>
        <w:spacing w:after="0" w:line="162" w:lineRule="exact"/>
        <w:rPr>
          <w:sz w:val="20"/>
          <w:szCs w:val="20"/>
          <w:color w:val="auto"/>
        </w:rPr>
      </w:pPr>
    </w:p>
    <w:p>
      <w:pPr>
        <w:ind w:right="4080" w:firstLine="781"/>
        <w:spacing w:after="0" w:line="252" w:lineRule="auto"/>
        <w:rPr>
          <w:sz w:val="20"/>
          <w:szCs w:val="20"/>
          <w:color w:val="auto"/>
        </w:rPr>
      </w:pPr>
      <w:r>
        <w:rPr>
          <w:rFonts w:ascii="Courier New" w:cs="Courier New" w:eastAsia="Courier New" w:hAnsi="Courier New"/>
          <w:sz w:val="14"/>
          <w:szCs w:val="14"/>
          <w:color w:val="auto"/>
        </w:rPr>
        <w:t>In February 2001, TJX issued $517.5 million zero coupon convertible subordinated notes due in February 2021 and raised gross proceeds of $347.6 million. The issue price of the notes represents a yield to maturity of 2% per year. Due to provisions of the first put option on February 13, 2002, we amortized the debt discount assuming a 1.5% yield for fiscal 2002. The notes are subordinated to all existing and future senior indebtedness of TJX. The notes are convertible into 16.9 million shares of common stock of TJX if the sale price of our common stock reaches specified thresholds, if the credit rating of the notes is below investment grade, if the notes are called for redemption or if certain specified corporate transactions occur. The holders of the notes have the right to require us to purchase the notes for $369.0 million, $391.7 million and $441.3 million on February 13, 2004, 2007 and 2013, respectively. The repurchase amounts represent original purchase price plus accrued original issue discount. We may pay the purchase price in cash, TJX stock, or a combination of the two. If the holders exercise their put options, we expect to fund the payment with cash, financing from our short-term credit facility, new long-term borrowings or a combination thereof. At the first put date of February</w:t>
      </w:r>
    </w:p>
    <w:p>
      <w:pPr>
        <w:spacing w:after="0" w:line="6" w:lineRule="exact"/>
        <w:rPr>
          <w:sz w:val="20"/>
          <w:szCs w:val="20"/>
          <w:color w:val="auto"/>
        </w:rPr>
      </w:pPr>
    </w:p>
    <w:p>
      <w:pPr>
        <w:ind w:right="4180"/>
        <w:spacing w:after="0" w:line="253" w:lineRule="auto"/>
        <w:rPr>
          <w:sz w:val="20"/>
          <w:szCs w:val="20"/>
          <w:color w:val="auto"/>
        </w:rPr>
      </w:pPr>
      <w:r>
        <w:rPr>
          <w:rFonts w:ascii="Courier New" w:cs="Courier New" w:eastAsia="Courier New" w:hAnsi="Courier New"/>
          <w:sz w:val="14"/>
          <w:szCs w:val="14"/>
          <w:color w:val="auto"/>
        </w:rPr>
        <w:t>13, 2002, no holder exercised the put option. In addition, if a change in control of TJX occurs on or before February 13, 2007, each holder may require TJX to purchase for cash all or a portion of such holder's notes. We may redeem for cash all, or a portion of, the notes at any time on or after February 13, 2007 for the original purchase price plus accrued original issue discount. We used the proceeds for our accelerated store roll-out program, investment in our distribution center network, our common stock repurchase program and general corporate purposes.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1040"/>
          </w:cols>
          <w:pgMar w:left="220" w:top="620" w:right="639" w:bottom="473" w:gutter="0" w:footer="0" w:header="0"/>
        </w:sectPr>
      </w:pPr>
    </w:p>
    <w:bookmarkStart w:id="75" w:name="page76"/>
    <w:bookmarkEnd w:id="75"/>
    <w:p>
      <w:pPr>
        <w:ind w:left="252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379" w:firstLine="781"/>
        <w:spacing w:after="0" w:line="255" w:lineRule="auto"/>
        <w:rPr>
          <w:sz w:val="20"/>
          <w:szCs w:val="20"/>
          <w:color w:val="auto"/>
        </w:rPr>
      </w:pPr>
      <w:r>
        <w:rPr>
          <w:rFonts w:ascii="Courier New" w:cs="Courier New" w:eastAsia="Courier New" w:hAnsi="Courier New"/>
          <w:sz w:val="14"/>
          <w:szCs w:val="14"/>
          <w:color w:val="auto"/>
        </w:rPr>
        <w:t>In December 1999, TJX issued $200 million of 7.45% ten-year notes. The proceeds were used for general corporate purposes, including our ongoing stock repurchase program.</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TJX periodically enters into financial instruments to manage our cost of borrowing. TJX entered into a rate-lock agreement to hedge the underlying treasury rate of the $200 million ten-year notes, prior to their issuance in December 1999. The cost of this agreement has been deferred and is being amortized to interest expense over the term of the notes and results in an effective rate of 7.60% on the debt.</w:t>
      </w:r>
    </w:p>
    <w:p>
      <w:pPr>
        <w:spacing w:after="0" w:line="165" w:lineRule="exact"/>
        <w:rPr>
          <w:sz w:val="20"/>
          <w:szCs w:val="20"/>
          <w:color w:val="auto"/>
        </w:rPr>
      </w:pPr>
    </w:p>
    <w:p>
      <w:pPr>
        <w:ind w:right="3379" w:firstLine="781"/>
        <w:spacing w:after="0" w:line="252" w:lineRule="auto"/>
        <w:rPr>
          <w:sz w:val="20"/>
          <w:szCs w:val="20"/>
          <w:color w:val="auto"/>
        </w:rPr>
      </w:pPr>
      <w:r>
        <w:rPr>
          <w:rFonts w:ascii="Courier New" w:cs="Courier New" w:eastAsia="Courier New" w:hAnsi="Courier New"/>
          <w:sz w:val="14"/>
          <w:szCs w:val="14"/>
          <w:color w:val="auto"/>
        </w:rPr>
        <w:t>During fiscal 2003, we entered into a $370 million five-year revolving credit facility and a $320 million 364-day revolving credit facility, replacing similar agreements scheduled to expire during fiscal 2003. On March 24, 2003, the 364-day agreement was renewed and increased to $330 million, with substantially all of the other terms and conditions of the original facility remaining unchanged. Our ability to borrow under the agreements is not limited by our debt rating level. The credit facilities do not require any compensating balances however, TJX must maintain certain leverage and fixed charge coverage ratios. Based on our current financial condition, we believe that the possibility of non-compliance with these covenants is remote. The revolving credit facilities are used as backup to our commercial paper program. As of January 25, 2003, all $690 million of the revolving credit facilities were available for use. Interest is payable on borrowings at rates equal to or less than prime. There were no short-term borrowings during fiscal 2003. The maximum amount of our U.S. short-term borrowings was $39 million and $330 million in fiscal 2002 and 2001, respectively. The weighted average interest rate on our U.S. short-term borrowings was 5.32% and 6.82% in fiscal 2002 and 2001, respectively.</w:t>
      </w:r>
    </w:p>
    <w:p>
      <w:pPr>
        <w:spacing w:after="0" w:line="34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As of January 25, 2003, TJX had credit lines totaling C$40 million for its Canadian subsidiary. The maximum amount outstanding under our Canadian credit lines was C$19.2 million in fiscal 2003, C$22.6 million in fiscal 2002 and C$15.2 million in fiscal 2001. Subsequent to the end of fiscal 2003, our Canadian credit lines were reduced to C$20 million.</w:t>
      </w:r>
    </w:p>
    <w:p>
      <w:pPr>
        <w:spacing w:after="0" w:line="162" w:lineRule="exact"/>
        <w:rPr>
          <w:sz w:val="20"/>
          <w:szCs w:val="20"/>
          <w:color w:val="auto"/>
        </w:rPr>
      </w:pPr>
    </w:p>
    <w:p>
      <w:pPr>
        <w:ind w:left="440" w:hanging="431"/>
        <w:spacing w:after="0"/>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Effective January 28, 2001, TJX implemented Statement of Financial Accounting Standards ("SFAS") No. 133, "Accounting for Derivative Instruments and Hedging Activities." This Statement requires that all derivatives be recorded on the balance sheets at fair value. See Note A for a description of TJX's foreign currency translation and related hedging activity policy.</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TJX periodically enters into forward foreign currency exchange contracts to obtain an economic hedge on firm U.S. dollar and Euro merchandise purchase commitments made by its foreign subsidiaries. These commitments are typically six months or less in duration. The contracts outstanding at January 25, 2003, cover certain commitments for the first and second quarters of fiscal 2004. TJX elected not to apply hedge accounting rules to these contracts and there- fore includes the change in the fair value of these contracts in earnings as a component of selling, general and administrative expenses. The change in the fair value of these contracts resulted in expense of $2.6 million and income of $855,000 in fiscal 2003 and 2002, respectively.</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TJX enters forward foreign currency exchange contracts to obtain an economic hedge on certain foreign intercompany payables, primarily license fees, for which we elected not to apply hedge accounting rules. Such contracts outstanding at January 25, 2003, cover intercompany payables for the first quarter of fiscal 2004. The change in fair value of these contracts resulted in expense of $1 million in fiscal 2003 and income of $167,000 in fiscal 2002 which is reflected in the related periods' earnings as a component of selling, general and administrative expenses.</w:t>
      </w:r>
    </w:p>
    <w:p>
      <w:pPr>
        <w:spacing w:after="0" w:line="165"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TJX also enters into foreign currency forward and swap contracts in both Canadian dollars and British pound sterling and accounts for them as a hedge of the investment in and between our foreign subsidiaries. Foreign exchange gains and losses as well as fair value adjustments on the agreements are recognized in other comprehensive income, thereby offsetting translation adjustments associated with our investment in and between our foreign subsidiaries.</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change in fair value of the contracts designated as a hedge of the net investment in foreign operations resulted in a loss of $23.2 million that was included in other comprehensive income in fiscal 2003 and a gain of $8.2 million in other comprehensive income in fiscal 2002. The change in the cumulative foreign currency translation adjustment resulted in a gain of $23.0 million and a loss of $8.2 million that was also included as a component of other comprehensive income in fiscal 2003 and 2002, respectively.</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TJX also enters derivative contracts, designated as fair value hedges, to hedge certain foreign intercompany payables, primarily debt and related interest. The net impact of hedging activity related to these intercompany payables resulted in losses of $954,000 and $429,000 in fiscal 2003 and 2002, respectively, which is reflected in earnings as a component of selling, general and administrative expenses.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640" w:gutter="0" w:footer="0" w:header="0"/>
        </w:sectPr>
      </w:pPr>
    </w:p>
    <w:bookmarkStart w:id="76" w:name="page77"/>
    <w:bookmarkEnd w:id="76"/>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4340" w:firstLine="781"/>
        <w:spacing w:after="0" w:line="258" w:lineRule="auto"/>
        <w:rPr>
          <w:sz w:val="20"/>
          <w:szCs w:val="20"/>
          <w:color w:val="auto"/>
        </w:rPr>
      </w:pPr>
      <w:r>
        <w:rPr>
          <w:rFonts w:ascii="Courier New" w:cs="Courier New" w:eastAsia="Courier New" w:hAnsi="Courier New"/>
          <w:sz w:val="14"/>
          <w:szCs w:val="14"/>
          <w:color w:val="auto"/>
        </w:rPr>
        <w:t>Following is a summary of TJX's derivative financial instruments and related fair values, outstanding at January 25, 2003:</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Blended</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Fair Value</w:t>
            </w:r>
          </w:p>
        </w:tc>
      </w:tr>
      <w:tr>
        <w:trPr>
          <w:trHeight w:val="167"/>
        </w:trPr>
        <w:tc>
          <w:tcPr>
            <w:tcW w:w="4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Contract</w:t>
            </w:r>
          </w:p>
        </w:tc>
        <w:tc>
          <w:tcPr>
            <w:tcW w:w="58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Asset</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Pay</w:t>
            </w:r>
          </w:p>
        </w:tc>
        <w:tc>
          <w:tcPr>
            <w:tcW w:w="15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Receive</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Rate</w:t>
            </w: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(Liability)</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Fair value hedges:</w:t>
            </w:r>
          </w:p>
        </w:tc>
        <w:tc>
          <w:tcPr>
            <w:tcW w:w="2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Intercompany balances, primarily debt</w:t>
            </w: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and related interest</w:t>
            </w:r>
          </w:p>
        </w:tc>
        <w:tc>
          <w:tcPr>
            <w:tcW w:w="2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 19,000</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U.S.$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30,024</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1.5802</w:t>
            </w:r>
          </w:p>
        </w:tc>
        <w:tc>
          <w:tcPr>
            <w:tcW w:w="580" w:type="dxa"/>
            <w:vAlign w:val="bottom"/>
          </w:tcPr>
          <w:p>
            <w:pPr>
              <w:ind w:left="140"/>
              <w:spacing w:after="0"/>
              <w:rPr>
                <w:sz w:val="20"/>
                <w:szCs w:val="20"/>
                <w:color w:val="auto"/>
              </w:rPr>
            </w:pPr>
            <w:r>
              <w:rPr>
                <w:rFonts w:ascii="Courier New" w:cs="Courier New" w:eastAsia="Courier New" w:hAnsi="Courier New"/>
                <w:sz w:val="14"/>
                <w:szCs w:val="14"/>
                <w:color w:val="auto"/>
                <w:w w:val="99"/>
              </w:rPr>
              <w:t>U.S.$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(807)</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asset hedges:</w:t>
            </w:r>
          </w:p>
        </w:tc>
        <w:tc>
          <w:tcPr>
            <w:tcW w:w="2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C$388,962</w:t>
            </w:r>
          </w:p>
        </w:tc>
        <w:tc>
          <w:tcPr>
            <w:tcW w:w="1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U.S.$ 247,725</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0.6369</w:t>
            </w:r>
          </w:p>
        </w:tc>
        <w:tc>
          <w:tcPr>
            <w:tcW w:w="580" w:type="dxa"/>
            <w:vAlign w:val="bottom"/>
          </w:tcPr>
          <w:p>
            <w:pPr>
              <w:ind w:left="140"/>
              <w:spacing w:after="0"/>
              <w:rPr>
                <w:sz w:val="20"/>
                <w:szCs w:val="20"/>
                <w:color w:val="auto"/>
              </w:rPr>
            </w:pPr>
            <w:r>
              <w:rPr>
                <w:rFonts w:ascii="Courier New" w:cs="Courier New" w:eastAsia="Courier New" w:hAnsi="Courier New"/>
                <w:sz w:val="14"/>
                <w:szCs w:val="14"/>
                <w:color w:val="auto"/>
                <w:w w:val="99"/>
              </w:rPr>
              <w:t>U.S.$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(5,664)</w:t>
            </w:r>
          </w:p>
        </w:tc>
      </w:tr>
      <w:tr>
        <w:trPr>
          <w:trHeight w:val="167"/>
        </w:trPr>
        <w:tc>
          <w:tcPr>
            <w:tcW w:w="4700" w:type="dxa"/>
            <w:vAlign w:val="bottom"/>
          </w:tcPr>
          <w:p>
            <w:pPr>
              <w:spacing w:after="0"/>
              <w:rPr>
                <w:sz w:val="14"/>
                <w:szCs w:val="14"/>
                <w:color w:val="auto"/>
              </w:rPr>
            </w:pPr>
          </w:p>
        </w:tc>
        <w:tc>
          <w:tcPr>
            <w:tcW w:w="2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 91,000</w:t>
            </w: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C$ 225,817</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2.4815</w:t>
            </w:r>
          </w:p>
        </w:tc>
        <w:tc>
          <w:tcPr>
            <w:tcW w:w="580" w:type="dxa"/>
            <w:vAlign w:val="bottom"/>
          </w:tcPr>
          <w:p>
            <w:pPr>
              <w:ind w:left="140"/>
              <w:spacing w:after="0"/>
              <w:rPr>
                <w:sz w:val="20"/>
                <w:szCs w:val="20"/>
                <w:color w:val="auto"/>
              </w:rPr>
            </w:pPr>
            <w:r>
              <w:rPr>
                <w:rFonts w:ascii="Courier New" w:cs="Courier New" w:eastAsia="Courier New" w:hAnsi="Courier New"/>
                <w:sz w:val="14"/>
                <w:szCs w:val="14"/>
                <w:color w:val="auto"/>
                <w:w w:val="99"/>
              </w:rPr>
              <w:t>U.S.$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(1,567)</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Hedge accounting not elected:</w:t>
            </w:r>
          </w:p>
        </w:tc>
        <w:tc>
          <w:tcPr>
            <w:tcW w:w="2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4700" w:type="dxa"/>
            <w:vAlign w:val="bottom"/>
          </w:tcPr>
          <w:p>
            <w:pPr>
              <w:ind w:left="180"/>
              <w:spacing w:after="0"/>
              <w:rPr>
                <w:sz w:val="20"/>
                <w:szCs w:val="20"/>
                <w:color w:val="auto"/>
              </w:rPr>
            </w:pPr>
            <w:r>
              <w:rPr>
                <w:rFonts w:ascii="Courier New" w:cs="Courier New" w:eastAsia="Courier New" w:hAnsi="Courier New"/>
                <w:sz w:val="14"/>
                <w:szCs w:val="14"/>
                <w:color w:val="auto"/>
              </w:rPr>
              <w:t>Merchandise purchase commitments</w:t>
            </w: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and intercompany balances, primarily</w:t>
            </w: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700" w:type="dxa"/>
            <w:vAlign w:val="bottom"/>
          </w:tcPr>
          <w:p>
            <w:pPr>
              <w:ind w:left="360"/>
              <w:spacing w:after="0"/>
              <w:rPr>
                <w:sz w:val="20"/>
                <w:szCs w:val="20"/>
                <w:color w:val="auto"/>
              </w:rPr>
            </w:pPr>
            <w:r>
              <w:rPr>
                <w:rFonts w:ascii="Courier New" w:cs="Courier New" w:eastAsia="Courier New" w:hAnsi="Courier New"/>
                <w:sz w:val="14"/>
                <w:szCs w:val="14"/>
                <w:color w:val="auto"/>
              </w:rPr>
              <w:t>license fees</w:t>
            </w:r>
          </w:p>
        </w:tc>
        <w:tc>
          <w:tcPr>
            <w:tcW w:w="2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C$ 94,696</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U.S.$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60,259</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0.6363</w:t>
            </w:r>
          </w:p>
        </w:tc>
        <w:tc>
          <w:tcPr>
            <w:tcW w:w="580" w:type="dxa"/>
            <w:vAlign w:val="bottom"/>
          </w:tcPr>
          <w:p>
            <w:pPr>
              <w:ind w:left="140"/>
              <w:spacing w:after="0"/>
              <w:rPr>
                <w:sz w:val="20"/>
                <w:szCs w:val="20"/>
                <w:color w:val="auto"/>
              </w:rPr>
            </w:pPr>
            <w:r>
              <w:rPr>
                <w:rFonts w:ascii="Courier New" w:cs="Courier New" w:eastAsia="Courier New" w:hAnsi="Courier New"/>
                <w:sz w:val="14"/>
                <w:szCs w:val="14"/>
                <w:color w:val="auto"/>
                <w:w w:val="99"/>
              </w:rPr>
              <w:t>U.S.$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(1,945)</w:t>
            </w:r>
          </w:p>
        </w:tc>
      </w:tr>
      <w:tr>
        <w:trPr>
          <w:trHeight w:val="167"/>
        </w:trPr>
        <w:tc>
          <w:tcPr>
            <w:tcW w:w="4700" w:type="dxa"/>
            <w:vAlign w:val="bottom"/>
          </w:tcPr>
          <w:p>
            <w:pPr>
              <w:spacing w:after="0"/>
              <w:rPr>
                <w:sz w:val="14"/>
                <w:szCs w:val="14"/>
                <w:color w:val="auto"/>
              </w:rPr>
            </w:pPr>
          </w:p>
        </w:tc>
        <w:tc>
          <w:tcPr>
            <w:tcW w:w="2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 10,331</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U.S.$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15,910</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1.5400</w:t>
            </w:r>
          </w:p>
        </w:tc>
        <w:tc>
          <w:tcPr>
            <w:tcW w:w="580" w:type="dxa"/>
            <w:vAlign w:val="bottom"/>
          </w:tcPr>
          <w:p>
            <w:pPr>
              <w:ind w:left="140"/>
              <w:spacing w:after="0"/>
              <w:rPr>
                <w:sz w:val="20"/>
                <w:szCs w:val="20"/>
                <w:color w:val="auto"/>
              </w:rPr>
            </w:pPr>
            <w:r>
              <w:rPr>
                <w:rFonts w:ascii="Courier New" w:cs="Courier New" w:eastAsia="Courier New" w:hAnsi="Courier New"/>
                <w:sz w:val="14"/>
                <w:szCs w:val="14"/>
                <w:color w:val="auto"/>
                <w:w w:val="99"/>
              </w:rPr>
              <w:t>U.S.$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(916)</w:t>
            </w:r>
          </w:p>
        </w:tc>
      </w:tr>
      <w:tr>
        <w:trPr>
          <w:trHeight w:val="167"/>
        </w:trPr>
        <w:tc>
          <w:tcPr>
            <w:tcW w:w="4700" w:type="dxa"/>
            <w:vAlign w:val="bottom"/>
          </w:tcPr>
          <w:p>
            <w:pPr>
              <w:spacing w:after="0"/>
              <w:rPr>
                <w:sz w:val="14"/>
                <w:szCs w:val="14"/>
                <w:color w:val="auto"/>
              </w:rPr>
            </w:pPr>
          </w:p>
        </w:tc>
        <w:tc>
          <w:tcPr>
            <w:tcW w:w="2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  8,087</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Euros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12,360</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1.5284</w:t>
            </w:r>
          </w:p>
        </w:tc>
        <w:tc>
          <w:tcPr>
            <w:tcW w:w="580" w:type="dxa"/>
            <w:vAlign w:val="bottom"/>
          </w:tcPr>
          <w:p>
            <w:pPr>
              <w:ind w:left="140"/>
              <w:spacing w:after="0"/>
              <w:rPr>
                <w:sz w:val="20"/>
                <w:szCs w:val="20"/>
                <w:color w:val="auto"/>
              </w:rPr>
            </w:pPr>
            <w:r>
              <w:rPr>
                <w:rFonts w:ascii="Courier New" w:cs="Courier New" w:eastAsia="Courier New" w:hAnsi="Courier New"/>
                <w:sz w:val="14"/>
                <w:szCs w:val="14"/>
                <w:color w:val="auto"/>
                <w:w w:val="99"/>
              </w:rPr>
              <w:t>U.S.$</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w:t>
            </w:r>
          </w:p>
        </w:tc>
      </w:tr>
      <w:tr>
        <w:trPr>
          <w:trHeight w:val="167"/>
        </w:trPr>
        <w:tc>
          <w:tcPr>
            <w:tcW w:w="4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fair value (liability)</w:t>
            </w: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U.S.$ (10,712)</w:t>
            </w:r>
          </w:p>
        </w:tc>
      </w:tr>
      <w:tr>
        <w:trPr>
          <w:trHeight w:val="167"/>
        </w:trPr>
        <w:tc>
          <w:tcPr>
            <w:tcW w:w="4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The fair value of the derivatives is classified as assets or liabilities,</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current or non-current, based upon valuation results and settlement dates of the</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7040" w:type="dxa"/>
            <w:vAlign w:val="bottom"/>
            <w:gridSpan w:val="2"/>
          </w:tcPr>
          <w:p>
            <w:pPr>
              <w:spacing w:after="0"/>
              <w:rPr>
                <w:sz w:val="20"/>
                <w:szCs w:val="20"/>
                <w:color w:val="auto"/>
              </w:rPr>
            </w:pPr>
            <w:r>
              <w:rPr>
                <w:rFonts w:ascii="Courier New" w:cs="Courier New" w:eastAsia="Courier New" w:hAnsi="Courier New"/>
                <w:sz w:val="14"/>
                <w:szCs w:val="14"/>
                <w:color w:val="auto"/>
              </w:rPr>
              <w:t>individual contracts. Following are the balance sheet classifications of the</w:t>
            </w: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fair value of our derivatives:</w:t>
            </w: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4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JANUARY 25,</w:t>
            </w:r>
          </w:p>
        </w:tc>
        <w:tc>
          <w:tcPr>
            <w:tcW w:w="13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January 26,</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2003</w:t>
            </w:r>
          </w:p>
        </w:tc>
        <w:tc>
          <w:tcPr>
            <w:tcW w:w="13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w:t>
            </w:r>
          </w:p>
        </w:tc>
        <w:tc>
          <w:tcPr>
            <w:tcW w:w="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9,493</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Non-current assets</w:t>
            </w: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415</w:t>
            </w:r>
          </w:p>
        </w:tc>
        <w:tc>
          <w:tcPr>
            <w:tcW w:w="5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2,865</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(3,871)</w:t>
            </w:r>
          </w:p>
        </w:tc>
        <w:tc>
          <w:tcPr>
            <w:tcW w:w="58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Non-current (liabilities)</w:t>
            </w: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(7,453)</w:t>
            </w:r>
          </w:p>
        </w:tc>
        <w:tc>
          <w:tcPr>
            <w:tcW w:w="5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r>
        <w:trPr>
          <w:trHeight w:val="167"/>
        </w:trPr>
        <w:tc>
          <w:tcPr>
            <w:tcW w:w="4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fair value (liability) asset</w:t>
            </w: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ind w:left="7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(10,712)</w:t>
            </w:r>
          </w:p>
        </w:tc>
        <w:tc>
          <w:tcPr>
            <w:tcW w:w="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12,232</w:t>
            </w:r>
          </w:p>
        </w:tc>
      </w:tr>
      <w:tr>
        <w:trPr>
          <w:trHeight w:val="167"/>
        </w:trPr>
        <w:tc>
          <w:tcPr>
            <w:tcW w:w="47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260"/>
        <w:spacing w:after="0" w:line="253" w:lineRule="auto"/>
        <w:rPr>
          <w:sz w:val="20"/>
          <w:szCs w:val="20"/>
          <w:color w:val="auto"/>
        </w:rPr>
      </w:pPr>
      <w:r>
        <w:rPr>
          <w:rFonts w:ascii="Courier New" w:cs="Courier New" w:eastAsia="Courier New" w:hAnsi="Courier New"/>
          <w:sz w:val="14"/>
          <w:szCs w:val="14"/>
          <w:color w:val="auto"/>
        </w:rPr>
        <w:t>TJX's forward foreign currency exchange and swap contracts require us to make payments of certain foreign currencies for receipt of U.S. dollars, Canadian dollars or Euros. All of these contracts except the net asset hedges mature during fiscal 2004. The British pound net asset hedge matures during fiscal 2009; the Canadian dollar net asset hedges have maturities from fiscal 2004 to fiscal 2010.</w:t>
      </w:r>
    </w:p>
    <w:p>
      <w:pPr>
        <w:spacing w:after="0" w:line="165" w:lineRule="exact"/>
        <w:rPr>
          <w:sz w:val="20"/>
          <w:szCs w:val="20"/>
          <w:color w:val="auto"/>
        </w:rPr>
      </w:pPr>
    </w:p>
    <w:p>
      <w:pPr>
        <w:ind w:right="4440" w:firstLine="781"/>
        <w:spacing w:after="0" w:line="253" w:lineRule="auto"/>
        <w:rPr>
          <w:sz w:val="20"/>
          <w:szCs w:val="20"/>
          <w:color w:val="auto"/>
        </w:rPr>
      </w:pPr>
      <w:r>
        <w:rPr>
          <w:rFonts w:ascii="Courier New" w:cs="Courier New" w:eastAsia="Courier New" w:hAnsi="Courier New"/>
          <w:sz w:val="14"/>
          <w:szCs w:val="14"/>
          <w:color w:val="auto"/>
        </w:rPr>
        <w:t>The counterparties to the forward exchange contracts and swap agreements are major international financial institutions and the contracts contain rights of offset, which minimize our exposure to credit loss in the event of nonperformance by one of the counterparties. We do not require counterparties to maintain collateral for these contracts. We periodically monitor our position and the credit ratings of the counterparties and do not anticipate losses resulting from the nonperformance of these institutions.</w:t>
      </w:r>
    </w:p>
    <w:p>
      <w:pPr>
        <w:spacing w:after="0" w:line="165" w:lineRule="exact"/>
        <w:rPr>
          <w:sz w:val="20"/>
          <w:szCs w:val="20"/>
          <w:color w:val="auto"/>
        </w:rPr>
      </w:pPr>
    </w:p>
    <w:p>
      <w:pPr>
        <w:ind w:right="4080" w:firstLine="781"/>
        <w:spacing w:after="0" w:line="253" w:lineRule="auto"/>
        <w:rPr>
          <w:sz w:val="20"/>
          <w:szCs w:val="20"/>
          <w:color w:val="auto"/>
        </w:rPr>
      </w:pPr>
      <w:r>
        <w:rPr>
          <w:rFonts w:ascii="Courier New" w:cs="Courier New" w:eastAsia="Courier New" w:hAnsi="Courier New"/>
          <w:sz w:val="14"/>
          <w:szCs w:val="14"/>
          <w:color w:val="auto"/>
        </w:rPr>
        <w:t>The fair value of our general corporate debt, including current installments, is estimated using discounted cash flow analysis based upon our current incremental borrowing rates for similar types of borrowing arrangements. The fair value of our zero coupon convertible subordinated notes is estimated by obtaining market quotes. The fair value of general corporate debt, including current installments, at January 25, 2003 is $363.9 million versus a carrying value of $319.5 million. The fair value of the zero coupon convertible subordinated notes is $423.7 million versus a carrying value of $360.2 million. These estimates do not necessarily reflect certain provisions or restrictions in the various debt agreements which might affect our ability to settle these obligations.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COMMITMENTS</w:t>
      </w:r>
    </w:p>
    <w:p>
      <w:pPr>
        <w:spacing w:after="0" w:line="175" w:lineRule="exact"/>
        <w:rPr>
          <w:sz w:val="20"/>
          <w:szCs w:val="20"/>
          <w:color w:val="auto"/>
        </w:rPr>
      </w:pPr>
    </w:p>
    <w:p>
      <w:pPr>
        <w:ind w:right="4080"/>
        <w:spacing w:after="0" w:line="253" w:lineRule="auto"/>
        <w:rPr>
          <w:sz w:val="20"/>
          <w:szCs w:val="20"/>
          <w:color w:val="auto"/>
        </w:rPr>
      </w:pPr>
      <w:r>
        <w:rPr>
          <w:rFonts w:ascii="Courier New" w:cs="Courier New" w:eastAsia="Courier New" w:hAnsi="Courier New"/>
          <w:sz w:val="14"/>
          <w:szCs w:val="14"/>
          <w:color w:val="auto"/>
        </w:rPr>
        <w:t>TJX is committed under long-term leases related to its continuing operations for the rental of real estate and fixtures and equipment. Most of our leases are store operating leases with a ten-year initial term and options to extend for one or more five-year periods. Certain Marshalls leases, acquired in fiscal 1996, had remaining terms ranging up to twenty five years. Leases for T.K. Maxx are generally for fifteen to twenty-five years with ten-year kick-out options. Many of the leases contain escalation clauses and early termination penalties. In addition, we are generally required to pay insurance, real estate taxes and other operating expenses including, in some cases, rentals based on a percentage of sales.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1040"/>
          </w:cols>
          <w:pgMar w:left="220" w:top="620" w:right="639" w:bottom="306" w:gutter="0" w:footer="0" w:header="0"/>
        </w:sectPr>
      </w:pPr>
    </w:p>
    <w:bookmarkStart w:id="77" w:name="page78"/>
    <w:bookmarkEnd w:id="77"/>
    <w:p>
      <w:pPr>
        <w:spacing w:after="0" w:line="10"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640" w:firstLine="781"/>
        <w:spacing w:after="0" w:line="258" w:lineRule="auto"/>
        <w:rPr>
          <w:sz w:val="20"/>
          <w:szCs w:val="20"/>
          <w:color w:val="auto"/>
        </w:rPr>
      </w:pPr>
      <w:r>
        <w:rPr>
          <w:rFonts w:ascii="Courier New" w:cs="Courier New" w:eastAsia="Courier New" w:hAnsi="Courier New"/>
          <w:sz w:val="14"/>
          <w:szCs w:val="14"/>
          <w:color w:val="auto"/>
        </w:rPr>
        <w:t>Following is a schedule of future minimum lease payments for continuing operations as of January 25, 2003:</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Capital</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Operating</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Lease</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Leases</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4920" w:type="dxa"/>
            <w:vAlign w:val="bottom"/>
          </w:tcPr>
          <w:p>
            <w:pPr>
              <w:spacing w:after="0"/>
              <w:rPr>
                <w:sz w:val="20"/>
                <w:szCs w:val="20"/>
                <w:color w:val="auto"/>
              </w:rPr>
            </w:pPr>
            <w:r>
              <w:rPr>
                <w:rFonts w:ascii="Courier New" w:cs="Courier New" w:eastAsia="Courier New" w:hAnsi="Courier New"/>
                <w:sz w:val="14"/>
                <w:szCs w:val="14"/>
                <w:color w:val="auto"/>
              </w:rPr>
              <w:t>Fiscal Year</w:t>
            </w: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$ 3,726</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536,860</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3,726</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514,755</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3,726</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469,822</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3,726</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425,937</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3,726</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381,383</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Later years</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30,397</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1,625,522</w:t>
            </w:r>
          </w:p>
        </w:tc>
      </w:tr>
      <w:tr>
        <w:trPr>
          <w:trHeight w:val="167"/>
        </w:trPr>
        <w:tc>
          <w:tcPr>
            <w:tcW w:w="492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Total future minimum lease payments</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49,027</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$3,954,279</w:t>
            </w: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18,691</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92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r>
        <w:trPr>
          <w:trHeight w:val="167"/>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present value of minimum capital lease payments</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$30,336</w:t>
            </w:r>
          </w:p>
        </w:tc>
        <w:tc>
          <w:tcPr>
            <w:tcW w:w="1340" w:type="dxa"/>
            <w:vAlign w:val="bottom"/>
          </w:tcPr>
          <w:p>
            <w:pPr>
              <w:spacing w:after="0"/>
              <w:rPr>
                <w:sz w:val="14"/>
                <w:szCs w:val="14"/>
                <w:color w:val="auto"/>
              </w:rPr>
            </w:pPr>
          </w:p>
        </w:tc>
      </w:tr>
      <w:tr>
        <w:trPr>
          <w:trHeight w:val="167"/>
        </w:trPr>
        <w:tc>
          <w:tcPr>
            <w:tcW w:w="492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r>
    </w:tbl>
    <w:p>
      <w:pPr>
        <w:spacing w:after="0" w:line="338" w:lineRule="exact"/>
        <w:rPr>
          <w:sz w:val="20"/>
          <w:szCs w:val="20"/>
          <w:color w:val="auto"/>
        </w:rPr>
      </w:pPr>
    </w:p>
    <w:p>
      <w:pPr>
        <w:ind w:right="3740"/>
        <w:spacing w:after="0" w:line="254" w:lineRule="auto"/>
        <w:rPr>
          <w:sz w:val="20"/>
          <w:szCs w:val="20"/>
          <w:color w:val="auto"/>
        </w:rPr>
      </w:pPr>
      <w:r>
        <w:rPr>
          <w:rFonts w:ascii="Courier New" w:cs="Courier New" w:eastAsia="Courier New" w:hAnsi="Courier New"/>
          <w:sz w:val="14"/>
          <w:szCs w:val="14"/>
          <w:color w:val="auto"/>
        </w:rPr>
        <w:t>The capital lease commitment relates to a 283,000-square-foot addition to TJX's home office facility. Rental payments commenced June 1, 2001, and we recognized a capital lease asset and related obligation equal to the present value of the lease payments of $32.6 million.</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Rental expense under operating leases for continuing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amounted to $524.7 million, $446.6 million and $390.6 million for fiscal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 2002 and 2001, respectively. Rental expense includes contingent rent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reported net of sublease income. Contingent rent was $8.2 million, $6.8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and $7.0 million in fiscal 2003, 2002 and 2001, respectively;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sublease income was $3.2 million, $3.7 million and $4.2 million in fiscal 2003,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2002 and 2001, respectively. The total net present value of TJX's minimum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lease obligations approximates $2,947.0 million as of January 25,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2003, including a current portion of $348.5 million.</w:t>
      </w:r>
    </w:p>
    <w:p>
      <w:pPr>
        <w:spacing w:after="0" w:line="175" w:lineRule="exact"/>
        <w:rPr>
          <w:sz w:val="20"/>
          <w:szCs w:val="20"/>
          <w:color w:val="auto"/>
        </w:rPr>
      </w:pPr>
    </w:p>
    <w:p>
      <w:pPr>
        <w:ind w:right="3640" w:firstLine="781"/>
        <w:spacing w:after="0" w:line="255" w:lineRule="auto"/>
        <w:rPr>
          <w:sz w:val="20"/>
          <w:szCs w:val="20"/>
          <w:color w:val="auto"/>
        </w:rPr>
      </w:pPr>
      <w:r>
        <w:rPr>
          <w:rFonts w:ascii="Courier New" w:cs="Courier New" w:eastAsia="Courier New" w:hAnsi="Courier New"/>
          <w:sz w:val="14"/>
          <w:szCs w:val="14"/>
          <w:color w:val="auto"/>
        </w:rPr>
        <w:t>TJX had outstanding letters of credit totaling $44.6 million as of January 25, 2003 and $23.9 million as of January 26, 2002. Letters of credit are issued by TJX primarily for the purchase of inventory.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 STOCK COMPENSATION PLANS</w:t>
      </w:r>
    </w:p>
    <w:p>
      <w:pPr>
        <w:spacing w:after="0" w:line="175" w:lineRule="exact"/>
        <w:rPr>
          <w:sz w:val="20"/>
          <w:szCs w:val="20"/>
          <w:color w:val="auto"/>
        </w:rPr>
      </w:pPr>
    </w:p>
    <w:p>
      <w:pPr>
        <w:ind w:right="3740"/>
        <w:spacing w:after="0" w:line="254" w:lineRule="auto"/>
        <w:rPr>
          <w:sz w:val="20"/>
          <w:szCs w:val="20"/>
          <w:color w:val="auto"/>
        </w:rPr>
      </w:pPr>
      <w:r>
        <w:rPr>
          <w:rFonts w:ascii="Courier New" w:cs="Courier New" w:eastAsia="Courier New" w:hAnsi="Courier New"/>
          <w:sz w:val="14"/>
          <w:szCs w:val="14"/>
          <w:color w:val="auto"/>
        </w:rPr>
        <w:t>In the following note, all references to historical awards, outstanding awards and availability of shares for future grants under TJX's Stock Incentive Plan and related prices per share have been restated, for comparability purposes, to reflect the two-for-one stock split distributed in May 2002.</w:t>
      </w:r>
    </w:p>
    <w:p>
      <w:pPr>
        <w:spacing w:after="0" w:line="163" w:lineRule="exact"/>
        <w:rPr>
          <w:sz w:val="20"/>
          <w:szCs w:val="20"/>
          <w:color w:val="auto"/>
        </w:rPr>
      </w:pPr>
    </w:p>
    <w:p>
      <w:pPr>
        <w:ind w:right="3640" w:firstLine="781"/>
        <w:spacing w:after="0" w:line="253" w:lineRule="auto"/>
        <w:rPr>
          <w:sz w:val="20"/>
          <w:szCs w:val="20"/>
          <w:color w:val="auto"/>
        </w:rPr>
      </w:pPr>
      <w:r>
        <w:rPr>
          <w:rFonts w:ascii="Courier New" w:cs="Courier New" w:eastAsia="Courier New" w:hAnsi="Courier New"/>
          <w:sz w:val="14"/>
          <w:szCs w:val="14"/>
          <w:color w:val="auto"/>
        </w:rPr>
        <w:t>TJX has a stock incentive plan under which options and other stock awards may be granted to its directors, officers and key employees. This plan has been approved by TJX's shareholders and all stock compensation awards are made under this plan. The Stock Incentive Plan, as amended with shareholder approval, provides for the issuance of up to 109.3 million shares with 21.0 million shares available for future grants as of January 25, 2003. In June 2001, shareholders approved an amendment to the Stock Incentive Plan to permit grants to directors and the Board terminated the former Directors' Stock Option Plan.</w:t>
      </w:r>
    </w:p>
    <w:p>
      <w:pPr>
        <w:spacing w:after="0" w:line="165" w:lineRule="exact"/>
        <w:rPr>
          <w:sz w:val="20"/>
          <w:szCs w:val="20"/>
          <w:color w:val="auto"/>
        </w:rPr>
      </w:pPr>
    </w:p>
    <w:p>
      <w:pPr>
        <w:ind w:right="3640" w:firstLine="781"/>
        <w:spacing w:after="0" w:line="253" w:lineRule="auto"/>
        <w:rPr>
          <w:sz w:val="20"/>
          <w:szCs w:val="20"/>
          <w:color w:val="auto"/>
        </w:rPr>
      </w:pPr>
      <w:r>
        <w:rPr>
          <w:rFonts w:ascii="Courier New" w:cs="Courier New" w:eastAsia="Courier New" w:hAnsi="Courier New"/>
          <w:sz w:val="14"/>
          <w:szCs w:val="14"/>
          <w:color w:val="auto"/>
        </w:rPr>
        <w:t>Under the Stock Incentive Plan, TJX has granted options for the purchase of common stock, generally within ten years from the grant date at option prices of 100% of market price on the grant date. Most options outstanding vest over a three-year period starting one year after the grant, and are exercisable in their entirety three years after the grant date. Outstanding options granted to directors become fully exercisable one year after the date of grant.</w:t>
      </w:r>
    </w:p>
    <w:p>
      <w:pPr>
        <w:spacing w:after="0" w:line="332" w:lineRule="exact"/>
        <w:rPr>
          <w:sz w:val="20"/>
          <w:szCs w:val="20"/>
          <w:color w:val="auto"/>
        </w:rPr>
      </w:pPr>
    </w:p>
    <w:p>
      <w:pPr>
        <w:ind w:right="4000" w:firstLine="781"/>
        <w:spacing w:after="0" w:line="258" w:lineRule="auto"/>
        <w:rPr>
          <w:sz w:val="20"/>
          <w:szCs w:val="20"/>
          <w:color w:val="auto"/>
        </w:rPr>
      </w:pPr>
      <w:r>
        <w:rPr>
          <w:rFonts w:ascii="Courier New" w:cs="Courier New" w:eastAsia="Courier New" w:hAnsi="Courier New"/>
          <w:sz w:val="14"/>
          <w:szCs w:val="14"/>
          <w:color w:val="auto"/>
        </w:rPr>
        <w:t>A summary of the status of TJX's stock options and related Weighted Average Exercise Prices ("WAEP") is presented below (shares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Fiscal Year Ended</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3780" w:type="dxa"/>
            <w:vAlign w:val="bottom"/>
          </w:tcPr>
          <w:p>
            <w:pPr>
              <w:spacing w:after="0"/>
              <w:rPr>
                <w:sz w:val="14"/>
                <w:szCs w:val="14"/>
                <w:color w:val="auto"/>
              </w:rPr>
            </w:pPr>
          </w:p>
        </w:tc>
        <w:tc>
          <w:tcPr>
            <w:tcW w:w="6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14"/>
                <w:szCs w:val="14"/>
                <w:color w:val="auto"/>
              </w:rPr>
            </w:pPr>
          </w:p>
        </w:tc>
        <w:tc>
          <w:tcPr>
            <w:tcW w:w="260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JANUARY 25, 2003</w:t>
            </w:r>
          </w:p>
        </w:tc>
        <w:tc>
          <w:tcPr>
            <w:tcW w:w="218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January 26, 2002</w:t>
            </w:r>
          </w:p>
        </w:tc>
        <w:tc>
          <w:tcPr>
            <w:tcW w:w="20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January 27, 2001</w:t>
            </w:r>
          </w:p>
        </w:tc>
      </w:tr>
      <w:tr>
        <w:trPr>
          <w:trHeight w:val="167"/>
        </w:trPr>
        <w:tc>
          <w:tcPr>
            <w:tcW w:w="3780" w:type="dxa"/>
            <w:vAlign w:val="bottom"/>
          </w:tcPr>
          <w:p>
            <w:pPr>
              <w:spacing w:after="0"/>
              <w:rPr>
                <w:sz w:val="14"/>
                <w:szCs w:val="14"/>
                <w:color w:val="auto"/>
              </w:rPr>
            </w:pPr>
          </w:p>
        </w:tc>
        <w:tc>
          <w:tcPr>
            <w:tcW w:w="1880" w:type="dxa"/>
            <w:vAlign w:val="bottom"/>
          </w:tcPr>
          <w:p>
            <w:pPr>
              <w:ind w:left="820"/>
              <w:spacing w:after="0"/>
              <w:rPr>
                <w:sz w:val="20"/>
                <w:szCs w:val="20"/>
                <w:color w:val="auto"/>
              </w:rPr>
            </w:pPr>
            <w:r>
              <w:rPr>
                <w:rFonts w:ascii="Courier New" w:cs="Courier New" w:eastAsia="Courier New" w:hAnsi="Courier New"/>
                <w:sz w:val="14"/>
                <w:szCs w:val="14"/>
                <w:color w:val="auto"/>
              </w:rPr>
              <w:t>SHARES</w:t>
            </w:r>
          </w:p>
        </w:tc>
        <w:tc>
          <w:tcPr>
            <w:tcW w:w="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WAEP</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WAEP</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Shares</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WAEP</w:t>
            </w:r>
          </w:p>
        </w:tc>
      </w:tr>
      <w:tr>
        <w:trPr>
          <w:trHeight w:val="167"/>
        </w:trPr>
        <w:tc>
          <w:tcPr>
            <w:tcW w:w="3780" w:type="dxa"/>
            <w:vAlign w:val="bottom"/>
          </w:tcPr>
          <w:p>
            <w:pPr>
              <w:spacing w:after="0"/>
              <w:rPr>
                <w:sz w:val="14"/>
                <w:szCs w:val="14"/>
                <w:color w:val="auto"/>
              </w:rPr>
            </w:pPr>
          </w:p>
        </w:tc>
        <w:tc>
          <w:tcPr>
            <w:tcW w:w="1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8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29,624</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$13.10</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28,073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$ 9.84</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23,664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$ 8.53</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11,395</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19.85</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10,743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17.48</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10,356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10.37</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(2,970)</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10.94</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(8,432)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(5,449)</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4.92</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Forfeitures</w:t>
            </w:r>
          </w:p>
        </w:tc>
        <w:tc>
          <w:tcPr>
            <w:tcW w:w="1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(853)</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15.85</w:t>
            </w:r>
          </w:p>
        </w:tc>
        <w:tc>
          <w:tcPr>
            <w:tcW w:w="11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12.29</w:t>
            </w:r>
          </w:p>
        </w:tc>
      </w:tr>
      <w:tr>
        <w:trPr>
          <w:trHeight w:val="167"/>
        </w:trPr>
        <w:tc>
          <w:tcPr>
            <w:tcW w:w="3780" w:type="dxa"/>
            <w:vAlign w:val="bottom"/>
          </w:tcPr>
          <w:p>
            <w:pPr>
              <w:spacing w:after="0"/>
              <w:rPr>
                <w:sz w:val="14"/>
                <w:szCs w:val="14"/>
                <w:color w:val="auto"/>
              </w:rPr>
            </w:pPr>
          </w:p>
        </w:tc>
        <w:tc>
          <w:tcPr>
            <w:tcW w:w="26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37,196</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15.28</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29,624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28,073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9.84</w:t>
            </w:r>
          </w:p>
        </w:tc>
      </w:tr>
      <w:tr>
        <w:trPr>
          <w:trHeight w:val="167"/>
        </w:trPr>
        <w:tc>
          <w:tcPr>
            <w:tcW w:w="3780" w:type="dxa"/>
            <w:vAlign w:val="bottom"/>
          </w:tcPr>
          <w:p>
            <w:pPr>
              <w:spacing w:after="0"/>
              <w:rPr>
                <w:sz w:val="14"/>
                <w:szCs w:val="14"/>
                <w:color w:val="auto"/>
              </w:rPr>
            </w:pPr>
          </w:p>
        </w:tc>
        <w:tc>
          <w:tcPr>
            <w:tcW w:w="1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Options exercisable at end of year</w:t>
            </w:r>
          </w:p>
        </w:tc>
        <w:tc>
          <w:tcPr>
            <w:tcW w:w="1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16,265</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$12.12</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11,594</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11,760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$ 7.99</w:t>
            </w:r>
          </w:p>
        </w:tc>
      </w:tr>
      <w:tr>
        <w:trPr>
          <w:trHeight w:val="167"/>
        </w:trPr>
        <w:tc>
          <w:tcPr>
            <w:tcW w:w="3780" w:type="dxa"/>
            <w:vAlign w:val="bottom"/>
          </w:tcPr>
          <w:p>
            <w:pPr>
              <w:spacing w:after="0"/>
              <w:rPr>
                <w:sz w:val="14"/>
                <w:szCs w:val="14"/>
                <w:color w:val="auto"/>
              </w:rPr>
            </w:pPr>
          </w:p>
        </w:tc>
        <w:tc>
          <w:tcPr>
            <w:tcW w:w="1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w:t>
            </w:r>
          </w:p>
        </w:tc>
        <w:tc>
          <w:tcPr>
            <w:tcW w:w="11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640"/>
        <w:spacing w:after="0" w:line="254" w:lineRule="auto"/>
        <w:rPr>
          <w:sz w:val="20"/>
          <w:szCs w:val="20"/>
          <w:color w:val="auto"/>
        </w:rPr>
      </w:pPr>
      <w:r>
        <w:rPr>
          <w:rFonts w:ascii="Courier New" w:cs="Courier New" w:eastAsia="Courier New" w:hAnsi="Courier New"/>
          <w:sz w:val="14"/>
          <w:szCs w:val="14"/>
          <w:color w:val="auto"/>
        </w:rPr>
        <w:t>TJX realizes an income tax benefit from restricted stock vesting and the exercise of stock options, which results in a decrease in current income taxes payable and an increase in additional paid-in capital. Such benefits amounted to $11.8 million, $30.6 million and $15.9 million for fiscal 2003, 2002 and 2001, respectively.</w:t>
      </w:r>
    </w:p>
    <w:p>
      <w:pPr>
        <w:sectPr>
          <w:pgSz w:w="11900" w:h="16848" w:orient="portrait"/>
          <w:cols w:equalWidth="0" w:num="1">
            <w:col w:w="10600"/>
          </w:cols>
          <w:pgMar w:left="220" w:top="620" w:right="1079" w:bottom="0" w:gutter="0" w:footer="0" w:header="0"/>
        </w:sectPr>
      </w:pPr>
    </w:p>
    <w:bookmarkStart w:id="78" w:name="page79"/>
    <w:bookmarkEnd w:id="78"/>
    <w:p>
      <w:pPr>
        <w:ind w:left="2180"/>
        <w:spacing w:after="0"/>
        <w:rPr>
          <w:sz w:val="20"/>
          <w:szCs w:val="20"/>
          <w:color w:val="auto"/>
        </w:rPr>
      </w:pPr>
      <w:r>
        <w:rPr>
          <w:rFonts w:ascii="Courier New" w:cs="Courier New" w:eastAsia="Courier New" w:hAnsi="Courier New"/>
          <w:sz w:val="13"/>
          <w:szCs w:val="13"/>
          <w:color w:val="auto"/>
        </w:rPr>
        <w:t>29</w:t>
      </w:r>
    </w:p>
    <w:p>
      <w:pPr>
        <w:sectPr>
          <w:pgSz w:w="11900" w:h="16838" w:orient="portrait"/>
          <w:cols w:equalWidth="0" w:num="1">
            <w:col w:w="9019"/>
          </w:cols>
          <w:pgMar w:left="1440" w:top="308" w:right="1440" w:bottom="1440" w:gutter="0" w:footer="0" w:header="0"/>
        </w:sectPr>
      </w:pPr>
    </w:p>
    <w:bookmarkStart w:id="79" w:name="page80"/>
    <w:bookmarkEnd w:id="79"/>
    <w:p>
      <w:pPr>
        <w:jc w:val="center"/>
        <w:ind w:right="3359"/>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TJX has adopted the disclosure-only provisions of Statement of Financial Accounting Standards ("SFAS") No. 123, " Accounting for Stock-Based Compensation," and continues to apply the provisions of Accounting Principles Board Opinion No. 25, "Accounting for Stock Issued to Employees, "in accounting for compensation expense under its stock option plans. We grant options at fair market value on the date of the grant; accordingly, no compensation expense has been recognized for the stock options issued during fiscal 2003, 2002 or 2001. Compensation expense determined in accordance with SFAS No. 123, net of related income tax effect, would have amounted to $39.7 million, $27.8 million and $19.2 million for fiscal 2003, 2002 and 2001, respectively.</w:t>
      </w:r>
    </w:p>
    <w:p>
      <w:pPr>
        <w:spacing w:after="0" w:line="164"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Presented below are the unaudited pro forma income from continuing operations, net income and related earnings per share showing the effect that stock compensation expenses, determined in accordance with SFAS No. 123, would have on reported results.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Fiscal Year Ended</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spacing w:after="0"/>
              <w:rPr>
                <w:sz w:val="14"/>
                <w:szCs w:val="14"/>
                <w:color w:val="auto"/>
              </w:rPr>
            </w:pPr>
          </w:p>
        </w:tc>
        <w:tc>
          <w:tcPr>
            <w:tcW w:w="478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15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JANUARY 25,</w:t>
            </w:r>
          </w:p>
        </w:tc>
        <w:tc>
          <w:tcPr>
            <w:tcW w:w="18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January 26,</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January 27,</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440" w:type="dxa"/>
            <w:vAlign w:val="bottom"/>
          </w:tcPr>
          <w:p>
            <w:pPr>
              <w:spacing w:after="0"/>
              <w:rPr>
                <w:sz w:val="14"/>
                <w:szCs w:val="14"/>
                <w:color w:val="auto"/>
              </w:rPr>
            </w:pPr>
          </w:p>
        </w:tc>
        <w:tc>
          <w:tcPr>
            <w:tcW w:w="10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2003</w:t>
            </w:r>
          </w:p>
        </w:tc>
        <w:tc>
          <w:tcPr>
            <w:tcW w:w="6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2002</w:t>
            </w:r>
          </w:p>
        </w:tc>
        <w:tc>
          <w:tcPr>
            <w:tcW w:w="42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4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as reported</w:t>
            </w:r>
          </w:p>
        </w:tc>
        <w:tc>
          <w:tcPr>
            <w:tcW w:w="15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$578,388</w:t>
            </w:r>
          </w:p>
        </w:tc>
        <w:tc>
          <w:tcPr>
            <w:tcW w:w="18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$540,397</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$538,066</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Add: Stock-based employee compensation expense</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included in reported income from continuing</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operations, net of related tax effects</w:t>
            </w:r>
          </w:p>
        </w:tc>
        <w:tc>
          <w:tcPr>
            <w:tcW w:w="44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1,973</w:t>
            </w:r>
          </w:p>
        </w:tc>
        <w:tc>
          <w:tcPr>
            <w:tcW w:w="66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1,651</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883</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Deduct: Total stock-based employee compensation</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expense determined under fair value based method</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for all awards, net of related tax effects</w:t>
            </w:r>
          </w:p>
        </w:tc>
        <w:tc>
          <w:tcPr>
            <w:tcW w:w="4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(41,699)</w:t>
            </w:r>
          </w:p>
        </w:tc>
        <w:tc>
          <w:tcPr>
            <w:tcW w:w="66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(29,450)</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(20,112)</w:t>
            </w:r>
          </w:p>
        </w:tc>
      </w:tr>
      <w:tr>
        <w:trPr>
          <w:trHeight w:val="167"/>
        </w:trPr>
        <w:tc>
          <w:tcPr>
            <w:tcW w:w="4600" w:type="dxa"/>
            <w:vAlign w:val="bottom"/>
          </w:tcPr>
          <w:p>
            <w:pPr>
              <w:spacing w:after="0"/>
              <w:rPr>
                <w:sz w:val="14"/>
                <w:szCs w:val="14"/>
                <w:color w:val="auto"/>
              </w:rPr>
            </w:pPr>
          </w:p>
        </w:tc>
        <w:tc>
          <w:tcPr>
            <w:tcW w:w="15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Pro forma income from continuing operations</w:t>
            </w:r>
          </w:p>
        </w:tc>
        <w:tc>
          <w:tcPr>
            <w:tcW w:w="15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$538,662</w:t>
            </w:r>
          </w:p>
        </w:tc>
        <w:tc>
          <w:tcPr>
            <w:tcW w:w="18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$512,598</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$518,837</w:t>
            </w:r>
          </w:p>
        </w:tc>
      </w:tr>
      <w:tr>
        <w:trPr>
          <w:trHeight w:val="167"/>
        </w:trPr>
        <w:tc>
          <w:tcPr>
            <w:tcW w:w="4600" w:type="dxa"/>
            <w:vAlign w:val="bottom"/>
          </w:tcPr>
          <w:p>
            <w:pPr>
              <w:spacing w:after="0"/>
              <w:rPr>
                <w:sz w:val="14"/>
                <w:szCs w:val="14"/>
                <w:color w:val="auto"/>
              </w:rPr>
            </w:pPr>
          </w:p>
        </w:tc>
        <w:tc>
          <w:tcPr>
            <w:tcW w:w="15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ind w:left="260"/>
              <w:spacing w:after="0"/>
              <w:rPr>
                <w:sz w:val="20"/>
                <w:szCs w:val="20"/>
                <w:color w:val="auto"/>
              </w:rPr>
            </w:pPr>
            <w:r>
              <w:rPr>
                <w:rFonts w:ascii="Courier New" w:cs="Courier New" w:eastAsia="Courier New" w:hAnsi="Courier New"/>
                <w:sz w:val="14"/>
                <w:szCs w:val="14"/>
                <w:color w:val="auto"/>
              </w:rPr>
              <w:t>Basic - as reported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w:t>
            </w:r>
          </w:p>
        </w:tc>
      </w:tr>
      <w:tr>
        <w:trPr>
          <w:trHeight w:val="167"/>
        </w:trPr>
        <w:tc>
          <w:tcPr>
            <w:tcW w:w="4600" w:type="dxa"/>
            <w:vAlign w:val="bottom"/>
          </w:tcPr>
          <w:p>
            <w:pPr>
              <w:ind w:left="260"/>
              <w:spacing w:after="0"/>
              <w:rPr>
                <w:sz w:val="20"/>
                <w:szCs w:val="20"/>
                <w:color w:val="auto"/>
              </w:rPr>
            </w:pPr>
            <w:r>
              <w:rPr>
                <w:rFonts w:ascii="Courier New" w:cs="Courier New" w:eastAsia="Courier New" w:hAnsi="Courier New"/>
                <w:sz w:val="14"/>
                <w:szCs w:val="14"/>
                <w:color w:val="auto"/>
              </w:rPr>
              <w:t>Basic - pro forma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r>
      <w:tr>
        <w:trPr>
          <w:trHeight w:val="334"/>
        </w:trPr>
        <w:tc>
          <w:tcPr>
            <w:tcW w:w="4600" w:type="dxa"/>
            <w:vAlign w:val="bottom"/>
          </w:tcPr>
          <w:p>
            <w:pPr>
              <w:ind w:left="260"/>
              <w:spacing w:after="0"/>
              <w:rPr>
                <w:sz w:val="20"/>
                <w:szCs w:val="20"/>
                <w:color w:val="auto"/>
              </w:rPr>
            </w:pPr>
            <w:r>
              <w:rPr>
                <w:rFonts w:ascii="Courier New" w:cs="Courier New" w:eastAsia="Courier New" w:hAnsi="Courier New"/>
                <w:sz w:val="14"/>
                <w:szCs w:val="14"/>
                <w:color w:val="auto"/>
              </w:rPr>
              <w:t>Diluted - as reported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w:t>
            </w:r>
          </w:p>
        </w:tc>
      </w:tr>
      <w:tr>
        <w:trPr>
          <w:trHeight w:val="167"/>
        </w:trPr>
        <w:tc>
          <w:tcPr>
            <w:tcW w:w="4600" w:type="dxa"/>
            <w:vAlign w:val="bottom"/>
          </w:tcPr>
          <w:p>
            <w:pPr>
              <w:ind w:left="260"/>
              <w:spacing w:after="0"/>
              <w:rPr>
                <w:sz w:val="20"/>
                <w:szCs w:val="20"/>
                <w:color w:val="auto"/>
              </w:rPr>
            </w:pPr>
            <w:r>
              <w:rPr>
                <w:rFonts w:ascii="Courier New" w:cs="Courier New" w:eastAsia="Courier New" w:hAnsi="Courier New"/>
                <w:sz w:val="14"/>
                <w:szCs w:val="14"/>
                <w:color w:val="auto"/>
              </w:rPr>
              <w:t>Diluted - pro forma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15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$578,388</w:t>
            </w:r>
          </w:p>
        </w:tc>
        <w:tc>
          <w:tcPr>
            <w:tcW w:w="18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$500,397</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$538,066</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Add: Stock-based employee compensation expense</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included in reported net income, net of related</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tax effects</w:t>
            </w:r>
          </w:p>
        </w:tc>
        <w:tc>
          <w:tcPr>
            <w:tcW w:w="440" w:type="dxa"/>
            <w:vAlign w:val="bottom"/>
          </w:tcPr>
          <w:p>
            <w:pPr>
              <w:spacing w:after="0"/>
              <w:rPr>
                <w:sz w:val="14"/>
                <w:szCs w:val="14"/>
                <w:color w:val="auto"/>
              </w:rPr>
            </w:pP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1,973</w:t>
            </w:r>
          </w:p>
        </w:tc>
        <w:tc>
          <w:tcPr>
            <w:tcW w:w="660" w:type="dxa"/>
            <w:vAlign w:val="bottom"/>
          </w:tcPr>
          <w:p>
            <w:pPr>
              <w:spacing w:after="0"/>
              <w:rPr>
                <w:sz w:val="14"/>
                <w:szCs w:val="14"/>
                <w:color w:val="auto"/>
              </w:rPr>
            </w:pP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1,651</w:t>
            </w:r>
          </w:p>
        </w:tc>
        <w:tc>
          <w:tcPr>
            <w:tcW w:w="4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883</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Deduct: Total stock-based employee compensation</w:t>
            </w: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expense determined under fair value based method</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for all awards, net of related tax effects</w:t>
            </w:r>
          </w:p>
        </w:tc>
        <w:tc>
          <w:tcPr>
            <w:tcW w:w="44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(41,699)</w:t>
            </w:r>
          </w:p>
        </w:tc>
        <w:tc>
          <w:tcPr>
            <w:tcW w:w="660" w:type="dxa"/>
            <w:vAlign w:val="bottom"/>
          </w:tcPr>
          <w:p>
            <w:pPr>
              <w:spacing w:after="0"/>
              <w:rPr>
                <w:sz w:val="14"/>
                <w:szCs w:val="14"/>
                <w:color w:val="auto"/>
              </w:rPr>
            </w:pP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(29,450)</w:t>
            </w:r>
          </w:p>
        </w:tc>
        <w:tc>
          <w:tcPr>
            <w:tcW w:w="4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(20,112)</w:t>
            </w:r>
          </w:p>
        </w:tc>
      </w:tr>
      <w:tr>
        <w:trPr>
          <w:trHeight w:val="167"/>
        </w:trPr>
        <w:tc>
          <w:tcPr>
            <w:tcW w:w="4600" w:type="dxa"/>
            <w:vAlign w:val="bottom"/>
          </w:tcPr>
          <w:p>
            <w:pPr>
              <w:spacing w:after="0"/>
              <w:rPr>
                <w:sz w:val="14"/>
                <w:szCs w:val="14"/>
                <w:color w:val="auto"/>
              </w:rPr>
            </w:pPr>
          </w:p>
        </w:tc>
        <w:tc>
          <w:tcPr>
            <w:tcW w:w="15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15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$538,662</w:t>
            </w:r>
          </w:p>
        </w:tc>
        <w:tc>
          <w:tcPr>
            <w:tcW w:w="18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$472,598</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$518,837</w:t>
            </w:r>
          </w:p>
        </w:tc>
      </w:tr>
      <w:tr>
        <w:trPr>
          <w:trHeight w:val="167"/>
        </w:trPr>
        <w:tc>
          <w:tcPr>
            <w:tcW w:w="4600" w:type="dxa"/>
            <w:vAlign w:val="bottom"/>
          </w:tcPr>
          <w:p>
            <w:pPr>
              <w:spacing w:after="0"/>
              <w:rPr>
                <w:sz w:val="14"/>
                <w:szCs w:val="14"/>
                <w:color w:val="auto"/>
              </w:rPr>
            </w:pPr>
          </w:p>
        </w:tc>
        <w:tc>
          <w:tcPr>
            <w:tcW w:w="15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4600" w:type="dxa"/>
            <w:vAlign w:val="bottom"/>
          </w:tcPr>
          <w:p>
            <w:pPr>
              <w:ind w:left="260"/>
              <w:spacing w:after="0"/>
              <w:rPr>
                <w:sz w:val="20"/>
                <w:szCs w:val="20"/>
                <w:color w:val="auto"/>
              </w:rPr>
            </w:pPr>
            <w:r>
              <w:rPr>
                <w:rFonts w:ascii="Courier New" w:cs="Courier New" w:eastAsia="Courier New" w:hAnsi="Courier New"/>
                <w:sz w:val="14"/>
                <w:szCs w:val="14"/>
                <w:color w:val="auto"/>
              </w:rPr>
              <w:t>Basic - as reported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w:t>
            </w:r>
          </w:p>
        </w:tc>
      </w:tr>
      <w:tr>
        <w:trPr>
          <w:trHeight w:val="167"/>
        </w:trPr>
        <w:tc>
          <w:tcPr>
            <w:tcW w:w="4600" w:type="dxa"/>
            <w:vAlign w:val="bottom"/>
          </w:tcPr>
          <w:p>
            <w:pPr>
              <w:ind w:left="260"/>
              <w:spacing w:after="0"/>
              <w:rPr>
                <w:sz w:val="20"/>
                <w:szCs w:val="20"/>
                <w:color w:val="auto"/>
              </w:rPr>
            </w:pPr>
            <w:r>
              <w:rPr>
                <w:rFonts w:ascii="Courier New" w:cs="Courier New" w:eastAsia="Courier New" w:hAnsi="Courier New"/>
                <w:sz w:val="14"/>
                <w:szCs w:val="14"/>
                <w:color w:val="auto"/>
              </w:rPr>
              <w:t>Basic - pro forma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r>
      <w:tr>
        <w:trPr>
          <w:trHeight w:val="334"/>
        </w:trPr>
        <w:tc>
          <w:tcPr>
            <w:tcW w:w="4600" w:type="dxa"/>
            <w:vAlign w:val="bottom"/>
          </w:tcPr>
          <w:p>
            <w:pPr>
              <w:ind w:left="260"/>
              <w:spacing w:after="0"/>
              <w:rPr>
                <w:sz w:val="20"/>
                <w:szCs w:val="20"/>
                <w:color w:val="auto"/>
              </w:rPr>
            </w:pPr>
            <w:r>
              <w:rPr>
                <w:rFonts w:ascii="Courier New" w:cs="Courier New" w:eastAsia="Courier New" w:hAnsi="Courier New"/>
                <w:sz w:val="14"/>
                <w:szCs w:val="14"/>
                <w:color w:val="auto"/>
              </w:rPr>
              <w:t>Diluted - as reported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w:t>
            </w:r>
          </w:p>
        </w:tc>
      </w:tr>
      <w:tr>
        <w:trPr>
          <w:trHeight w:val="167"/>
        </w:trPr>
        <w:tc>
          <w:tcPr>
            <w:tcW w:w="4600" w:type="dxa"/>
            <w:vAlign w:val="bottom"/>
          </w:tcPr>
          <w:p>
            <w:pPr>
              <w:ind w:left="260"/>
              <w:spacing w:after="0"/>
              <w:rPr>
                <w:sz w:val="20"/>
                <w:szCs w:val="20"/>
                <w:color w:val="auto"/>
              </w:rPr>
            </w:pPr>
            <w:r>
              <w:rPr>
                <w:rFonts w:ascii="Courier New" w:cs="Courier New" w:eastAsia="Courier New" w:hAnsi="Courier New"/>
                <w:sz w:val="14"/>
                <w:szCs w:val="14"/>
                <w:color w:val="auto"/>
              </w:rPr>
              <w:t>Diluted - pro forma</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purposes of applying the provisions of SFAS No. 123 for the pro forma calculations, the fair value of each option granted during fiscal 2003, 2002 and 2001 is estimated on the date of grant using the Black-Scholes option pricing model with the following assumptions: dividend yield of .5% in fiscal 2003 and 2002, and 1% in fiscal 2001; expected volatility of 44%, 46% and 48% in fiscal 2003, 2002 and 2001, respectively; a risk-free interest rate of 3.5% in fiscal 2003, 5.0% in fiscal 2002 and 5.2% in fiscal 2001; and expected holding period of six years in all fiscal periods. The weighted average fair value of options granted during fiscal 2003, 2002 and 2001 was $8.93, $8.46 and $5.04 per share, respectively.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80" w:name="page81"/>
    <w:bookmarkEnd w:id="80"/>
    <w:p>
      <w:pPr>
        <w:jc w:val="center"/>
        <w:ind w:right="3359"/>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4159" w:firstLine="694"/>
        <w:spacing w:after="0" w:line="258" w:lineRule="auto"/>
        <w:rPr>
          <w:sz w:val="20"/>
          <w:szCs w:val="20"/>
          <w:color w:val="auto"/>
        </w:rPr>
      </w:pPr>
      <w:r>
        <w:rPr>
          <w:rFonts w:ascii="Courier New" w:cs="Courier New" w:eastAsia="Courier New" w:hAnsi="Courier New"/>
          <w:sz w:val="14"/>
          <w:szCs w:val="14"/>
          <w:color w:val="auto"/>
        </w:rPr>
        <w:t>The following table summarizes information about stock options outstanding as of January 25, 2003 (shares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Options Outstanding</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8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Options Exercisable</w:t>
            </w:r>
          </w:p>
        </w:tc>
      </w:tr>
      <w:tr>
        <w:trPr>
          <w:trHeight w:val="167"/>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80" w:type="dxa"/>
            <w:vAlign w:val="bottom"/>
            <w:gridSpan w:val="2"/>
          </w:tcPr>
          <w:p>
            <w:pPr>
              <w:ind w:left="660"/>
              <w:spacing w:after="0"/>
              <w:rPr>
                <w:sz w:val="20"/>
                <w:szCs w:val="20"/>
                <w:color w:val="auto"/>
              </w:rPr>
            </w:pPr>
            <w:r>
              <w:rPr>
                <w:rFonts w:ascii="Courier New" w:cs="Courier New" w:eastAsia="Courier New" w:hAnsi="Courier New"/>
                <w:sz w:val="9"/>
                <w:szCs w:val="9"/>
                <w:color w:val="auto"/>
                <w:w w:val="71"/>
              </w:rPr>
              <w:t>------------------------------------</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Weighted</w:t>
            </w:r>
          </w:p>
        </w:tc>
        <w:tc>
          <w:tcPr>
            <w:tcW w:w="1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Weighted</w:t>
            </w:r>
          </w:p>
        </w:tc>
        <w:tc>
          <w:tcPr>
            <w:tcW w:w="100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Average</w:t>
            </w:r>
          </w:p>
        </w:tc>
        <w:tc>
          <w:tcPr>
            <w:tcW w:w="1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Average</w:t>
            </w:r>
          </w:p>
        </w:tc>
      </w:tr>
      <w:tr>
        <w:trPr>
          <w:trHeight w:val="167"/>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Remaining</w:t>
            </w:r>
          </w:p>
        </w:tc>
        <w:tc>
          <w:tcPr>
            <w:tcW w:w="1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Exercise</w:t>
            </w:r>
          </w:p>
        </w:tc>
        <w:tc>
          <w:tcPr>
            <w:tcW w:w="100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2740" w:type="dxa"/>
            <w:vAlign w:val="bottom"/>
            <w:gridSpan w:val="3"/>
          </w:tcPr>
          <w:p>
            <w:pPr>
              <w:spacing w:after="0"/>
              <w:rPr>
                <w:sz w:val="20"/>
                <w:szCs w:val="20"/>
                <w:color w:val="auto"/>
              </w:rPr>
            </w:pPr>
            <w:r>
              <w:rPr>
                <w:rFonts w:ascii="Courier New" w:cs="Courier New" w:eastAsia="Courier New" w:hAnsi="Courier New"/>
                <w:sz w:val="14"/>
                <w:szCs w:val="14"/>
                <w:color w:val="auto"/>
              </w:rPr>
              <w:t>Range of Exercise Prices</w:t>
            </w:r>
          </w:p>
        </w:tc>
        <w:tc>
          <w:tcPr>
            <w:tcW w:w="1340" w:type="dxa"/>
            <w:vAlign w:val="bottom"/>
          </w:tcPr>
          <w:p>
            <w:pPr>
              <w:ind w:left="660"/>
              <w:spacing w:after="0"/>
              <w:rPr>
                <w:sz w:val="20"/>
                <w:szCs w:val="20"/>
                <w:color w:val="auto"/>
              </w:rPr>
            </w:pPr>
            <w:r>
              <w:rPr>
                <w:rFonts w:ascii="Courier New" w:cs="Courier New" w:eastAsia="Courier New" w:hAnsi="Courier New"/>
                <w:sz w:val="14"/>
                <w:szCs w:val="14"/>
                <w:color w:val="auto"/>
              </w:rPr>
              <w:t>Shares</w:t>
            </w:r>
          </w:p>
        </w:tc>
        <w:tc>
          <w:tcPr>
            <w:tcW w:w="17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Contract Life</w:t>
            </w:r>
          </w:p>
        </w:tc>
        <w:tc>
          <w:tcPr>
            <w:tcW w:w="1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Price</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Shares</w:t>
            </w:r>
          </w:p>
        </w:tc>
        <w:tc>
          <w:tcPr>
            <w:tcW w:w="30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Price</w:t>
            </w:r>
          </w:p>
        </w:tc>
      </w:tr>
      <w:tr>
        <w:trPr>
          <w:trHeight w:val="167"/>
        </w:trPr>
        <w:tc>
          <w:tcPr>
            <w:tcW w:w="1320" w:type="dxa"/>
            <w:vAlign w:val="bottom"/>
            <w:gridSpan w:val="2"/>
          </w:tcPr>
          <w:p>
            <w:pPr>
              <w:spacing w:after="0"/>
              <w:rPr>
                <w:sz w:val="20"/>
                <w:szCs w:val="20"/>
                <w:color w:val="auto"/>
              </w:rPr>
            </w:pPr>
            <w:r>
              <w:rPr>
                <w:rFonts w:ascii="Courier New" w:cs="Courier New" w:eastAsia="Courier New" w:hAnsi="Courier New"/>
                <w:sz w:val="11"/>
                <w:szCs w:val="11"/>
                <w:color w:val="auto"/>
                <w:w w:val="75"/>
              </w:rPr>
              <w:t>- ------------------------</w:t>
            </w:r>
          </w:p>
        </w:tc>
        <w:tc>
          <w:tcPr>
            <w:tcW w:w="14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1.6094 - $</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3.1563</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547</w:t>
            </w: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1.9</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2.30</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547</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2.30</w:t>
            </w:r>
          </w:p>
        </w:tc>
      </w:tr>
      <w:tr>
        <w:trPr>
          <w:trHeight w:val="167"/>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3.1564 - $</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5.3438</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1,508</w:t>
            </w: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3.9</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5.01</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1,508</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5.01</w:t>
            </w:r>
          </w:p>
        </w:tc>
      </w:tr>
      <w:tr>
        <w:trPr>
          <w:trHeight w:val="167"/>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5.3439 - $</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7.2344</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803</w:t>
            </w: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4.6</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7.22</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803</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7.22</w:t>
            </w:r>
          </w:p>
        </w:tc>
      </w:tr>
      <w:tr>
        <w:trPr>
          <w:trHeight w:val="167"/>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7.2345 - $</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10.8750</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8,620</w:t>
            </w: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7.2</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10.47</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5,623</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10.52</w:t>
            </w:r>
          </w:p>
        </w:tc>
      </w:tr>
      <w:tr>
        <w:trPr>
          <w:trHeight w:val="167"/>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10.8751 - $</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15.2500</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4,439</w:t>
            </w: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6.6</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14.62</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4,439</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14.62</w:t>
            </w:r>
          </w:p>
        </w:tc>
      </w:tr>
      <w:tr>
        <w:trPr>
          <w:trHeight w:val="167"/>
        </w:trPr>
        <w:tc>
          <w:tcPr>
            <w:tcW w:w="2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15.2501 - $</w:t>
            </w:r>
          </w:p>
        </w:tc>
        <w:tc>
          <w:tcPr>
            <w:tcW w:w="14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19.8500</w:t>
            </w: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21,279</w:t>
            </w: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9.1</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4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18.73</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3,345</w:t>
            </w:r>
          </w:p>
        </w:tc>
        <w:tc>
          <w:tcPr>
            <w:tcW w:w="3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17.48</w:t>
            </w:r>
          </w:p>
        </w:tc>
      </w:tr>
      <w:tr>
        <w:trPr>
          <w:trHeight w:val="167"/>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0" w:type="dxa"/>
            <w:vAlign w:val="bottom"/>
          </w:tcPr>
          <w:p>
            <w:pPr>
              <w:spacing w:after="0"/>
              <w:rPr>
                <w:sz w:val="14"/>
                <w:szCs w:val="14"/>
                <w:color w:val="auto"/>
              </w:rPr>
            </w:pP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c>
          <w:tcPr>
            <w:tcW w:w="1420" w:type="dxa"/>
            <w:vAlign w:val="bottom"/>
          </w:tcPr>
          <w:p>
            <w:pPr>
              <w:spacing w:after="0"/>
              <w:rPr>
                <w:sz w:val="14"/>
                <w:szCs w:val="14"/>
                <w:color w:val="auto"/>
              </w:rPr>
            </w:pP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37,196</w:t>
            </w:r>
          </w:p>
        </w:tc>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8.0</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15.28</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16,265</w:t>
            </w:r>
          </w:p>
        </w:tc>
        <w:tc>
          <w:tcPr>
            <w:tcW w:w="300" w:type="dxa"/>
            <w:vAlign w:val="bottom"/>
          </w:tcPr>
          <w:p>
            <w:pPr>
              <w:ind w:left="200"/>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12.12</w:t>
            </w:r>
          </w:p>
        </w:tc>
      </w:tr>
      <w:tr>
        <w:trPr>
          <w:trHeight w:val="167"/>
        </w:trPr>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40" w:type="dxa"/>
            <w:vAlign w:val="bottom"/>
          </w:tcPr>
          <w:p>
            <w:pPr>
              <w:jc w:val="right"/>
              <w:ind w:right="9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1"/>
        </w:trPr>
        <w:tc>
          <w:tcPr>
            <w:tcW w:w="4820" w:type="dxa"/>
            <w:vAlign w:val="bottom"/>
            <w:gridSpan w:val="5"/>
          </w:tcPr>
          <w:p>
            <w:pPr>
              <w:spacing w:after="0"/>
              <w:rPr>
                <w:sz w:val="20"/>
                <w:szCs w:val="20"/>
                <w:color w:val="auto"/>
              </w:rPr>
            </w:pPr>
            <w:r>
              <w:rPr>
                <w:rFonts w:ascii="Courier New" w:cs="Courier New" w:eastAsia="Courier New" w:hAnsi="Courier New"/>
                <w:sz w:val="14"/>
                <w:szCs w:val="14"/>
                <w:color w:val="auto"/>
              </w:rPr>
              <w:t>We modified option grants of our associates lost in the</w:t>
            </w:r>
          </w:p>
        </w:tc>
        <w:tc>
          <w:tcPr>
            <w:tcW w:w="2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tragedy of September</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11,</w:t>
            </w:r>
          </w:p>
        </w:tc>
        <w:tc>
          <w:tcPr>
            <w:tcW w:w="456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2001. Unvested awards were vested, and the families</w:t>
            </w:r>
          </w:p>
        </w:tc>
        <w:tc>
          <w:tcPr>
            <w:tcW w:w="2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were allowed to realize</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4820" w:type="dxa"/>
            <w:vAlign w:val="bottom"/>
            <w:gridSpan w:val="5"/>
          </w:tcPr>
          <w:p>
            <w:pPr>
              <w:spacing w:after="0"/>
              <w:rPr>
                <w:sz w:val="20"/>
                <w:szCs w:val="20"/>
                <w:color w:val="auto"/>
              </w:rPr>
            </w:pPr>
            <w:r>
              <w:rPr>
                <w:rFonts w:ascii="Courier New" w:cs="Courier New" w:eastAsia="Courier New" w:hAnsi="Courier New"/>
                <w:sz w:val="14"/>
                <w:szCs w:val="14"/>
                <w:color w:val="auto"/>
              </w:rPr>
              <w:t>the full economic benefit of the original grants and we</w:t>
            </w:r>
          </w:p>
        </w:tc>
        <w:tc>
          <w:tcPr>
            <w:tcW w:w="21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provided other benefits</w:t>
            </w: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20"/>
                <w:szCs w:val="20"/>
                <w:color w:val="auto"/>
              </w:rPr>
            </w:pPr>
            <w:r>
              <w:rPr>
                <w:rFonts w:ascii="Courier New" w:cs="Courier New" w:eastAsia="Courier New" w:hAnsi="Courier New"/>
                <w:sz w:val="14"/>
                <w:szCs w:val="14"/>
                <w:color w:val="auto"/>
              </w:rPr>
              <w:t>to the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families.</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During</w:t>
            </w:r>
          </w:p>
        </w:tc>
        <w:tc>
          <w:tcPr>
            <w:tcW w:w="4920" w:type="dxa"/>
            <w:vAlign w:val="bottom"/>
          </w:tcPr>
          <w:p>
            <w:pPr>
              <w:ind w:left="60"/>
              <w:spacing w:after="0"/>
              <w:rPr>
                <w:sz w:val="20"/>
                <w:szCs w:val="20"/>
                <w:color w:val="auto"/>
              </w:rPr>
            </w:pPr>
            <w:r>
              <w:rPr>
                <w:rFonts w:ascii="Courier New" w:cs="Courier New" w:eastAsia="Courier New" w:hAnsi="Courier New"/>
                <w:sz w:val="14"/>
                <w:szCs w:val="14"/>
                <w:color w:val="auto"/>
              </w:rPr>
              <w:t>fiscal 2002, we recorded additional compensation expense</w:t>
            </w:r>
          </w:p>
        </w:tc>
      </w:tr>
      <w:tr>
        <w:trPr>
          <w:trHeight w:val="167"/>
        </w:trPr>
        <w:tc>
          <w:tcPr>
            <w:tcW w:w="14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related to these</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option</w:t>
            </w:r>
          </w:p>
        </w:tc>
        <w:tc>
          <w:tcPr>
            <w:tcW w:w="4920" w:type="dxa"/>
            <w:vAlign w:val="bottom"/>
          </w:tcPr>
          <w:p>
            <w:pPr>
              <w:ind w:left="60"/>
              <w:spacing w:after="0"/>
              <w:rPr>
                <w:sz w:val="20"/>
                <w:szCs w:val="20"/>
                <w:color w:val="auto"/>
              </w:rPr>
            </w:pPr>
            <w:r>
              <w:rPr>
                <w:rFonts w:ascii="Courier New" w:cs="Courier New" w:eastAsia="Courier New" w:hAnsi="Courier New"/>
                <w:sz w:val="14"/>
                <w:szCs w:val="14"/>
                <w:color w:val="auto"/>
              </w:rPr>
              <w:t>modifications and benefits. We do not typically modify</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awards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after the</w:t>
            </w:r>
          </w:p>
        </w:tc>
        <w:tc>
          <w:tcPr>
            <w:tcW w:w="5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date of grant.</w:t>
            </w:r>
          </w:p>
        </w:tc>
      </w:tr>
    </w:tbl>
    <w:p>
      <w:pPr>
        <w:spacing w:after="0" w:line="171"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TJX has also issued restricted stock and performance-based stock awards under the Stock Incentive Plan. Restricted stock awards are issued at par value, or at no cost, and have restrictions that generally lapse over three to four years from date of grant. Performance-based shares have restrictions that generally lapse over one to four years when and if specified criteria are</w:t>
      </w:r>
    </w:p>
    <w:p>
      <w:pPr>
        <w:spacing w:after="0" w:line="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met. The market value in excess of cost is charged to income ratably over the period during which these awards vest. Such pre-tax charges amounted to $3.2 million, $2.7 million and $1.4 million in fiscal 2003, 2002 and 2001, respectively. The market value of the awards is determined at date of grant for restricted stock awards, and at the date shares are earned for performance-based awards.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A combined total of 325,000 shares,450,000 shares and 20,000 shares for restricted and performance-based awards were issued in fiscal 2003, 2002 and 2001, respectively. There were 66,000 shares forfeited during fiscal 2001; no shares were forfeited during fiscal 2003 or 2002. The weighted average market value per share of these stock awards at grant date was $19.85, $15.00 and $10.38 for fiscal 2003, 2002 and 2001, respectively.</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TJX maintained a separate deferred stock compensation plan for its outside directors under which deferred share awards valued at $10,000 each were issued annually to outside directors. During fiscal 2003, the Board merged this deferred stock compensation plan into the Stock Incentive Plan, and all deferred shares earned will be issued pursuant to the Stock Incentive Plan. Beginning in June 2003, the annual deferred share award granted to each outside director will be valued at $30,000. As of the end of fiscal 2003, a total of 45,793 deferred shares had been granted under the plan. Actual shares will be issued at termination of service or a change of control. Prior to merging the deferred stock award plan into the Stock Incentive Plan, TJX planned to issue actual shares from shares held in treasury. Currently we have 175,276 shares held in treasury.</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 CAPITAL STOCK AND EARNINGS PER SHARE</w:t>
      </w:r>
    </w:p>
    <w:p>
      <w:pPr>
        <w:spacing w:after="0" w:line="17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Capital Stock: TJX distributed a two-for-one stock split, effected in the form of a 100% stock dividend, on May 8, 2002 to shareholders of record on April</w:t>
      </w:r>
    </w:p>
    <w:p>
      <w:pPr>
        <w:spacing w:after="0" w:line="1"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25, 2002, which resulted in the issuance of 269.4 million shares of common stock and a corresponding decrease of $269.4 million in retained earnings. All historical earnings per share amounts and reference to common stock activity in the notes have been restated to reflect the two-for-one stock split.</w:t>
      </w:r>
    </w:p>
    <w:p>
      <w:pPr>
        <w:spacing w:after="0" w:line="163"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During fiscal 2003, we completed our $1 billion stock repurchase program begun in fiscal 2001 and initiated another multi-year $1 billion stock repurchase program. We had cash expenditures under all of our repurchase programs of $481.7 million, $424.2 million and $444.1 million in fiscal 2003, 2002 and 2001, respectively, funded primarily by cash generated from operations. The total common shares repurchased amounted to 25.9 million shares in fiscal 2003, 26.3 million shares in fiscal 2002 and 44.5 million shares in fiscal 2001. As of January 25, 2003, we had repurchased 16.1 million shares of our common stock at a cost of $303.4 million under the current $1 billion stock repurchase program. All shares repurchased have been retired except 87,638 shares purchased in fiscal 2003 and held in treasury.</w:t>
      </w:r>
    </w:p>
    <w:p>
      <w:pPr>
        <w:spacing w:after="0" w:line="164" w:lineRule="exact"/>
        <w:rPr>
          <w:sz w:val="20"/>
          <w:szCs w:val="20"/>
          <w:color w:val="auto"/>
        </w:rPr>
      </w:pPr>
    </w:p>
    <w:p>
      <w:pPr>
        <w:ind w:right="3719" w:firstLine="781"/>
        <w:spacing w:after="0" w:line="255" w:lineRule="auto"/>
        <w:rPr>
          <w:sz w:val="20"/>
          <w:szCs w:val="20"/>
          <w:color w:val="auto"/>
        </w:rPr>
      </w:pPr>
      <w:r>
        <w:rPr>
          <w:rFonts w:ascii="Courier New" w:cs="Courier New" w:eastAsia="Courier New" w:hAnsi="Courier New"/>
          <w:sz w:val="14"/>
          <w:szCs w:val="14"/>
          <w:color w:val="auto"/>
        </w:rPr>
        <w:t>TJX has authorization to issue up to 5 million shares of preferred stock, par value $1. There was no preferred stock issued or outstanding at January 25, 2003.</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473" w:gutter="0" w:footer="0" w:header="0"/>
        </w:sectPr>
      </w:pPr>
    </w:p>
    <w:bookmarkStart w:id="81" w:name="page82"/>
    <w:bookmarkEnd w:id="81"/>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Earnings Per Share: The following schedule presents the calculation of basic and diluted earnings per share for income from continuing operations: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Fiscal Year Ended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740" w:type="dxa"/>
            <w:vAlign w:val="bottom"/>
          </w:tcPr>
          <w:p>
            <w:pPr>
              <w:spacing w:after="0"/>
              <w:rPr>
                <w:sz w:val="14"/>
                <w:szCs w:val="14"/>
                <w:color w:val="auto"/>
              </w:rPr>
            </w:pPr>
          </w:p>
        </w:tc>
        <w:tc>
          <w:tcPr>
            <w:tcW w:w="430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14"/>
                <w:szCs w:val="14"/>
                <w:color w:val="auto"/>
              </w:rPr>
            </w:pPr>
          </w:p>
        </w:tc>
        <w:tc>
          <w:tcPr>
            <w:tcW w:w="182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JANUARY 25,</w:t>
            </w: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January 26,</w:t>
            </w:r>
          </w:p>
        </w:tc>
        <w:tc>
          <w:tcPr>
            <w:tcW w:w="1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January 27,</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Amounts In Thousands Except Per Share Amounts</w:t>
            </w:r>
          </w:p>
        </w:tc>
        <w:tc>
          <w:tcPr>
            <w:tcW w:w="82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18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7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Income from continuing operations</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578,388</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540,397</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538,066</w:t>
            </w:r>
          </w:p>
        </w:tc>
      </w:tr>
      <w:tr>
        <w:trPr>
          <w:trHeight w:val="167"/>
        </w:trPr>
        <w:tc>
          <w:tcPr>
            <w:tcW w:w="4740" w:type="dxa"/>
            <w:vAlign w:val="bottom"/>
          </w:tcPr>
          <w:p>
            <w:pPr>
              <w:spacing w:after="0"/>
              <w:rPr>
                <w:sz w:val="14"/>
                <w:szCs w:val="14"/>
                <w:color w:val="auto"/>
              </w:rPr>
            </w:pPr>
          </w:p>
        </w:tc>
        <w:tc>
          <w:tcPr>
            <w:tcW w:w="1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common stock outstanding</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for basic earnings per share calculation</w:t>
            </w:r>
          </w:p>
        </w:tc>
        <w:tc>
          <w:tcPr>
            <w:tcW w:w="8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532,241</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550,647</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574,881</w:t>
            </w:r>
          </w:p>
        </w:tc>
      </w:tr>
      <w:tr>
        <w:trPr>
          <w:trHeight w:val="167"/>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Basic earnings per share</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r>
      <w:tr>
        <w:trPr>
          <w:trHeight w:val="334"/>
        </w:trPr>
        <w:tc>
          <w:tcPr>
            <w:tcW w:w="47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Income from continuing operations</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578,388</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540,397</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538,066</w:t>
            </w:r>
          </w:p>
        </w:tc>
      </w:tr>
      <w:tr>
        <w:trPr>
          <w:trHeight w:val="167"/>
        </w:trPr>
        <w:tc>
          <w:tcPr>
            <w:tcW w:w="4740" w:type="dxa"/>
            <w:vAlign w:val="bottom"/>
          </w:tcPr>
          <w:p>
            <w:pPr>
              <w:spacing w:after="0"/>
              <w:rPr>
                <w:sz w:val="14"/>
                <w:szCs w:val="14"/>
                <w:color w:val="auto"/>
              </w:rPr>
            </w:pPr>
          </w:p>
        </w:tc>
        <w:tc>
          <w:tcPr>
            <w:tcW w:w="1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common stock outstanding</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for basic earnings per share calculation</w:t>
            </w:r>
          </w:p>
        </w:tc>
        <w:tc>
          <w:tcPr>
            <w:tcW w:w="8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532,241</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550,647</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574,881</w:t>
            </w:r>
          </w:p>
        </w:tc>
      </w:tr>
      <w:tr>
        <w:trPr>
          <w:trHeight w:val="167"/>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Assumed exercise of stock options and awards</w:t>
            </w:r>
          </w:p>
        </w:tc>
        <w:tc>
          <w:tcPr>
            <w:tcW w:w="8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5,499</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5,621</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3,511</w:t>
            </w:r>
          </w:p>
        </w:tc>
      </w:tr>
      <w:tr>
        <w:trPr>
          <w:trHeight w:val="167"/>
        </w:trPr>
        <w:tc>
          <w:tcPr>
            <w:tcW w:w="4740" w:type="dxa"/>
            <w:vAlign w:val="bottom"/>
          </w:tcPr>
          <w:p>
            <w:pPr>
              <w:spacing w:after="0"/>
              <w:rPr>
                <w:sz w:val="14"/>
                <w:szCs w:val="14"/>
                <w:color w:val="auto"/>
              </w:rPr>
            </w:pPr>
          </w:p>
        </w:tc>
        <w:tc>
          <w:tcPr>
            <w:tcW w:w="1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common shares for diluted</w:t>
            </w: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740" w:type="dxa"/>
            <w:vAlign w:val="bottom"/>
          </w:tcPr>
          <w:p>
            <w:pPr>
              <w:ind w:left="360"/>
              <w:spacing w:after="0"/>
              <w:rPr>
                <w:sz w:val="20"/>
                <w:szCs w:val="20"/>
                <w:color w:val="auto"/>
              </w:rPr>
            </w:pPr>
            <w:r>
              <w:rPr>
                <w:rFonts w:ascii="Courier New" w:cs="Courier New" w:eastAsia="Courier New" w:hAnsi="Courier New"/>
                <w:sz w:val="14"/>
                <w:szCs w:val="14"/>
                <w:color w:val="auto"/>
              </w:rPr>
              <w:t>earnings per share calculation</w:t>
            </w:r>
          </w:p>
        </w:tc>
        <w:tc>
          <w:tcPr>
            <w:tcW w:w="8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537,740</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556,268</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578,392</w:t>
            </w:r>
          </w:p>
        </w:tc>
      </w:tr>
      <w:tr>
        <w:trPr>
          <w:trHeight w:val="167"/>
        </w:trPr>
        <w:tc>
          <w:tcPr>
            <w:tcW w:w="4740" w:type="dxa"/>
            <w:vAlign w:val="bottom"/>
          </w:tcPr>
          <w:p>
            <w:pPr>
              <w:spacing w:after="0"/>
              <w:rPr>
                <w:sz w:val="14"/>
                <w:szCs w:val="14"/>
                <w:color w:val="auto"/>
              </w:rPr>
            </w:pPr>
          </w:p>
        </w:tc>
        <w:tc>
          <w:tcPr>
            <w:tcW w:w="18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Diluted earnings per share</w:t>
            </w:r>
          </w:p>
        </w:tc>
        <w:tc>
          <w:tcPr>
            <w:tcW w:w="8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w:t>
            </w:r>
          </w:p>
        </w:tc>
      </w:tr>
    </w:tbl>
    <w:p>
      <w:pPr>
        <w:spacing w:after="0" w:line="33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weighted average common shares for the diluted earnings per share calculation exclude the incremental effect related to outstanding stock options, the exercise price of which is in excess of the related fiscal year's average price of TJX's common stock. Such options are excluded because they would have an antidilutive effect. These options amounted to 11.2 million as of January 25, 2003, 10.6 million as of January 26, 2002 and 9.2 million as of January 27, 2001. The 16.9 million shares issuable upon conversion of the zero coupon convertible debt were also excluded from the diluted earnings per share calculation because criteria for conversion had not been met during the fiscal years presented.</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 INCOME TAXES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 for income taxes includes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Fiscal Year Ended</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3100" w:type="dxa"/>
            <w:vAlign w:val="bottom"/>
          </w:tcPr>
          <w:p>
            <w:pPr>
              <w:spacing w:after="0"/>
              <w:rPr>
                <w:sz w:val="14"/>
                <w:szCs w:val="14"/>
                <w:color w:val="auto"/>
              </w:rPr>
            </w:pPr>
          </w:p>
        </w:tc>
        <w:tc>
          <w:tcPr>
            <w:tcW w:w="490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14"/>
                <w:szCs w:val="14"/>
                <w:color w:val="auto"/>
              </w:rPr>
            </w:pPr>
          </w:p>
        </w:tc>
        <w:tc>
          <w:tcPr>
            <w:tcW w:w="186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JANUARY 25,</w:t>
            </w:r>
          </w:p>
        </w:tc>
        <w:tc>
          <w:tcPr>
            <w:tcW w:w="17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January 26,</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January 27,</w:t>
            </w: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In Thousands</w:t>
            </w:r>
          </w:p>
        </w:tc>
        <w:tc>
          <w:tcPr>
            <w:tcW w:w="108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2003</w:t>
            </w:r>
          </w:p>
        </w:tc>
        <w:tc>
          <w:tcPr>
            <w:tcW w:w="78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2002</w:t>
            </w:r>
          </w:p>
        </w:tc>
        <w:tc>
          <w:tcPr>
            <w:tcW w:w="38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1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108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218,857</w:t>
            </w:r>
          </w:p>
        </w:tc>
        <w:tc>
          <w:tcPr>
            <w:tcW w:w="7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236,070</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272,075</w:t>
            </w: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10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47,894</w:t>
            </w:r>
          </w:p>
        </w:tc>
        <w:tc>
          <w:tcPr>
            <w:tcW w:w="7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44,228</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51,217</w:t>
            </w: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10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20,758</w:t>
            </w:r>
          </w:p>
        </w:tc>
        <w:tc>
          <w:tcPr>
            <w:tcW w:w="7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18,119</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27,819</w:t>
            </w:r>
          </w:p>
        </w:tc>
      </w:tr>
      <w:tr>
        <w:trPr>
          <w:trHeight w:val="334"/>
        </w:trPr>
        <w:tc>
          <w:tcPr>
            <w:tcW w:w="31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0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Federal</w:t>
            </w:r>
          </w:p>
        </w:tc>
        <w:tc>
          <w:tcPr>
            <w:tcW w:w="10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57,125</w:t>
            </w:r>
          </w:p>
        </w:tc>
        <w:tc>
          <w:tcPr>
            <w:tcW w:w="7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28,133</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(22,359)</w:t>
            </w: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State</w:t>
            </w:r>
          </w:p>
        </w:tc>
        <w:tc>
          <w:tcPr>
            <w:tcW w:w="10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5,558</w:t>
            </w:r>
          </w:p>
        </w:tc>
        <w:tc>
          <w:tcPr>
            <w:tcW w:w="7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4,071</w:t>
            </w: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(2,269)</w:t>
            </w:r>
          </w:p>
        </w:tc>
      </w:tr>
      <w:tr>
        <w:trPr>
          <w:trHeight w:val="167"/>
        </w:trPr>
        <w:tc>
          <w:tcPr>
            <w:tcW w:w="310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10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9,144</w:t>
            </w:r>
          </w:p>
        </w:tc>
        <w:tc>
          <w:tcPr>
            <w:tcW w:w="7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3,026</w:t>
            </w:r>
          </w:p>
        </w:tc>
        <w:tc>
          <w:tcPr>
            <w:tcW w:w="38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393</w:t>
            </w:r>
          </w:p>
        </w:tc>
      </w:tr>
      <w:tr>
        <w:trPr>
          <w:trHeight w:val="167"/>
        </w:trPr>
        <w:tc>
          <w:tcPr>
            <w:tcW w:w="3100" w:type="dxa"/>
            <w:vAlign w:val="bottom"/>
          </w:tcPr>
          <w:p>
            <w:pPr>
              <w:spacing w:after="0"/>
              <w:rPr>
                <w:sz w:val="14"/>
                <w:szCs w:val="14"/>
                <w:color w:val="auto"/>
              </w:rPr>
            </w:pPr>
          </w:p>
        </w:tc>
        <w:tc>
          <w:tcPr>
            <w:tcW w:w="1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08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359,336</w:t>
            </w:r>
          </w:p>
        </w:tc>
        <w:tc>
          <w:tcPr>
            <w:tcW w:w="78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333,647</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326,876</w:t>
            </w:r>
          </w:p>
        </w:tc>
      </w:tr>
      <w:tr>
        <w:trPr>
          <w:trHeight w:val="167"/>
        </w:trPr>
        <w:tc>
          <w:tcPr>
            <w:tcW w:w="3100" w:type="dxa"/>
            <w:vAlign w:val="bottom"/>
          </w:tcPr>
          <w:p>
            <w:pPr>
              <w:spacing w:after="0"/>
              <w:rPr>
                <w:sz w:val="14"/>
                <w:szCs w:val="14"/>
                <w:color w:val="auto"/>
              </w:rPr>
            </w:pPr>
          </w:p>
        </w:tc>
        <w:tc>
          <w:tcPr>
            <w:tcW w:w="18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In addition to the above provision, in fiscal 2002 TJX also recorded deferred income tax benefits of $26.5 million as a component of a $40 million after-tax charge relating to discontinued operations.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82" w:name="page83"/>
    <w:bookmarkEnd w:id="82"/>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TJX had a net deferred tax (liability) asset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82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JANUARY 25,</w:t>
            </w:r>
          </w:p>
        </w:tc>
        <w:tc>
          <w:tcPr>
            <w:tcW w:w="1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January 26,</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740" w:type="dxa"/>
            <w:vAlign w:val="bottom"/>
          </w:tcPr>
          <w:p>
            <w:pPr>
              <w:spacing w:after="0"/>
              <w:rPr>
                <w:sz w:val="14"/>
                <w:szCs w:val="1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Foreign net operating loss carryforward</w:t>
            </w:r>
          </w:p>
        </w:tc>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13,108</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14,546</w:t>
            </w: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Reserve for discontinued operations</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21,617</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35,277</w:t>
            </w: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Reserve for closed store and restructuring costs</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4,712</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5,824</w:t>
            </w: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Pension, postretirement and employee benefits</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31,001</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34,493</w:t>
            </w: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Leases</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22,591</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21,076</w:t>
            </w: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37,307</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29,591</w:t>
            </w:r>
          </w:p>
        </w:tc>
      </w:tr>
      <w:tr>
        <w:trPr>
          <w:trHeight w:val="167"/>
        </w:trPr>
        <w:tc>
          <w:tcPr>
            <w:tcW w:w="5040" w:type="dxa"/>
            <w:vAlign w:val="bottom"/>
          </w:tcPr>
          <w:p>
            <w:pPr>
              <w:spacing w:after="0"/>
              <w:rPr>
                <w:sz w:val="14"/>
                <w:szCs w:val="14"/>
                <w:color w:val="auto"/>
              </w:rPr>
            </w:pPr>
          </w:p>
        </w:tc>
        <w:tc>
          <w:tcPr>
            <w:tcW w:w="18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Total deferred tax assets</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130,336</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140,807</w:t>
            </w:r>
          </w:p>
        </w:tc>
      </w:tr>
      <w:tr>
        <w:trPr>
          <w:trHeight w:val="167"/>
        </w:trPr>
        <w:tc>
          <w:tcPr>
            <w:tcW w:w="5040" w:type="dxa"/>
            <w:vAlign w:val="bottom"/>
          </w:tcPr>
          <w:p>
            <w:pPr>
              <w:spacing w:after="0"/>
              <w:rPr>
                <w:sz w:val="14"/>
                <w:szCs w:val="14"/>
                <w:color w:val="auto"/>
              </w:rPr>
            </w:pPr>
          </w:p>
        </w:tc>
        <w:tc>
          <w:tcPr>
            <w:tcW w:w="18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Property, plant and equipment</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62,189</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21,143</w:t>
            </w: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Safe harbor leases</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12,683</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13,395</w:t>
            </w: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Tradename</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42,873</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42,873</w:t>
            </w: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Undistributed foreign earnings</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12,809</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Other</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32,790</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24,818</w:t>
            </w:r>
          </w:p>
        </w:tc>
      </w:tr>
      <w:tr>
        <w:trPr>
          <w:trHeight w:val="167"/>
        </w:trPr>
        <w:tc>
          <w:tcPr>
            <w:tcW w:w="5040" w:type="dxa"/>
            <w:vAlign w:val="bottom"/>
          </w:tcPr>
          <w:p>
            <w:pPr>
              <w:spacing w:after="0"/>
              <w:rPr>
                <w:sz w:val="14"/>
                <w:szCs w:val="14"/>
                <w:color w:val="auto"/>
              </w:rPr>
            </w:pPr>
          </w:p>
        </w:tc>
        <w:tc>
          <w:tcPr>
            <w:tcW w:w="18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Total deferred tax liabilities</w:t>
            </w:r>
          </w:p>
        </w:tc>
        <w:tc>
          <w:tcPr>
            <w:tcW w:w="74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163,344</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102,229</w:t>
            </w:r>
          </w:p>
        </w:tc>
      </w:tr>
      <w:tr>
        <w:trPr>
          <w:trHeight w:val="167"/>
        </w:trPr>
        <w:tc>
          <w:tcPr>
            <w:tcW w:w="5040" w:type="dxa"/>
            <w:vAlign w:val="bottom"/>
          </w:tcPr>
          <w:p>
            <w:pPr>
              <w:spacing w:after="0"/>
              <w:rPr>
                <w:sz w:val="14"/>
                <w:szCs w:val="14"/>
                <w:color w:val="auto"/>
              </w:rPr>
            </w:pPr>
          </w:p>
        </w:tc>
        <w:tc>
          <w:tcPr>
            <w:tcW w:w="18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Net deferred tax (liability) asset</w:t>
            </w:r>
          </w:p>
        </w:tc>
        <w:tc>
          <w:tcPr>
            <w:tcW w:w="740" w:type="dxa"/>
            <w:vAlign w:val="bottom"/>
          </w:tcPr>
          <w:p>
            <w:pPr>
              <w:ind w:left="62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(33,008)</w:t>
            </w:r>
          </w:p>
        </w:tc>
        <w:tc>
          <w:tcPr>
            <w:tcW w:w="2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38,578</w:t>
            </w:r>
          </w:p>
        </w:tc>
      </w:tr>
      <w:tr>
        <w:trPr>
          <w:trHeight w:val="167"/>
        </w:trPr>
        <w:tc>
          <w:tcPr>
            <w:tcW w:w="5040" w:type="dxa"/>
            <w:vAlign w:val="bottom"/>
          </w:tcPr>
          <w:p>
            <w:pPr>
              <w:spacing w:after="0"/>
              <w:rPr>
                <w:sz w:val="14"/>
                <w:szCs w:val="14"/>
                <w:color w:val="auto"/>
              </w:rPr>
            </w:pPr>
          </w:p>
        </w:tc>
        <w:tc>
          <w:tcPr>
            <w:tcW w:w="18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fiscal 2003 total net deferred tax liability is presented on the balance sheet as a current asset of $9.0 million and a non-current liability of $42.0 million. For fiscal 2002, the net deferred tax asset is presented on the balance sheet as a current asset of $12.0 million and a non-current asset of $26.6 million. TJX has provided for deferred U.S. taxes on all undistributed Canadian earnings. All earnings of TJX's other foreign subsidiaries are indefinitely reinvested and no deferred taxes have been provided for on those earnings.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TJX has a United Kingdom operating loss carryforward of approximately $43.7 million that may be applied against future taxable income in the U.K., all of which has been recognized for financial reporting purposes. The U.K. net operating loss does not expire under current tax law. In fiscal 2003 TJX utilized a Puerto Rico net operating loss carry-forward of approximately $1 million which was acquired in the Marshalls acquisition. No Puerto Rico net operating loss carryforward exists as of January 25, 2003.</w:t>
      </w:r>
    </w:p>
    <w:p>
      <w:pPr>
        <w:spacing w:after="0" w:line="165"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TJX's worldwide effective income tax rate was 38.3% for fiscal 2003, 38.2% for fiscal 2002, and 37.8% for fiscal 2001. The difference between the U.S. federal statutory income tax rate and TJX's worldwide effective income tax rate is reconciled below:</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Fiscal Year Ended</w:t>
            </w:r>
          </w:p>
        </w:tc>
        <w:tc>
          <w:tcPr>
            <w:tcW w:w="1040" w:type="dxa"/>
            <w:vAlign w:val="bottom"/>
          </w:tcPr>
          <w:p>
            <w:pPr>
              <w:spacing w:after="0"/>
              <w:rPr>
                <w:sz w:val="14"/>
                <w:szCs w:val="14"/>
                <w:color w:val="auto"/>
              </w:rPr>
            </w:pPr>
          </w:p>
        </w:tc>
      </w:tr>
      <w:tr>
        <w:trPr>
          <w:trHeight w:val="167"/>
        </w:trPr>
        <w:tc>
          <w:tcPr>
            <w:tcW w:w="4480" w:type="dxa"/>
            <w:vAlign w:val="bottom"/>
          </w:tcPr>
          <w:p>
            <w:pPr>
              <w:spacing w:after="0"/>
              <w:rPr>
                <w:sz w:val="14"/>
                <w:szCs w:val="14"/>
                <w:color w:val="auto"/>
              </w:rPr>
            </w:pPr>
          </w:p>
        </w:tc>
        <w:tc>
          <w:tcPr>
            <w:tcW w:w="4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JANUARY 25,</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January 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January 27,</w:t>
            </w:r>
          </w:p>
        </w:tc>
      </w:tr>
      <w:tr>
        <w:trPr>
          <w:trHeight w:val="167"/>
        </w:trPr>
        <w:tc>
          <w:tcPr>
            <w:tcW w:w="448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448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U.S. federal statutory income tax rate</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Effective state income tax rate</w:t>
            </w: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Impact of foreign operations</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All other</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r>
      <w:tr>
        <w:trPr>
          <w:trHeight w:val="167"/>
        </w:trPr>
        <w:tc>
          <w:tcPr>
            <w:tcW w:w="448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Worldwide effective income tax rate</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37.8%</w:t>
            </w:r>
          </w:p>
        </w:tc>
      </w:tr>
      <w:tr>
        <w:trPr>
          <w:trHeight w:val="167"/>
        </w:trPr>
        <w:tc>
          <w:tcPr>
            <w:tcW w:w="4480" w:type="dxa"/>
            <w:vAlign w:val="bottom"/>
          </w:tcPr>
          <w:p>
            <w:pPr>
              <w:spacing w:after="0"/>
              <w:rPr>
                <w:sz w:val="14"/>
                <w:szCs w:val="14"/>
                <w:color w:val="auto"/>
              </w:rPr>
            </w:pPr>
          </w:p>
        </w:tc>
        <w:tc>
          <w:tcPr>
            <w:tcW w:w="2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spacing w:after="0" w:line="256" w:lineRule="auto"/>
        <w:rPr>
          <w:sz w:val="20"/>
          <w:szCs w:val="20"/>
          <w:color w:val="auto"/>
        </w:rPr>
      </w:pPr>
      <w:r>
        <w:rPr>
          <w:rFonts w:ascii="Courier New" w:cs="Courier New" w:eastAsia="Courier New" w:hAnsi="Courier New"/>
          <w:sz w:val="14"/>
          <w:szCs w:val="14"/>
          <w:color w:val="auto"/>
        </w:rPr>
        <w:t>The additional benefit reflected in "all other" in fiscal 2003 is due to the favorable effect of the tax benefit for payment of executive retirement benefits in exchange for the termination of split-dollar arrangements described in Note H.</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 PENSION PLANS AND OTHER RETIREMENT BENEFITS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PENSION: TJX has a funded defined benefit retirement plan covering the majority of its full-time U.S. employees. Employees who have attained twenty-one years of age and have completed one year of service are covered under the plan. No employee contributions are required and benefits are based on compensation earned in each year of service. We also have an unfunded supplemental retirement plan which covers key employees of the Company and provides additional retirement benefits based on average compensation. Our funded defined benefit retirement plan assets are invested primarily in stock and bonds of U.S. corporations, excluding TJX, as well as various investment funds.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20" w:right="1440" w:bottom="640" w:gutter="0" w:footer="0" w:header="0"/>
        </w:sectPr>
      </w:pPr>
    </w:p>
    <w:bookmarkStart w:id="83" w:name="page84"/>
    <w:bookmarkEnd w:id="83"/>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Presented below is financial information relating to TJX's funded defined benefit retirement plan (Funded Plan) and its unfunded supplemental pension plan (Unfunded Plan) for the fiscal years indicated: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gridSpan w:val="3"/>
          </w:tcPr>
          <w:p>
            <w:pPr>
              <w:jc w:val="right"/>
              <w:ind w:right="808"/>
              <w:spacing w:after="0"/>
              <w:rPr>
                <w:sz w:val="20"/>
                <w:szCs w:val="20"/>
                <w:color w:val="auto"/>
              </w:rPr>
            </w:pPr>
            <w:r>
              <w:rPr>
                <w:rFonts w:ascii="Courier New" w:cs="Courier New" w:eastAsia="Courier New" w:hAnsi="Courier New"/>
                <w:sz w:val="14"/>
                <w:szCs w:val="14"/>
                <w:color w:val="auto"/>
              </w:rPr>
              <w:t>Funded Plan</w:t>
            </w:r>
          </w:p>
        </w:tc>
        <w:tc>
          <w:tcPr>
            <w:tcW w:w="220" w:type="dxa"/>
            <w:vAlign w:val="bottom"/>
          </w:tcPr>
          <w:p>
            <w:pPr>
              <w:spacing w:after="0"/>
              <w:rPr>
                <w:sz w:val="14"/>
                <w:szCs w:val="14"/>
                <w:color w:val="auto"/>
              </w:rPr>
            </w:pPr>
          </w:p>
        </w:tc>
        <w:tc>
          <w:tcPr>
            <w:tcW w:w="2300" w:type="dxa"/>
            <w:vAlign w:val="bottom"/>
            <w:gridSpan w:val="3"/>
          </w:tcPr>
          <w:p>
            <w:pPr>
              <w:jc w:val="right"/>
              <w:ind w:right="728"/>
              <w:spacing w:after="0"/>
              <w:rPr>
                <w:sz w:val="20"/>
                <w:szCs w:val="20"/>
                <w:color w:val="auto"/>
              </w:rPr>
            </w:pPr>
            <w:r>
              <w:rPr>
                <w:rFonts w:ascii="Courier New" w:cs="Courier New" w:eastAsia="Courier New" w:hAnsi="Courier New"/>
                <w:sz w:val="14"/>
                <w:szCs w:val="14"/>
                <w:color w:val="auto"/>
              </w:rPr>
              <w:t>Unfunded Plan</w:t>
            </w:r>
          </w:p>
        </w:tc>
      </w:tr>
      <w:tr>
        <w:trPr>
          <w:trHeight w:val="167"/>
        </w:trPr>
        <w:tc>
          <w:tcPr>
            <w:tcW w:w="4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0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Fiscal Year Ended</w:t>
            </w:r>
          </w:p>
        </w:tc>
        <w:tc>
          <w:tcPr>
            <w:tcW w:w="220" w:type="dxa"/>
            <w:vAlign w:val="bottom"/>
          </w:tcPr>
          <w:p>
            <w:pPr>
              <w:spacing w:after="0"/>
              <w:rPr>
                <w:sz w:val="14"/>
                <w:szCs w:val="14"/>
                <w:color w:val="auto"/>
              </w:rPr>
            </w:pPr>
          </w:p>
        </w:tc>
        <w:tc>
          <w:tcPr>
            <w:tcW w:w="2300" w:type="dxa"/>
            <w:vAlign w:val="bottom"/>
            <w:gridSpan w:val="3"/>
          </w:tcPr>
          <w:p>
            <w:pPr>
              <w:jc w:val="right"/>
              <w:ind w:right="548"/>
              <w:spacing w:after="0"/>
              <w:rPr>
                <w:sz w:val="20"/>
                <w:szCs w:val="20"/>
                <w:color w:val="auto"/>
              </w:rPr>
            </w:pPr>
            <w:r>
              <w:rPr>
                <w:rFonts w:ascii="Courier New" w:cs="Courier New" w:eastAsia="Courier New" w:hAnsi="Courier New"/>
                <w:sz w:val="14"/>
                <w:szCs w:val="14"/>
                <w:color w:val="auto"/>
              </w:rPr>
              <w:t>Fiscal Year Ended</w:t>
            </w:r>
          </w:p>
        </w:tc>
      </w:tr>
      <w:tr>
        <w:trPr>
          <w:trHeight w:val="167"/>
        </w:trPr>
        <w:tc>
          <w:tcPr>
            <w:tcW w:w="4600" w:type="dxa"/>
            <w:vAlign w:val="bottom"/>
          </w:tcPr>
          <w:p>
            <w:pPr>
              <w:spacing w:after="0"/>
              <w:rPr>
                <w:sz w:val="14"/>
                <w:szCs w:val="14"/>
                <w:color w:val="auto"/>
              </w:rPr>
            </w:pPr>
          </w:p>
        </w:tc>
        <w:tc>
          <w:tcPr>
            <w:tcW w:w="288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5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16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JANUARY 25,</w:t>
            </w:r>
          </w:p>
        </w:tc>
        <w:tc>
          <w:tcPr>
            <w:tcW w:w="1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January 26,</w:t>
            </w: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JANUARY 25,</w:t>
            </w:r>
          </w:p>
        </w:tc>
        <w:tc>
          <w:tcPr>
            <w:tcW w:w="12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January 26,</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58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160" w:type="dxa"/>
            <w:vAlign w:val="bottom"/>
          </w:tcPr>
          <w:p>
            <w:pPr>
              <w:spacing w:after="0"/>
              <w:rPr>
                <w:sz w:val="14"/>
                <w:szCs w:val="14"/>
                <w:color w:val="auto"/>
              </w:rPr>
            </w:pPr>
          </w:p>
        </w:tc>
        <w:tc>
          <w:tcPr>
            <w:tcW w:w="11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2002</w:t>
            </w:r>
          </w:p>
        </w:tc>
        <w:tc>
          <w:tcPr>
            <w:tcW w:w="220" w:type="dxa"/>
            <w:vAlign w:val="bottom"/>
          </w:tcPr>
          <w:p>
            <w:pPr>
              <w:spacing w:after="0"/>
              <w:rPr>
                <w:sz w:val="14"/>
                <w:szCs w:val="14"/>
                <w:color w:val="auto"/>
              </w:rPr>
            </w:pPr>
          </w:p>
        </w:tc>
        <w:tc>
          <w:tcPr>
            <w:tcW w:w="10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1000" w:type="dxa"/>
            <w:vAlign w:val="bottom"/>
          </w:tcPr>
          <w:p>
            <w:pPr>
              <w:jc w:val="right"/>
              <w:ind w:right="46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4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at beginning of year</w:t>
            </w:r>
          </w:p>
        </w:tc>
        <w:tc>
          <w:tcPr>
            <w:tcW w:w="5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186,212</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153,563</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32,778</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23,798</w:t>
            </w: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Service cost</w:t>
            </w:r>
          </w:p>
        </w:tc>
        <w:tc>
          <w:tcPr>
            <w:tcW w:w="5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17,224</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13,242</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1,153</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903</w:t>
            </w: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Interest cost</w:t>
            </w:r>
          </w:p>
        </w:tc>
        <w:tc>
          <w:tcPr>
            <w:tcW w:w="5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13,053</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11,349</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2,345</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1,865</w:t>
            </w: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Amendments</w:t>
            </w:r>
          </w:p>
        </w:tc>
        <w:tc>
          <w:tcPr>
            <w:tcW w:w="5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Actuarial losses</w:t>
            </w:r>
          </w:p>
        </w:tc>
        <w:tc>
          <w:tcPr>
            <w:tcW w:w="5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21,079</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14,483</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3,933</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7,982</w:t>
            </w: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Benefits paid</w:t>
            </w:r>
          </w:p>
        </w:tc>
        <w:tc>
          <w:tcPr>
            <w:tcW w:w="5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(5,862)</w:t>
            </w:r>
          </w:p>
        </w:tc>
        <w:tc>
          <w:tcPr>
            <w:tcW w:w="1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(5,792)</w:t>
            </w:r>
          </w:p>
        </w:tc>
        <w:tc>
          <w:tcPr>
            <w:tcW w:w="2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(1,896)</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(1,770)</w:t>
            </w: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Expenses paid</w:t>
            </w:r>
          </w:p>
        </w:tc>
        <w:tc>
          <w:tcPr>
            <w:tcW w:w="5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(1,027)</w:t>
            </w:r>
          </w:p>
        </w:tc>
        <w:tc>
          <w:tcPr>
            <w:tcW w:w="1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(633)</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16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at end of year</w:t>
            </w:r>
          </w:p>
        </w:tc>
        <w:tc>
          <w:tcPr>
            <w:tcW w:w="5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230,897</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186,212</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38,706</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32,778</w:t>
            </w:r>
          </w:p>
        </w:tc>
      </w:tr>
      <w:tr>
        <w:trPr>
          <w:trHeight w:val="167"/>
        </w:trPr>
        <w:tc>
          <w:tcPr>
            <w:tcW w:w="4600" w:type="dxa"/>
            <w:vAlign w:val="bottom"/>
          </w:tcPr>
          <w:p>
            <w:pPr>
              <w:spacing w:after="0"/>
              <w:rPr>
                <w:sz w:val="14"/>
                <w:szCs w:val="14"/>
                <w:color w:val="auto"/>
              </w:rPr>
            </w:pPr>
          </w:p>
        </w:tc>
        <w:tc>
          <w:tcPr>
            <w:tcW w:w="16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Fair value of plan assets at beginning of year</w:t>
            </w:r>
          </w:p>
        </w:tc>
        <w:tc>
          <w:tcPr>
            <w:tcW w:w="5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180,561</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149,942</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Actual return on plan assets</w:t>
            </w:r>
          </w:p>
        </w:tc>
        <w:tc>
          <w:tcPr>
            <w:tcW w:w="5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(14,753)</w:t>
            </w:r>
          </w:p>
        </w:tc>
        <w:tc>
          <w:tcPr>
            <w:tcW w:w="1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(9,805)</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Employer contribution</w:t>
            </w:r>
          </w:p>
        </w:tc>
        <w:tc>
          <w:tcPr>
            <w:tcW w:w="5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58,000</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46,849</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1,896</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1,770</w:t>
            </w: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Benefits paid</w:t>
            </w:r>
          </w:p>
        </w:tc>
        <w:tc>
          <w:tcPr>
            <w:tcW w:w="5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(5,862)</w:t>
            </w:r>
          </w:p>
        </w:tc>
        <w:tc>
          <w:tcPr>
            <w:tcW w:w="1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(5,792)</w:t>
            </w:r>
          </w:p>
        </w:tc>
        <w:tc>
          <w:tcPr>
            <w:tcW w:w="2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(1,896)</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(1,770)</w:t>
            </w:r>
          </w:p>
        </w:tc>
      </w:tr>
      <w:tr>
        <w:trPr>
          <w:trHeight w:val="167"/>
        </w:trPr>
        <w:tc>
          <w:tcPr>
            <w:tcW w:w="4600" w:type="dxa"/>
            <w:vAlign w:val="bottom"/>
          </w:tcPr>
          <w:p>
            <w:pPr>
              <w:ind w:left="360"/>
              <w:spacing w:after="0"/>
              <w:rPr>
                <w:sz w:val="20"/>
                <w:szCs w:val="20"/>
                <w:color w:val="auto"/>
              </w:rPr>
            </w:pPr>
            <w:r>
              <w:rPr>
                <w:rFonts w:ascii="Courier New" w:cs="Courier New" w:eastAsia="Courier New" w:hAnsi="Courier New"/>
                <w:sz w:val="14"/>
                <w:szCs w:val="14"/>
                <w:color w:val="auto"/>
              </w:rPr>
              <w:t>Expenses paid</w:t>
            </w:r>
          </w:p>
        </w:tc>
        <w:tc>
          <w:tcPr>
            <w:tcW w:w="5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(1,027)</w:t>
            </w:r>
          </w:p>
        </w:tc>
        <w:tc>
          <w:tcPr>
            <w:tcW w:w="1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(633)</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16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Fair value of plan assets at end of year</w:t>
            </w:r>
          </w:p>
        </w:tc>
        <w:tc>
          <w:tcPr>
            <w:tcW w:w="5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216,919</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180,561</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16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Reconciliation of funded status: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at end of year</w:t>
            </w:r>
          </w:p>
        </w:tc>
        <w:tc>
          <w:tcPr>
            <w:tcW w:w="5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230,897</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186,212</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38,706</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32,778</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Fair value of plan assets at end of year</w:t>
            </w:r>
          </w:p>
        </w:tc>
        <w:tc>
          <w:tcPr>
            <w:tcW w:w="5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216,919</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180,561</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spacing w:after="0"/>
              <w:rPr>
                <w:sz w:val="14"/>
                <w:szCs w:val="14"/>
                <w:color w:val="auto"/>
              </w:rPr>
            </w:pPr>
          </w:p>
        </w:tc>
        <w:tc>
          <w:tcPr>
            <w:tcW w:w="16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Funded status - excess obligations</w:t>
            </w:r>
          </w:p>
        </w:tc>
        <w:tc>
          <w:tcPr>
            <w:tcW w:w="5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13,978</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5,651</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38,706</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32,778</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Unrecognized transition obligation</w:t>
            </w:r>
          </w:p>
        </w:tc>
        <w:tc>
          <w:tcPr>
            <w:tcW w:w="5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Unrecognized prior service cost</w:t>
            </w:r>
          </w:p>
        </w:tc>
        <w:tc>
          <w:tcPr>
            <w:tcW w:w="5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351</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(298)</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Unrecognized actuarial losses</w:t>
            </w:r>
          </w:p>
        </w:tc>
        <w:tc>
          <w:tcPr>
            <w:tcW w:w="5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89,768</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43,562</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12,206</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9,460</w:t>
            </w:r>
          </w:p>
        </w:tc>
      </w:tr>
      <w:tr>
        <w:trPr>
          <w:trHeight w:val="167"/>
        </w:trPr>
        <w:tc>
          <w:tcPr>
            <w:tcW w:w="4600" w:type="dxa"/>
            <w:vAlign w:val="bottom"/>
          </w:tcPr>
          <w:p>
            <w:pPr>
              <w:spacing w:after="0"/>
              <w:rPr>
                <w:sz w:val="14"/>
                <w:szCs w:val="14"/>
                <w:color w:val="auto"/>
              </w:rPr>
            </w:pPr>
          </w:p>
        </w:tc>
        <w:tc>
          <w:tcPr>
            <w:tcW w:w="16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Net (asset) liability recognized</w:t>
            </w:r>
          </w:p>
        </w:tc>
        <w:tc>
          <w:tcPr>
            <w:tcW w:w="5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(76,141)</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(38,101)</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26,097</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23,318</w:t>
            </w:r>
          </w:p>
        </w:tc>
      </w:tr>
      <w:tr>
        <w:trPr>
          <w:trHeight w:val="167"/>
        </w:trPr>
        <w:tc>
          <w:tcPr>
            <w:tcW w:w="4600" w:type="dxa"/>
            <w:vAlign w:val="bottom"/>
          </w:tcPr>
          <w:p>
            <w:pPr>
              <w:spacing w:after="0"/>
              <w:rPr>
                <w:sz w:val="14"/>
                <w:szCs w:val="14"/>
                <w:color w:val="auto"/>
              </w:rPr>
            </w:pPr>
          </w:p>
        </w:tc>
        <w:tc>
          <w:tcPr>
            <w:tcW w:w="16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Amount recognized in the statements of</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financial position consists of:</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Net (asset) accrued liability</w:t>
            </w:r>
          </w:p>
        </w:tc>
        <w:tc>
          <w:tcPr>
            <w:tcW w:w="5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(76,141)</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(38,101)</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24,944</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18,008</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Intangible asset</w:t>
            </w:r>
          </w:p>
        </w:tc>
        <w:tc>
          <w:tcPr>
            <w:tcW w:w="5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1,153</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1,484</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Reduction to accumulated other</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600" w:type="dxa"/>
            <w:vAlign w:val="bottom"/>
          </w:tcPr>
          <w:p>
            <w:pPr>
              <w:ind w:left="440"/>
              <w:spacing w:after="0"/>
              <w:rPr>
                <w:sz w:val="20"/>
                <w:szCs w:val="20"/>
                <w:color w:val="auto"/>
              </w:rPr>
            </w:pPr>
            <w:r>
              <w:rPr>
                <w:rFonts w:ascii="Courier New" w:cs="Courier New" w:eastAsia="Courier New" w:hAnsi="Courier New"/>
                <w:sz w:val="14"/>
                <w:szCs w:val="14"/>
                <w:color w:val="auto"/>
              </w:rPr>
              <w:t>comprehensive income</w:t>
            </w:r>
          </w:p>
        </w:tc>
        <w:tc>
          <w:tcPr>
            <w:tcW w:w="5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11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3,826</w:t>
            </w:r>
          </w:p>
        </w:tc>
      </w:tr>
      <w:tr>
        <w:trPr>
          <w:trHeight w:val="167"/>
        </w:trPr>
        <w:tc>
          <w:tcPr>
            <w:tcW w:w="4600" w:type="dxa"/>
            <w:vAlign w:val="bottom"/>
          </w:tcPr>
          <w:p>
            <w:pPr>
              <w:spacing w:after="0"/>
              <w:rPr>
                <w:sz w:val="14"/>
                <w:szCs w:val="14"/>
                <w:color w:val="auto"/>
              </w:rPr>
            </w:pPr>
          </w:p>
        </w:tc>
        <w:tc>
          <w:tcPr>
            <w:tcW w:w="16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Net (asset) liability recognized</w:t>
            </w:r>
          </w:p>
        </w:tc>
        <w:tc>
          <w:tcPr>
            <w:tcW w:w="58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(76,141)</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(38,101)</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26,097</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23,318</w:t>
            </w:r>
          </w:p>
        </w:tc>
      </w:tr>
      <w:tr>
        <w:trPr>
          <w:trHeight w:val="167"/>
        </w:trPr>
        <w:tc>
          <w:tcPr>
            <w:tcW w:w="4600" w:type="dxa"/>
            <w:vAlign w:val="bottom"/>
          </w:tcPr>
          <w:p>
            <w:pPr>
              <w:spacing w:after="0"/>
              <w:rPr>
                <w:sz w:val="14"/>
                <w:szCs w:val="14"/>
                <w:color w:val="auto"/>
              </w:rPr>
            </w:pPr>
          </w:p>
        </w:tc>
        <w:tc>
          <w:tcPr>
            <w:tcW w:w="16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600" w:type="dxa"/>
            <w:vAlign w:val="bottom"/>
          </w:tcPr>
          <w:p>
            <w:pPr>
              <w:spacing w:after="0"/>
              <w:rPr>
                <w:sz w:val="20"/>
                <w:szCs w:val="20"/>
                <w:color w:val="auto"/>
              </w:rPr>
            </w:pPr>
            <w:r>
              <w:rPr>
                <w:rFonts w:ascii="Courier New" w:cs="Courier New" w:eastAsia="Courier New" w:hAnsi="Courier New"/>
                <w:sz w:val="14"/>
                <w:szCs w:val="14"/>
                <w:color w:val="auto"/>
              </w:rPr>
              <w:t>Weighted average assumptions:</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Discount rate</w:t>
            </w:r>
          </w:p>
        </w:tc>
        <w:tc>
          <w:tcPr>
            <w:tcW w:w="5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6.50%</w:t>
            </w:r>
          </w:p>
        </w:tc>
        <w:tc>
          <w:tcPr>
            <w:tcW w:w="1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7.00%</w:t>
            </w:r>
          </w:p>
        </w:tc>
        <w:tc>
          <w:tcPr>
            <w:tcW w:w="2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5.85%</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6.35%</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Expected return on plan assets</w:t>
            </w:r>
          </w:p>
        </w:tc>
        <w:tc>
          <w:tcPr>
            <w:tcW w:w="5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8.00%</w:t>
            </w:r>
          </w:p>
        </w:tc>
        <w:tc>
          <w:tcPr>
            <w:tcW w:w="1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9.00%</w:t>
            </w:r>
          </w:p>
        </w:tc>
        <w:tc>
          <w:tcPr>
            <w:tcW w:w="2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N/A</w:t>
            </w:r>
          </w:p>
        </w:tc>
        <w:tc>
          <w:tcPr>
            <w:tcW w:w="22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N/A</w:t>
            </w:r>
          </w:p>
        </w:tc>
      </w:tr>
      <w:tr>
        <w:trPr>
          <w:trHeight w:val="167"/>
        </w:trPr>
        <w:tc>
          <w:tcPr>
            <w:tcW w:w="4600" w:type="dxa"/>
            <w:vAlign w:val="bottom"/>
          </w:tcPr>
          <w:p>
            <w:pPr>
              <w:ind w:left="180"/>
              <w:spacing w:after="0"/>
              <w:rPr>
                <w:sz w:val="20"/>
                <w:szCs w:val="20"/>
                <w:color w:val="auto"/>
              </w:rPr>
            </w:pPr>
            <w:r>
              <w:rPr>
                <w:rFonts w:ascii="Courier New" w:cs="Courier New" w:eastAsia="Courier New" w:hAnsi="Courier New"/>
                <w:sz w:val="14"/>
                <w:szCs w:val="14"/>
                <w:color w:val="auto"/>
              </w:rPr>
              <w:t>Rate of compensation increase</w:t>
            </w:r>
          </w:p>
        </w:tc>
        <w:tc>
          <w:tcPr>
            <w:tcW w:w="5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w:t>
            </w:r>
          </w:p>
        </w:tc>
        <w:tc>
          <w:tcPr>
            <w:tcW w:w="160" w:type="dxa"/>
            <w:vAlign w:val="bottom"/>
          </w:tcPr>
          <w:p>
            <w:pPr>
              <w:spacing w:after="0"/>
              <w:rPr>
                <w:sz w:val="14"/>
                <w:szCs w:val="14"/>
                <w:color w:val="auto"/>
              </w:rPr>
            </w:pPr>
          </w:p>
        </w:tc>
        <w:tc>
          <w:tcPr>
            <w:tcW w:w="11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22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w:t>
            </w:r>
          </w:p>
        </w:tc>
        <w:tc>
          <w:tcPr>
            <w:tcW w:w="22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6.00%</w:t>
            </w:r>
          </w:p>
        </w:tc>
      </w:tr>
    </w:tbl>
    <w:p>
      <w:pPr>
        <w:spacing w:after="0" w:line="33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accumulated benefit obligation ("ABO") of TJX's funded defined benefit plan was $215.9 million as of January 25, 2003 and $175.9 million as of January 26, 2002. The ABO of TJX's unfunded supplemental retirement plan was $26.1 million as of January 25, 2003 and $23.3 million as of January 26, 2002.</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net asset attributable to the funded plan is reflected on the balance sheets as a non-current asset of $49.4 million as of January 25, 2003 and $21.1 million as of January 26, 2002. The balance of the net asset in each year is included in current assets. The net accrued liability attributable to TJX's unfunded supplemental retirement plan is included in other long-term liabilities on the balance sheets. We made aggregate cash contributions of $59.9 million and $48.6 million for fiscal 2003 and 2002, respectively, to the non-contributory defined benefit retirement plan and to fund current benefit and expense payments under the unfunded supplemental retirement plan.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84" w:name="page85"/>
    <w:bookmarkEnd w:id="84"/>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4760" w:firstLine="781"/>
        <w:spacing w:after="0" w:line="258" w:lineRule="auto"/>
        <w:rPr>
          <w:sz w:val="20"/>
          <w:szCs w:val="20"/>
          <w:color w:val="auto"/>
        </w:rPr>
      </w:pPr>
      <w:r>
        <w:rPr>
          <w:rFonts w:ascii="Courier New" w:cs="Courier New" w:eastAsia="Courier New" w:hAnsi="Courier New"/>
          <w:sz w:val="14"/>
          <w:szCs w:val="14"/>
          <w:color w:val="auto"/>
        </w:rPr>
        <w:t>Following are the components of net periodic benefit cost for our pension plans: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Funded Plan</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3"/>
          </w:tcPr>
          <w:p>
            <w:pPr>
              <w:jc w:val="center"/>
              <w:ind w:left="628"/>
              <w:spacing w:after="0"/>
              <w:rPr>
                <w:sz w:val="20"/>
                <w:szCs w:val="20"/>
                <w:color w:val="auto"/>
              </w:rPr>
            </w:pPr>
            <w:r>
              <w:rPr>
                <w:rFonts w:ascii="Courier New" w:cs="Courier New" w:eastAsia="Courier New" w:hAnsi="Courier New"/>
                <w:sz w:val="14"/>
                <w:szCs w:val="14"/>
                <w:color w:val="auto"/>
              </w:rPr>
              <w:t>Unfunded Plan</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Fiscal Year Ended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3"/>
          </w:tcPr>
          <w:p>
            <w:pPr>
              <w:jc w:val="center"/>
              <w:ind w:left="628"/>
              <w:spacing w:after="0"/>
              <w:rPr>
                <w:sz w:val="20"/>
                <w:szCs w:val="20"/>
                <w:color w:val="auto"/>
              </w:rPr>
            </w:pPr>
            <w:r>
              <w:rPr>
                <w:rFonts w:ascii="Courier New" w:cs="Courier New" w:eastAsia="Courier New" w:hAnsi="Courier New"/>
                <w:sz w:val="14"/>
                <w:szCs w:val="14"/>
                <w:color w:val="auto"/>
              </w:rPr>
              <w:t>Fiscal Year Ended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3660" w:type="dxa"/>
            <w:vAlign w:val="bottom"/>
          </w:tcPr>
          <w:p>
            <w:pPr>
              <w:spacing w:after="0"/>
              <w:rPr>
                <w:sz w:val="14"/>
                <w:szCs w:val="14"/>
                <w:color w:val="auto"/>
              </w:rPr>
            </w:pPr>
          </w:p>
        </w:tc>
        <w:tc>
          <w:tcPr>
            <w:tcW w:w="1600" w:type="dxa"/>
            <w:vAlign w:val="bottom"/>
            <w:gridSpan w:val="2"/>
          </w:tcPr>
          <w:p>
            <w:pPr>
              <w:ind w:left="420"/>
              <w:spacing w:after="0"/>
              <w:rPr>
                <w:sz w:val="20"/>
                <w:szCs w:val="20"/>
                <w:color w:val="auto"/>
              </w:rPr>
            </w:pPr>
            <w:r>
              <w:rPr>
                <w:rFonts w:ascii="Courier New" w:cs="Courier New" w:eastAsia="Courier New" w:hAnsi="Courier New"/>
                <w:sz w:val="6"/>
                <w:szCs w:val="6"/>
                <w:color w:val="auto"/>
                <w:w w:val="80"/>
              </w:rPr>
              <w:t>----------------------------------------</w:t>
            </w: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60" w:type="dxa"/>
            <w:vAlign w:val="bottom"/>
            <w:gridSpan w:val="6"/>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16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JANUARY 25,</w:t>
            </w:r>
          </w:p>
        </w:tc>
        <w:tc>
          <w:tcPr>
            <w:tcW w:w="13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January 26,</w:t>
            </w:r>
          </w:p>
        </w:tc>
        <w:tc>
          <w:tcPr>
            <w:tcW w:w="11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January 27,</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JANUARY 25,</w:t>
            </w:r>
          </w:p>
        </w:tc>
        <w:tc>
          <w:tcPr>
            <w:tcW w:w="1220" w:type="dxa"/>
            <w:vAlign w:val="bottom"/>
            <w:gridSpan w:val="2"/>
          </w:tcPr>
          <w:p>
            <w:pPr>
              <w:jc w:val="center"/>
              <w:ind w:right="188"/>
              <w:spacing w:after="0"/>
              <w:rPr>
                <w:sz w:val="20"/>
                <w:szCs w:val="20"/>
                <w:color w:val="auto"/>
              </w:rPr>
            </w:pPr>
            <w:r>
              <w:rPr>
                <w:rFonts w:ascii="Courier New" w:cs="Courier New" w:eastAsia="Courier New" w:hAnsi="Courier New"/>
                <w:sz w:val="14"/>
                <w:szCs w:val="14"/>
                <w:color w:val="auto"/>
              </w:rPr>
              <w:t>January 26,</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January 27,</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600" w:type="dxa"/>
            <w:vAlign w:val="bottom"/>
          </w:tcPr>
          <w:p>
            <w:pPr>
              <w:spacing w:after="0"/>
              <w:rPr>
                <w:sz w:val="14"/>
                <w:szCs w:val="14"/>
                <w:color w:val="auto"/>
              </w:rPr>
            </w:pPr>
          </w:p>
        </w:tc>
        <w:tc>
          <w:tcPr>
            <w:tcW w:w="10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18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2002</w:t>
            </w:r>
          </w:p>
        </w:tc>
        <w:tc>
          <w:tcPr>
            <w:tcW w:w="18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c>
          <w:tcPr>
            <w:tcW w:w="16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2003</w:t>
            </w:r>
          </w:p>
        </w:tc>
        <w:tc>
          <w:tcPr>
            <w:tcW w:w="180" w:type="dxa"/>
            <w:vAlign w:val="bottom"/>
          </w:tcPr>
          <w:p>
            <w:pPr>
              <w:spacing w:after="0"/>
              <w:rPr>
                <w:sz w:val="14"/>
                <w:szCs w:val="14"/>
                <w:color w:val="auto"/>
              </w:rPr>
            </w:pPr>
          </w:p>
        </w:tc>
        <w:tc>
          <w:tcPr>
            <w:tcW w:w="1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2002</w:t>
            </w:r>
          </w:p>
        </w:tc>
        <w:tc>
          <w:tcPr>
            <w:tcW w:w="1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17,224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13,242</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10,040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903</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694</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13,053</w:t>
            </w:r>
          </w:p>
        </w:tc>
        <w:tc>
          <w:tcPr>
            <w:tcW w:w="18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11,349</w:t>
            </w:r>
          </w:p>
        </w:tc>
        <w:tc>
          <w:tcPr>
            <w:tcW w:w="18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9,915</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2,345</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1,865</w:t>
            </w:r>
          </w:p>
        </w:tc>
        <w:tc>
          <w:tcPr>
            <w:tcW w:w="1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1,645</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60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(14,085)</w:t>
            </w:r>
          </w:p>
        </w:tc>
        <w:tc>
          <w:tcPr>
            <w:tcW w:w="18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(13,274)</w:t>
            </w:r>
          </w:p>
        </w:tc>
        <w:tc>
          <w:tcPr>
            <w:tcW w:w="1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(12,783)</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w:t>
            </w:r>
          </w:p>
        </w:tc>
        <w:tc>
          <w:tcPr>
            <w:tcW w:w="1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18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w:t>
            </w:r>
          </w:p>
        </w:tc>
        <w:tc>
          <w:tcPr>
            <w:tcW w:w="1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245</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197</w:t>
            </w:r>
          </w:p>
        </w:tc>
        <w:tc>
          <w:tcPr>
            <w:tcW w:w="1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Recognized actuarial (gains) losses</w:t>
            </w:r>
          </w:p>
        </w:tc>
        <w:tc>
          <w:tcPr>
            <w:tcW w:w="60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3,711</w:t>
            </w:r>
          </w:p>
        </w:tc>
        <w:tc>
          <w:tcPr>
            <w:tcW w:w="18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(1,357)</w:t>
            </w:r>
          </w:p>
        </w:tc>
        <w:tc>
          <w:tcPr>
            <w:tcW w:w="16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5,013</w:t>
            </w:r>
          </w:p>
        </w:tc>
        <w:tc>
          <w:tcPr>
            <w:tcW w:w="1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1,926</w:t>
            </w:r>
          </w:p>
        </w:tc>
        <w:tc>
          <w:tcPr>
            <w:tcW w:w="12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272</w:t>
            </w:r>
          </w:p>
        </w:tc>
      </w:tr>
      <w:tr>
        <w:trPr>
          <w:trHeight w:val="167"/>
        </w:trPr>
        <w:tc>
          <w:tcPr>
            <w:tcW w:w="3660" w:type="dxa"/>
            <w:vAlign w:val="bottom"/>
          </w:tcPr>
          <w:p>
            <w:pPr>
              <w:spacing w:after="0"/>
              <w:rPr>
                <w:sz w:val="14"/>
                <w:szCs w:val="14"/>
                <w:color w:val="auto"/>
              </w:rPr>
            </w:pPr>
          </w:p>
        </w:tc>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periodic pension cost</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19,961</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11,347</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5,782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8,831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4,966</w:t>
            </w:r>
          </w:p>
        </w:tc>
        <w:tc>
          <w:tcPr>
            <w:tcW w:w="1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2,883</w:t>
            </w:r>
          </w:p>
        </w:tc>
      </w:tr>
      <w:tr>
        <w:trPr>
          <w:trHeight w:val="167"/>
        </w:trPr>
        <w:tc>
          <w:tcPr>
            <w:tcW w:w="3660" w:type="dxa"/>
            <w:vAlign w:val="bottom"/>
          </w:tcPr>
          <w:p>
            <w:pPr>
              <w:spacing w:after="0"/>
              <w:rPr>
                <w:sz w:val="14"/>
                <w:szCs w:val="14"/>
                <w:color w:val="auto"/>
              </w:rPr>
            </w:pPr>
          </w:p>
        </w:tc>
        <w:tc>
          <w:tcPr>
            <w:tcW w:w="16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240"/>
        <w:spacing w:after="0" w:line="253" w:lineRule="auto"/>
        <w:rPr>
          <w:sz w:val="20"/>
          <w:szCs w:val="20"/>
          <w:color w:val="auto"/>
        </w:rPr>
      </w:pPr>
      <w:r>
        <w:rPr>
          <w:rFonts w:ascii="Courier New" w:cs="Courier New" w:eastAsia="Courier New" w:hAnsi="Courier New"/>
          <w:sz w:val="14"/>
          <w:szCs w:val="14"/>
          <w:color w:val="auto"/>
        </w:rPr>
        <w:t>Net pension expense for fiscal 2003 and fiscal 2002 reflects an increase in service cost due to a reduction in the discount rate and an increase in the amortization of actuarial losses. Net pension expense for both years also reflects increased service cost attributable to the change in assumption regarding mortality effective at the beginning of fiscal 2002. The increase in cost due to the recognized actuarial (gains) losses is the result of accumulated losses due to a reduction in the discount rate, lower than expected asset performance and a change in the mortality assumption.</w:t>
      </w:r>
    </w:p>
    <w:p>
      <w:pPr>
        <w:spacing w:after="0" w:line="165" w:lineRule="exact"/>
        <w:rPr>
          <w:sz w:val="20"/>
          <w:szCs w:val="20"/>
          <w:color w:val="auto"/>
        </w:rPr>
      </w:pPr>
    </w:p>
    <w:p>
      <w:pPr>
        <w:ind w:right="4420" w:firstLine="781"/>
        <w:spacing w:after="0" w:line="254" w:lineRule="auto"/>
        <w:rPr>
          <w:sz w:val="20"/>
          <w:szCs w:val="20"/>
          <w:color w:val="auto"/>
        </w:rPr>
      </w:pPr>
      <w:r>
        <w:rPr>
          <w:rFonts w:ascii="Courier New" w:cs="Courier New" w:eastAsia="Courier New" w:hAnsi="Courier New"/>
          <w:sz w:val="14"/>
          <w:szCs w:val="14"/>
          <w:color w:val="auto"/>
        </w:rPr>
        <w:t>The unrecognized gains and losses in excess of 10% of the projected benefit obligation are amortized over the average remaining service life of participants. In addition, for the unfunded plan, unrecognized actuarial gains and losses that exceed 30% of the projected benefit obligation are fully recognized in net pension expense.</w:t>
      </w:r>
    </w:p>
    <w:p>
      <w:pPr>
        <w:spacing w:after="0" w:line="162" w:lineRule="exact"/>
        <w:rPr>
          <w:sz w:val="20"/>
          <w:szCs w:val="20"/>
          <w:color w:val="auto"/>
        </w:rPr>
      </w:pPr>
    </w:p>
    <w:p>
      <w:pPr>
        <w:ind w:right="4240" w:firstLine="781"/>
        <w:spacing w:after="0" w:line="252" w:lineRule="auto"/>
        <w:rPr>
          <w:sz w:val="20"/>
          <w:szCs w:val="20"/>
          <w:color w:val="auto"/>
        </w:rPr>
      </w:pPr>
      <w:r>
        <w:rPr>
          <w:rFonts w:ascii="Courier New" w:cs="Courier New" w:eastAsia="Courier New" w:hAnsi="Courier New"/>
          <w:sz w:val="14"/>
          <w:szCs w:val="14"/>
          <w:color w:val="auto"/>
        </w:rPr>
        <w:t>During fiscal 2001 and 2000, the Company entered into separate arrangements with two executives whereby the Company agreed to fund life insurance policies on a so-called split-dollar basis in exchange for a waiver of all or a portion of the executives' retirement benefits under TJX's supplemental retirement plan. The arrangements were designed so that the after-tax cash expenditures by TJX on the policies, net of expected refunds of premiums paid, would be substantially equivalent, on a present value basis, to the after-tax cash expenditures that TJX would have incurred under its unfunded supplemental retirement plan. During fiscal 2003, it was decided to unwind the earlier transactions due to changes in the law. During fiscal 2003, TJX's obligations under the split-dollar arrangements were canceled and TJX agreed to pay the individuals additional amounts such that the net after-tax cost to TJX, taking into account the unwind of those arrangements, would be substantially equivalent on a present value basis to the after-tax cost of TJX's original supplemental retirement plan obligations to the individuals. In addition, TJX made a supplemental payment to one of the individuals and agreed to indemnify the other individual up to a specified limit for possible taxes associated with the unwind transaction. Due to the differences in the income statement reporting and income tax treatment of these two different types of benefits, the income statement for fiscal 2003 includes a pre-tax charge of $2.1 million, offset by tax benefits of $3.8 million for an increase in net income of $1.7 million. The cumulative effect on net income through fiscal 2003 of the initial transactions in fiscal 2001 and 2000 and of the related transactions in the current year is substantially the same as the after-tax cost of the retirement benefit earned under the supplemental retirement plan. The Company has a contingent obligation of $1.2 million in connection with an indemnification clause relating to one executive's potential tax liability. The Company believes the likelihood of having to pay under this indemnification clause is remote.</w:t>
      </w:r>
    </w:p>
    <w:p>
      <w:pPr>
        <w:spacing w:after="0" w:line="178" w:lineRule="exact"/>
        <w:rPr>
          <w:sz w:val="20"/>
          <w:szCs w:val="20"/>
          <w:color w:val="auto"/>
        </w:rPr>
      </w:pPr>
    </w:p>
    <w:p>
      <w:pPr>
        <w:ind w:right="4340" w:firstLine="781"/>
        <w:spacing w:after="0" w:line="253" w:lineRule="auto"/>
        <w:rPr>
          <w:sz w:val="20"/>
          <w:szCs w:val="20"/>
          <w:color w:val="auto"/>
        </w:rPr>
      </w:pPr>
      <w:r>
        <w:rPr>
          <w:rFonts w:ascii="Courier New" w:cs="Courier New" w:eastAsia="Courier New" w:hAnsi="Courier New"/>
          <w:sz w:val="14"/>
          <w:szCs w:val="14"/>
          <w:color w:val="auto"/>
        </w:rPr>
        <w:t>TJX also sponsors an employee savings plan under Section 401(k) of the Internal Revenue Code for all eligible U.S. employees. As of December 31, 2002, assets under the plan totaled $327.8 million and are invested in a variety of funds. Employees may contribute up to 50% of eligible pay. TJX matches employee contributions, up to 5% of eligible pay, at rates ranging from 25% to 50% based upon the Company's performance. TJX contributed $7.1 million in fiscal 2003, $6.2 million in 2002 and $5.8 million in 2001 to the 401(k) plan. Employees cannot invest their contributions in the TJX stock fund option in the 401(k) plan, and may elect to invest up to only 50% of the Company's contribution in the TJX stock fund; the TJX stock fund has no other trading restrictions. The TJX stock fund represents 5.1%, 4.8% and 3.4% of plan investments at December 31, 2002, 2001 and 2000, respectively.</w:t>
      </w:r>
    </w:p>
    <w:p>
      <w:pPr>
        <w:spacing w:after="0" w:line="164" w:lineRule="exact"/>
        <w:rPr>
          <w:sz w:val="20"/>
          <w:szCs w:val="20"/>
          <w:color w:val="auto"/>
        </w:rPr>
      </w:pPr>
    </w:p>
    <w:p>
      <w:pPr>
        <w:ind w:right="4340" w:firstLine="781"/>
        <w:spacing w:after="0" w:line="253" w:lineRule="auto"/>
        <w:rPr>
          <w:sz w:val="20"/>
          <w:szCs w:val="20"/>
          <w:color w:val="auto"/>
        </w:rPr>
      </w:pPr>
      <w:r>
        <w:rPr>
          <w:rFonts w:ascii="Courier New" w:cs="Courier New" w:eastAsia="Courier New" w:hAnsi="Courier New"/>
          <w:sz w:val="14"/>
          <w:szCs w:val="14"/>
          <w:color w:val="auto"/>
        </w:rPr>
        <w:t>During fiscal 1999, TJX established a nonqualified savings plan for certain U.S. employees. TJX matches employee contributions at various rates which amounted to $218,000 in fiscal 2003, $193,000 in fiscal 2002 and $163,000 in fiscal 2001. TJX transfers employee withholdings and the related company match to a separate trust designated to fund the future obligations. The trust assets, which are invested in a variety of mutual funds, are included in other assets on the balance sheets.</w:t>
      </w:r>
    </w:p>
    <w:p>
      <w:pPr>
        <w:spacing w:after="0" w:line="165" w:lineRule="exact"/>
        <w:rPr>
          <w:sz w:val="20"/>
          <w:szCs w:val="20"/>
          <w:color w:val="auto"/>
        </w:rPr>
      </w:pPr>
    </w:p>
    <w:p>
      <w:pPr>
        <w:ind w:right="4240" w:firstLine="781"/>
        <w:spacing w:after="0" w:line="254" w:lineRule="auto"/>
        <w:rPr>
          <w:sz w:val="20"/>
          <w:szCs w:val="20"/>
          <w:color w:val="auto"/>
        </w:rPr>
      </w:pPr>
      <w:r>
        <w:rPr>
          <w:rFonts w:ascii="Courier New" w:cs="Courier New" w:eastAsia="Courier New" w:hAnsi="Courier New"/>
          <w:sz w:val="14"/>
          <w:szCs w:val="14"/>
          <w:color w:val="auto"/>
        </w:rPr>
        <w:t>In addition to the plans described above, we also maintain retirement/deferred savings plans for all eligible associates at our foreign subsidiaries. We contributed for these plans $1.9 million, $1.1 million and $1.2 million in fiscal 2003, 2002 and 2001, respectively.</w:t>
      </w:r>
    </w:p>
    <w:p>
      <w:pPr>
        <w:sectPr>
          <w:pgSz w:w="11900" w:h="16838" w:orient="portrait"/>
          <w:cols w:equalWidth="0" w:num="1">
            <w:col w:w="11200"/>
          </w:cols>
          <w:pgMar w:left="220" w:top="620" w:right="479" w:bottom="0" w:gutter="0" w:footer="0" w:header="0"/>
        </w:sectPr>
      </w:pPr>
    </w:p>
    <w:bookmarkStart w:id="85" w:name="page86"/>
    <w:bookmarkEnd w:id="85"/>
    <w:p>
      <w:pPr>
        <w:ind w:left="2180"/>
        <w:spacing w:after="0"/>
        <w:rPr>
          <w:sz w:val="20"/>
          <w:szCs w:val="20"/>
          <w:color w:val="auto"/>
        </w:rPr>
      </w:pPr>
      <w:r>
        <w:rPr>
          <w:rFonts w:ascii="Courier New" w:cs="Courier New" w:eastAsia="Courier New" w:hAnsi="Courier New"/>
          <w:sz w:val="13"/>
          <w:szCs w:val="13"/>
          <w:color w:val="auto"/>
        </w:rPr>
        <w:t>35</w:t>
      </w:r>
    </w:p>
    <w:p>
      <w:pPr>
        <w:sectPr>
          <w:pgSz w:w="11900" w:h="16838" w:orient="portrait"/>
          <w:cols w:equalWidth="0" w:num="1">
            <w:col w:w="9019"/>
          </w:cols>
          <w:pgMar w:left="1440" w:top="141" w:right="1440" w:bottom="1440" w:gutter="0" w:footer="0" w:header="0"/>
        </w:sectPr>
      </w:pPr>
    </w:p>
    <w:bookmarkStart w:id="86" w:name="page87"/>
    <w:bookmarkEnd w:id="86"/>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POSTRETIREMENT MEDICAL: TJX has an unfunded postretirement medical plan that provides limited postretirement medical and life insurance benefits to employees who participate in our retirement plan and who retire at age 55 or older with ten or more years of service. Presented below is certain financial information relating to the unfunded postretirement medical plan for the fiscal years indicated: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248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Postretirement Medical</w:t>
            </w:r>
          </w:p>
        </w:tc>
      </w:tr>
      <w:tr>
        <w:trPr>
          <w:trHeight w:val="167"/>
        </w:trPr>
        <w:tc>
          <w:tcPr>
            <w:tcW w:w="6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Fiscal Year Ended</w:t>
            </w:r>
          </w:p>
        </w:tc>
      </w:tr>
      <w:tr>
        <w:trPr>
          <w:trHeight w:val="167"/>
        </w:trPr>
        <w:tc>
          <w:tcPr>
            <w:tcW w:w="6120" w:type="dxa"/>
            <w:vAlign w:val="bottom"/>
          </w:tcPr>
          <w:p>
            <w:pPr>
              <w:spacing w:after="0"/>
              <w:rPr>
                <w:sz w:val="14"/>
                <w:szCs w:val="14"/>
                <w:color w:val="auto"/>
              </w:rPr>
            </w:pPr>
          </w:p>
        </w:tc>
        <w:tc>
          <w:tcPr>
            <w:tcW w:w="24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14"/>
                <w:szCs w:val="14"/>
                <w:color w:val="auto"/>
              </w:rPr>
            </w:pPr>
          </w:p>
        </w:tc>
        <w:tc>
          <w:tcPr>
            <w:tcW w:w="130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JANUARY 25,</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January 26,</w:t>
            </w: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320" w:type="dxa"/>
            <w:vAlign w:val="bottom"/>
          </w:tcPr>
          <w:p>
            <w:pPr>
              <w:spacing w:after="0"/>
              <w:rPr>
                <w:sz w:val="14"/>
                <w:szCs w:val="14"/>
                <w:color w:val="auto"/>
              </w:rPr>
            </w:pP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220" w:type="dxa"/>
            <w:vAlign w:val="bottom"/>
          </w:tcPr>
          <w:p>
            <w:pPr>
              <w:spacing w:after="0"/>
              <w:rPr>
                <w:sz w:val="14"/>
                <w:szCs w:val="14"/>
                <w:color w:val="auto"/>
              </w:rPr>
            </w:pPr>
          </w:p>
        </w:tc>
        <w:tc>
          <w:tcPr>
            <w:tcW w:w="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612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at beginning of year</w:t>
            </w: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$ 28,889</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$ 24,762</w:t>
            </w:r>
          </w:p>
        </w:tc>
      </w:tr>
      <w:tr>
        <w:trPr>
          <w:trHeight w:val="167"/>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Service cost</w:t>
            </w:r>
          </w:p>
        </w:tc>
        <w:tc>
          <w:tcPr>
            <w:tcW w:w="3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2,477</w:t>
            </w:r>
          </w:p>
        </w:tc>
        <w:tc>
          <w:tcPr>
            <w:tcW w:w="2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1,911</w:t>
            </w:r>
          </w:p>
        </w:tc>
      </w:tr>
      <w:tr>
        <w:trPr>
          <w:trHeight w:val="167"/>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Interest cost</w:t>
            </w:r>
          </w:p>
        </w:tc>
        <w:tc>
          <w:tcPr>
            <w:tcW w:w="3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2,022</w:t>
            </w:r>
          </w:p>
        </w:tc>
        <w:tc>
          <w:tcPr>
            <w:tcW w:w="2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1,816</w:t>
            </w:r>
          </w:p>
        </w:tc>
      </w:tr>
      <w:tr>
        <w:trPr>
          <w:trHeight w:val="167"/>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Participants' contributions</w:t>
            </w:r>
          </w:p>
        </w:tc>
        <w:tc>
          <w:tcPr>
            <w:tcW w:w="3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w:t>
            </w:r>
          </w:p>
        </w:tc>
        <w:tc>
          <w:tcPr>
            <w:tcW w:w="2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w:t>
            </w:r>
          </w:p>
        </w:tc>
      </w:tr>
      <w:tr>
        <w:trPr>
          <w:trHeight w:val="167"/>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Actuarial loss</w:t>
            </w:r>
          </w:p>
        </w:tc>
        <w:tc>
          <w:tcPr>
            <w:tcW w:w="3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3,969</w:t>
            </w:r>
          </w:p>
        </w:tc>
        <w:tc>
          <w:tcPr>
            <w:tcW w:w="2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1,639</w:t>
            </w:r>
          </w:p>
        </w:tc>
      </w:tr>
      <w:tr>
        <w:trPr>
          <w:trHeight w:val="167"/>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Benefits paid</w:t>
            </w:r>
          </w:p>
        </w:tc>
        <w:tc>
          <w:tcPr>
            <w:tcW w:w="3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(1,361)</w:t>
            </w:r>
          </w:p>
        </w:tc>
        <w:tc>
          <w:tcPr>
            <w:tcW w:w="2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(1,285)</w:t>
            </w:r>
          </w:p>
        </w:tc>
      </w:tr>
      <w:tr>
        <w:trPr>
          <w:trHeight w:val="167"/>
        </w:trPr>
        <w:tc>
          <w:tcPr>
            <w:tcW w:w="612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at end of year</w:t>
            </w: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$ 36,061</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$ 28,889</w:t>
            </w:r>
          </w:p>
        </w:tc>
      </w:tr>
      <w:tr>
        <w:trPr>
          <w:trHeight w:val="167"/>
        </w:trPr>
        <w:tc>
          <w:tcPr>
            <w:tcW w:w="612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Fair value of plan assets at beginning of year</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Employer contribution</w:t>
            </w:r>
          </w:p>
        </w:tc>
        <w:tc>
          <w:tcPr>
            <w:tcW w:w="3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1,296</w:t>
            </w:r>
          </w:p>
        </w:tc>
        <w:tc>
          <w:tcPr>
            <w:tcW w:w="2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1,239</w:t>
            </w:r>
          </w:p>
        </w:tc>
      </w:tr>
      <w:tr>
        <w:trPr>
          <w:trHeight w:val="167"/>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Participants' contributions</w:t>
            </w:r>
          </w:p>
        </w:tc>
        <w:tc>
          <w:tcPr>
            <w:tcW w:w="3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w:t>
            </w:r>
          </w:p>
        </w:tc>
        <w:tc>
          <w:tcPr>
            <w:tcW w:w="2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w:t>
            </w:r>
          </w:p>
        </w:tc>
      </w:tr>
      <w:tr>
        <w:trPr>
          <w:trHeight w:val="167"/>
        </w:trPr>
        <w:tc>
          <w:tcPr>
            <w:tcW w:w="6120" w:type="dxa"/>
            <w:vAlign w:val="bottom"/>
          </w:tcPr>
          <w:p>
            <w:pPr>
              <w:ind w:left="360"/>
              <w:spacing w:after="0"/>
              <w:rPr>
                <w:sz w:val="20"/>
                <w:szCs w:val="20"/>
                <w:color w:val="auto"/>
              </w:rPr>
            </w:pPr>
            <w:r>
              <w:rPr>
                <w:rFonts w:ascii="Courier New" w:cs="Courier New" w:eastAsia="Courier New" w:hAnsi="Courier New"/>
                <w:sz w:val="14"/>
                <w:szCs w:val="14"/>
                <w:color w:val="auto"/>
              </w:rPr>
              <w:t>Benefits paid</w:t>
            </w:r>
          </w:p>
        </w:tc>
        <w:tc>
          <w:tcPr>
            <w:tcW w:w="3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(1,361)</w:t>
            </w:r>
          </w:p>
        </w:tc>
        <w:tc>
          <w:tcPr>
            <w:tcW w:w="2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(1,285)</w:t>
            </w:r>
          </w:p>
        </w:tc>
      </w:tr>
      <w:tr>
        <w:trPr>
          <w:trHeight w:val="167"/>
        </w:trPr>
        <w:tc>
          <w:tcPr>
            <w:tcW w:w="612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Fair value of plan assets at end of year</w:t>
            </w:r>
          </w:p>
        </w:tc>
        <w:tc>
          <w:tcPr>
            <w:tcW w:w="320" w:type="dxa"/>
            <w:vAlign w:val="bottom"/>
          </w:tcPr>
          <w:p>
            <w:pPr>
              <w:ind w:left="220"/>
              <w:spacing w:after="0"/>
              <w:rPr>
                <w:sz w:val="20"/>
                <w:szCs w:val="20"/>
                <w:color w:val="auto"/>
              </w:rPr>
            </w:pPr>
            <w:r>
              <w:rPr>
                <w:rFonts w:ascii="Courier New" w:cs="Courier New" w:eastAsia="Courier New" w:hAnsi="Courier New"/>
                <w:sz w:val="14"/>
                <w:szCs w:val="14"/>
                <w:color w:val="auto"/>
                <w:w w:val="94"/>
              </w:rPr>
              <w:t>$</w:t>
            </w: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6120" w:type="dxa"/>
            <w:vAlign w:val="bottom"/>
          </w:tcPr>
          <w:p>
            <w:pPr>
              <w:spacing w:after="0"/>
              <w:rPr>
                <w:sz w:val="20"/>
                <w:szCs w:val="20"/>
                <w:color w:val="auto"/>
              </w:rPr>
            </w:pPr>
            <w:r>
              <w:rPr>
                <w:rFonts w:ascii="Courier New" w:cs="Courier New" w:eastAsia="Courier New" w:hAnsi="Courier New"/>
                <w:sz w:val="14"/>
                <w:szCs w:val="14"/>
                <w:color w:val="auto"/>
              </w:rPr>
              <w:t>Reconciliation of funded status: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Benefit obligation at end of year</w:t>
            </w: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$ 36,061</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$ 28,889</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Fair value of plan assets at end of year</w:t>
            </w:r>
          </w:p>
        </w:tc>
        <w:tc>
          <w:tcPr>
            <w:tcW w:w="3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Funded status - excess obligations</w:t>
            </w:r>
          </w:p>
        </w:tc>
        <w:tc>
          <w:tcPr>
            <w:tcW w:w="3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36,061</w:t>
            </w:r>
          </w:p>
        </w:tc>
        <w:tc>
          <w:tcPr>
            <w:tcW w:w="2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28,889</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Unrecognized prior service cost</w:t>
            </w:r>
          </w:p>
        </w:tc>
        <w:tc>
          <w:tcPr>
            <w:tcW w:w="3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282</w:t>
            </w:r>
          </w:p>
        </w:tc>
        <w:tc>
          <w:tcPr>
            <w:tcW w:w="2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614</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Unrecognized actuarial losses</w:t>
            </w:r>
          </w:p>
        </w:tc>
        <w:tc>
          <w:tcPr>
            <w:tcW w:w="320" w:type="dxa"/>
            <w:vAlign w:val="bottom"/>
          </w:tcPr>
          <w:p>
            <w:pPr>
              <w:spacing w:after="0"/>
              <w:rPr>
                <w:sz w:val="14"/>
                <w:szCs w:val="14"/>
                <w:color w:val="auto"/>
              </w:rPr>
            </w:pPr>
          </w:p>
        </w:tc>
        <w:tc>
          <w:tcPr>
            <w:tcW w:w="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6,002</w:t>
            </w:r>
          </w:p>
        </w:tc>
        <w:tc>
          <w:tcPr>
            <w:tcW w:w="2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2,033</w:t>
            </w:r>
          </w:p>
        </w:tc>
      </w:tr>
      <w:tr>
        <w:trPr>
          <w:trHeight w:val="167"/>
        </w:trPr>
        <w:tc>
          <w:tcPr>
            <w:tcW w:w="612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Net amount recognized</w:t>
            </w: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$ 29,777</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$ 26,242</w:t>
            </w:r>
          </w:p>
        </w:tc>
      </w:tr>
      <w:tr>
        <w:trPr>
          <w:trHeight w:val="167"/>
        </w:trPr>
        <w:tc>
          <w:tcPr>
            <w:tcW w:w="612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6120" w:type="dxa"/>
            <w:vAlign w:val="bottom"/>
          </w:tcPr>
          <w:p>
            <w:pPr>
              <w:spacing w:after="0"/>
              <w:rPr>
                <w:sz w:val="20"/>
                <w:szCs w:val="20"/>
                <w:color w:val="auto"/>
              </w:rPr>
            </w:pPr>
            <w:r>
              <w:rPr>
                <w:rFonts w:ascii="Courier New" w:cs="Courier New" w:eastAsia="Courier New" w:hAnsi="Courier New"/>
                <w:sz w:val="14"/>
                <w:szCs w:val="14"/>
                <w:color w:val="auto"/>
              </w:rPr>
              <w:t>Amount recognized in the statements of financial position consist of:</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Net accrued liability</w:t>
            </w: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$ 29,777</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$ 26,242</w:t>
            </w:r>
          </w:p>
        </w:tc>
      </w:tr>
      <w:tr>
        <w:trPr>
          <w:trHeight w:val="167"/>
        </w:trPr>
        <w:tc>
          <w:tcPr>
            <w:tcW w:w="612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Net amount recognized</w:t>
            </w: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$ 29,777</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$ 26,242</w:t>
            </w:r>
          </w:p>
        </w:tc>
      </w:tr>
      <w:tr>
        <w:trPr>
          <w:trHeight w:val="167"/>
        </w:trPr>
        <w:tc>
          <w:tcPr>
            <w:tcW w:w="612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6120" w:type="dxa"/>
            <w:vAlign w:val="bottom"/>
          </w:tcPr>
          <w:p>
            <w:pPr>
              <w:spacing w:after="0"/>
              <w:rPr>
                <w:sz w:val="20"/>
                <w:szCs w:val="20"/>
                <w:color w:val="auto"/>
              </w:rPr>
            </w:pPr>
            <w:r>
              <w:rPr>
                <w:rFonts w:ascii="Courier New" w:cs="Courier New" w:eastAsia="Courier New" w:hAnsi="Courier New"/>
                <w:sz w:val="14"/>
                <w:szCs w:val="14"/>
                <w:color w:val="auto"/>
              </w:rPr>
              <w:t>Weighted average assumptions: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Discount rate</w:t>
            </w:r>
          </w:p>
        </w:tc>
        <w:tc>
          <w:tcPr>
            <w:tcW w:w="3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6.50%</w:t>
            </w:r>
          </w:p>
        </w:tc>
        <w:tc>
          <w:tcPr>
            <w:tcW w:w="2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7.00%</w:t>
            </w:r>
          </w:p>
        </w:tc>
      </w:tr>
      <w:tr>
        <w:trPr>
          <w:trHeight w:val="167"/>
        </w:trPr>
        <w:tc>
          <w:tcPr>
            <w:tcW w:w="6120" w:type="dxa"/>
            <w:vAlign w:val="bottom"/>
          </w:tcPr>
          <w:p>
            <w:pPr>
              <w:ind w:left="180"/>
              <w:spacing w:after="0"/>
              <w:rPr>
                <w:sz w:val="20"/>
                <w:szCs w:val="20"/>
                <w:color w:val="auto"/>
              </w:rPr>
            </w:pPr>
            <w:r>
              <w:rPr>
                <w:rFonts w:ascii="Courier New" w:cs="Courier New" w:eastAsia="Courier New" w:hAnsi="Courier New"/>
                <w:sz w:val="14"/>
                <w:szCs w:val="14"/>
                <w:color w:val="auto"/>
              </w:rPr>
              <w:t>Rate of compensation increase</w:t>
            </w:r>
          </w:p>
        </w:tc>
        <w:tc>
          <w:tcPr>
            <w:tcW w:w="320" w:type="dxa"/>
            <w:vAlign w:val="bottom"/>
          </w:tcPr>
          <w:p>
            <w:pPr>
              <w:spacing w:after="0"/>
              <w:rPr>
                <w:sz w:val="14"/>
                <w:szCs w:val="14"/>
                <w:color w:val="auto"/>
              </w:rPr>
            </w:pP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w:t>
            </w:r>
          </w:p>
        </w:tc>
        <w:tc>
          <w:tcPr>
            <w:tcW w:w="22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w:t>
            </w:r>
          </w:p>
        </w:tc>
      </w:tr>
    </w:tbl>
    <w:p>
      <w:pPr>
        <w:spacing w:after="0" w:line="338"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For purposes of measuring TJX's obligations under the postretirement medical plan, a net 3.40% annual rate of increase in the per capita cost of covered health care benefits was assumed and is reduced to .75% over the next 4 years and to .15% after the next 28 years. These rates assume an initial secular health care trend rate of 12% reaching an ultimate level of 5% in fiscal</w:t>
      </w:r>
    </w:p>
    <w:p>
      <w:pPr>
        <w:spacing w:after="0" w:line="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2008. The Company's annual trend rates are approximately 50% of the secular trend rates and are further reduced due to the plans' $3,000 per capita annual limit on medical benefits. An increase in the assumed health care cost trend rate of one percentage point for all future years would increase the accumulated postretirement benefit obligation at January 25, 2003 by approximately $5.9 million and the total of the service cost and interest cost components of net periodic postretirement cost for fiscal 2003 by approximately $882,000. Similarly, decreasing the trend rate by one percentage point for all future years would decrease the accumulated postretirement benefit obligation at January 25, 2003 by approximately $5.0 million as well as the total of the service cost and interest cost components of net periodic postretirement cost for fiscal 2003 by approximately $727,000.</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87" w:name="page88"/>
    <w:bookmarkEnd w:id="87"/>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Following are components of net periodic benefit cost related to our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Medical plan:</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4080" w:type="dxa"/>
            <w:vAlign w:val="bottom"/>
            <w:gridSpan w:val="3"/>
          </w:tcPr>
          <w:p>
            <w:pPr>
              <w:jc w:val="right"/>
              <w:ind w:right="968"/>
              <w:spacing w:after="0"/>
              <w:rPr>
                <w:sz w:val="20"/>
                <w:szCs w:val="20"/>
                <w:color w:val="auto"/>
              </w:rPr>
            </w:pPr>
            <w:r>
              <w:rPr>
                <w:rFonts w:ascii="Courier New" w:cs="Courier New" w:eastAsia="Courier New" w:hAnsi="Courier New"/>
                <w:sz w:val="14"/>
                <w:szCs w:val="14"/>
                <w:color w:val="auto"/>
              </w:rPr>
              <w:t>Postretirement Medical</w:t>
            </w:r>
          </w:p>
        </w:tc>
      </w:tr>
      <w:tr>
        <w:trPr>
          <w:trHeight w:val="167"/>
        </w:trPr>
        <w:tc>
          <w:tcPr>
            <w:tcW w:w="3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Fiscal Year Ended</w:t>
            </w:r>
          </w:p>
        </w:tc>
        <w:tc>
          <w:tcPr>
            <w:tcW w:w="1220" w:type="dxa"/>
            <w:vAlign w:val="bottom"/>
          </w:tcPr>
          <w:p>
            <w:pPr>
              <w:spacing w:after="0"/>
              <w:rPr>
                <w:sz w:val="14"/>
                <w:szCs w:val="14"/>
                <w:color w:val="auto"/>
              </w:rPr>
            </w:pPr>
          </w:p>
        </w:tc>
      </w:tr>
      <w:tr>
        <w:trPr>
          <w:trHeight w:val="167"/>
        </w:trPr>
        <w:tc>
          <w:tcPr>
            <w:tcW w:w="3220" w:type="dxa"/>
            <w:vAlign w:val="bottom"/>
          </w:tcPr>
          <w:p>
            <w:pPr>
              <w:spacing w:after="0"/>
              <w:rPr>
                <w:sz w:val="14"/>
                <w:szCs w:val="14"/>
                <w:color w:val="auto"/>
              </w:rPr>
            </w:pPr>
          </w:p>
        </w:tc>
        <w:tc>
          <w:tcPr>
            <w:tcW w:w="40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JANUARY 25,</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January 26,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27,</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15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2002</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$2,477</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$1,911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$1,353</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2,022</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1,816</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1,624</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332</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Recognized actuarial (gains)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(185)</w:t>
            </w:r>
          </w:p>
        </w:tc>
      </w:tr>
      <w:tr>
        <w:trPr>
          <w:trHeight w:val="167"/>
        </w:trPr>
        <w:tc>
          <w:tcPr>
            <w:tcW w:w="32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spacing w:after="0"/>
              <w:rPr>
                <w:sz w:val="20"/>
                <w:szCs w:val="20"/>
                <w:color w:val="auto"/>
              </w:rPr>
            </w:pPr>
            <w:r>
              <w:rPr>
                <w:rFonts w:ascii="Courier New" w:cs="Courier New" w:eastAsia="Courier New" w:hAnsi="Courier New"/>
                <w:sz w:val="14"/>
                <w:szCs w:val="14"/>
                <w:color w:val="auto"/>
              </w:rPr>
              <w:t>Net periodic benefit cost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$4,831</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$4,059</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$3,124</w:t>
            </w:r>
          </w:p>
        </w:tc>
      </w:tr>
      <w:tr>
        <w:trPr>
          <w:trHeight w:val="167"/>
        </w:trPr>
        <w:tc>
          <w:tcPr>
            <w:tcW w:w="322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 addition to TJX's postretirement plan described above we have a retirement prescription drug benefit currently included in several collective bargaining agreements. The prescription drug benefit obligation as of January 25, 2003, amounted to $8.1 million with a periodic benefit cost of $1.5 million for fiscal 2003.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ACCRUED EXPENSES AND OTHER LIABILITIES, CURRENT AND LONG-TERM</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major components of accrued expenses and other current liabilities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JANUARY 25,</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26,</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2003</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260" w:type="dxa"/>
            <w:vAlign w:val="bottom"/>
          </w:tcPr>
          <w:p>
            <w:pPr>
              <w:spacing w:after="0"/>
              <w:rPr>
                <w:sz w:val="20"/>
                <w:szCs w:val="20"/>
                <w:color w:val="auto"/>
              </w:rPr>
            </w:pPr>
            <w:r>
              <w:rPr>
                <w:rFonts w:ascii="Courier New" w:cs="Courier New" w:eastAsia="Courier New" w:hAnsi="Courier New"/>
                <w:sz w:val="14"/>
                <w:szCs w:val="14"/>
                <w:color w:val="auto"/>
              </w:rPr>
              <w:t>Employee compensation and benefits, current</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$169,497</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$135,788</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Rent, utilities, and occupancy, including real estate taxes</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85,141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74,186</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Merchandise credits and gift certificates</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85,663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68,207</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Sales tax and V.A.T. collections</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83,263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66,025</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All other current liabilities</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246,168</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166,064</w:t>
            </w:r>
          </w:p>
        </w:tc>
      </w:tr>
      <w:tr>
        <w:trPr>
          <w:trHeight w:val="167"/>
        </w:trPr>
        <w:tc>
          <w:tcPr>
            <w:tcW w:w="5260" w:type="dxa"/>
            <w:vAlign w:val="bottom"/>
          </w:tcPr>
          <w:p>
            <w:pPr>
              <w:spacing w:after="0"/>
              <w:rPr>
                <w:sz w:val="14"/>
                <w:szCs w:val="14"/>
                <w:color w:val="auto"/>
              </w:rPr>
            </w:pP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5260" w:type="dxa"/>
            <w:vAlign w:val="bottom"/>
          </w:tcPr>
          <w:p>
            <w:pPr>
              <w:spacing w:after="0"/>
              <w:rPr>
                <w:sz w:val="20"/>
                <w:szCs w:val="20"/>
                <w:color w:val="auto"/>
              </w:rPr>
            </w:pPr>
            <w:r>
              <w:rPr>
                <w:rFonts w:ascii="Courier New" w:cs="Courier New" w:eastAsia="Courier New" w:hAnsi="Courier New"/>
                <w:sz w:val="14"/>
                <w:szCs w:val="14"/>
                <w:color w:val="auto"/>
              </w:rPr>
              <w:t>Accrued expenses and other current liabilities</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$669,732</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$510,270</w:t>
            </w:r>
          </w:p>
        </w:tc>
      </w:tr>
      <w:tr>
        <w:trPr>
          <w:trHeight w:val="167"/>
        </w:trPr>
        <w:tc>
          <w:tcPr>
            <w:tcW w:w="5260" w:type="dxa"/>
            <w:vAlign w:val="bottom"/>
          </w:tcPr>
          <w:p>
            <w:pPr>
              <w:spacing w:after="0"/>
              <w:rPr>
                <w:sz w:val="14"/>
                <w:szCs w:val="14"/>
                <w:color w:val="auto"/>
              </w:rPr>
            </w:pP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All other current liabilities include accruals for property additions, freight, advertising, dividends, insurance and other items, each of which are individually less than 5% of current liabilities.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major components of other long-term liabilities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JANUARY 25,</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January 26,</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4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2003</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Employee compensation and benefits, long-term</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$ 84,844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$ 76,553</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Reserve for store closing and restructuring</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9,794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12,131</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Reserve related to discontinued operations</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55,361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87,284</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Rental step-up</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69,976</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59,399</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Long-term liabilities-other</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9,289</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2,289</w:t>
            </w:r>
          </w:p>
        </w:tc>
      </w:tr>
      <w:tr>
        <w:trPr>
          <w:trHeight w:val="167"/>
        </w:trPr>
        <w:tc>
          <w:tcPr>
            <w:tcW w:w="4040" w:type="dxa"/>
            <w:vAlign w:val="bottom"/>
          </w:tcPr>
          <w:p>
            <w:pPr>
              <w:spacing w:after="0"/>
              <w:rPr>
                <w:sz w:val="14"/>
                <w:szCs w:val="14"/>
                <w:color w:val="auto"/>
              </w:rPr>
            </w:pP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$229,264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$237,656</w:t>
            </w:r>
          </w:p>
        </w:tc>
      </w:tr>
      <w:tr>
        <w:trPr>
          <w:trHeight w:val="167"/>
        </w:trPr>
        <w:tc>
          <w:tcPr>
            <w:tcW w:w="4040" w:type="dxa"/>
            <w:vAlign w:val="bottom"/>
          </w:tcPr>
          <w:p>
            <w:pPr>
              <w:spacing w:after="0"/>
              <w:rPr>
                <w:sz w:val="14"/>
                <w:szCs w:val="14"/>
                <w:color w:val="auto"/>
              </w:rPr>
            </w:pP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Activity related to the reserves for store closing and restructuring and discontinued operations are detailed in Notes J and K respectively.</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88" w:name="page89"/>
    <w:bookmarkEnd w:id="88"/>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RESERVE FOR STORE CLOSING AND RESTRUCTURING</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TJX's store closing and restructuring reserve relates primarily to a restructuring plan in connection with our acquisition of Marshalls in November 1995. This reserve, which was subsequently adjusted, included the cost of closing 32 T.J. Maxx stores and the cost of closing 70 Marshalls stores and other Marshalls facilities. The T.J. Maxx closing costs were charged to operations while the costs associated with Marshalls were a component of the allocation of the purchase price. This reserve also includes activity relating to the closing of three T.K. Maxx stores in the Netherlands, as well as several HomeGoods stores.</w:t>
      </w:r>
    </w:p>
    <w:p>
      <w:pPr>
        <w:spacing w:after="0" w:line="164" w:lineRule="exact"/>
        <w:rPr>
          <w:sz w:val="20"/>
          <w:szCs w:val="20"/>
          <w:color w:val="auto"/>
        </w:rPr>
      </w:pPr>
    </w:p>
    <w:p>
      <w:pPr>
        <w:ind w:right="4319" w:firstLine="781"/>
        <w:spacing w:after="0" w:line="258" w:lineRule="auto"/>
        <w:rPr>
          <w:sz w:val="20"/>
          <w:szCs w:val="20"/>
          <w:color w:val="auto"/>
        </w:rPr>
      </w:pPr>
      <w:r>
        <w:rPr>
          <w:rFonts w:ascii="Courier New" w:cs="Courier New" w:eastAsia="Courier New" w:hAnsi="Courier New"/>
          <w:sz w:val="14"/>
          <w:szCs w:val="14"/>
          <w:color w:val="auto"/>
        </w:rPr>
        <w:t>Following is a summary of activity in the store closing and restructuring reserve: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Fiscal Year Ended</w:t>
            </w:r>
          </w:p>
        </w:tc>
        <w:tc>
          <w:tcPr>
            <w:tcW w:w="1220" w:type="dxa"/>
            <w:vAlign w:val="bottom"/>
          </w:tcPr>
          <w:p>
            <w:pPr>
              <w:spacing w:after="0"/>
              <w:rPr>
                <w:sz w:val="14"/>
                <w:szCs w:val="14"/>
                <w:color w:val="auto"/>
              </w:rPr>
            </w:pPr>
          </w:p>
        </w:tc>
      </w:tr>
      <w:tr>
        <w:trPr>
          <w:trHeight w:val="167"/>
        </w:trPr>
        <w:tc>
          <w:tcPr>
            <w:tcW w:w="4040" w:type="dxa"/>
            <w:vAlign w:val="bottom"/>
          </w:tcPr>
          <w:p>
            <w:pPr>
              <w:spacing w:after="0"/>
              <w:rPr>
                <w:sz w:val="14"/>
                <w:szCs w:val="14"/>
                <w:color w:val="auto"/>
              </w:rPr>
            </w:pPr>
          </w:p>
        </w:tc>
        <w:tc>
          <w:tcPr>
            <w:tcW w:w="378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JANUARY 25,</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January 26,</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January 27,</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0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2003</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2002</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12,131</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$16,792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$15,731</w:t>
            </w: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Additions to the reserve</w:t>
            </w:r>
          </w:p>
        </w:tc>
        <w:tc>
          <w:tcPr>
            <w:tcW w:w="4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3,109</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Reserve adjustments:</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Adjust Marshalls restructuring reserve</w:t>
            </w:r>
          </w:p>
        </w:tc>
        <w:tc>
          <w:tcPr>
            <w:tcW w:w="4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Adjust T.K. Maxx store closing reserve</w:t>
            </w:r>
          </w:p>
        </w:tc>
        <w:tc>
          <w:tcPr>
            <w:tcW w:w="4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Charges against the reserve:</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Lease related obligations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8"/>
              </w:rPr>
              <w:t>(2,150)</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(3,941)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(1,922)</w:t>
            </w: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All other charges</w:t>
            </w:r>
          </w:p>
        </w:tc>
        <w:tc>
          <w:tcPr>
            <w:tcW w:w="40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(307)</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ind w:left="180"/>
              <w:spacing w:after="0"/>
              <w:rPr>
                <w:sz w:val="20"/>
                <w:szCs w:val="20"/>
                <w:color w:val="auto"/>
              </w:rPr>
            </w:pPr>
            <w:r>
              <w:rPr>
                <w:rFonts w:ascii="Courier New" w:cs="Courier New" w:eastAsia="Courier New" w:hAnsi="Courier New"/>
                <w:sz w:val="14"/>
                <w:szCs w:val="14"/>
                <w:color w:val="auto"/>
              </w:rPr>
              <w:t>Net activity relating to HomeGoods closings</w:t>
            </w:r>
          </w:p>
        </w:tc>
        <w:tc>
          <w:tcPr>
            <w:tcW w:w="40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w:t>
            </w:r>
          </w:p>
        </w:tc>
      </w:tr>
      <w:tr>
        <w:trPr>
          <w:trHeight w:val="167"/>
        </w:trPr>
        <w:tc>
          <w:tcPr>
            <w:tcW w:w="404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400" w:type="dxa"/>
            <w:vAlign w:val="bottom"/>
          </w:tcPr>
          <w:p>
            <w:pPr>
              <w:ind w:left="30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9,794</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$12,131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$16,792</w:t>
            </w:r>
          </w:p>
        </w:tc>
      </w:tr>
      <w:tr>
        <w:trPr>
          <w:trHeight w:val="167"/>
        </w:trPr>
        <w:tc>
          <w:tcPr>
            <w:tcW w:w="4040" w:type="dxa"/>
            <w:vAlign w:val="bottom"/>
          </w:tcPr>
          <w:p>
            <w:pPr>
              <w:spacing w:after="0"/>
              <w:rPr>
                <w:sz w:val="14"/>
                <w:szCs w:val="14"/>
                <w:color w:val="auto"/>
              </w:rPr>
            </w:pPr>
          </w:p>
        </w:tc>
        <w:tc>
          <w:tcPr>
            <w:tcW w:w="1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remaining balance in the store closing and restructuring reserve as of January 25, 2003 of $9.8 million is primarily for the estimated cost of the future lease obligations of the closed stores. The estimates and assumptions used in developing the remaining reserve requirements are subject to change, however, we believe the reserve is adequate for these obligations. The use of the reserve will reduce operating cash flows in varying amounts over the next ten to fifteen years as the related leases reach their expiration dates or are settled. We believe future spending will not have a material impact on our future annual cash flows or financial condition.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 DISCONTINUED OPERATIONS RESERVE AND RELATED CONTINGENT LIABILITIES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We have a reserve for potential future obligations of discontinued operations that relates primarily to real estate leases for stores for which TJX is an original lessee or guarantor. When such leases were assigned to third parties, TJX generally remained secondarily liable with respect to the lease obligations if the assignee fails to perform, unless there are circumstances that may effect a termination or reduction of TJX's potential liability. Such circumstances include noncompliance with the terms of the guarantee or material changes to the lease terms or leased property. The reserve reflects our estimation of the cost to TJX of claims that have been or are likely to be made against TJX based on our potential secondary liability with respect to certain of our discontinued operations after mitigation of the number and cost of lease obligations as a result of various factors. These factors include assignments to third parties, lease terminations, expirations, subleases, buyouts, modifications and other actions, legal defenses, use by TJX for our own store opening program, and indemnification by BJ's Wholesale Club, Inc. in the case of the House2Home leases discussed below.</w:t>
      </w:r>
    </w:p>
    <w:p>
      <w:pPr>
        <w:spacing w:after="0" w:line="17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TJX's reserve primarily relates to real estate leases of House2Home and Zayre Stores, two businesses that TJX disposed of in the late 1980's. In 2001, the companies that then owned these businesses filed for relief under Chapter</w:t>
      </w:r>
    </w:p>
    <w:p>
      <w:pPr>
        <w:spacing w:after="0" w:line="1"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11 of the Federal Bankruptcy Code and are in liquidation. The reserve in prior years also included activity with respect to leases of Hit or Miss, another discontinued operation that was sold to a third party that filed for bankruptcy and liquidated. Our contingent obligations with respect to Hit or Miss have been substantially resolved. The reserve was established at various times subsequent to TJX's disposition of these businesses, when the companies then owning them suffered significant financial distress.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House2Home, Inc. (formerly known as Waban, Inc., HomeClub, Inc. and HomeBase, Inc.) was spun off by TJX in 1989, along with BJ's Wholesale Club. In 1997, House2Home spun off BJ's Wholesale Club, Inc., and BJ's Wholesale Club agreed to indemnify TJX for all liabilities relating to the House2Home leases with respect to the period through January 31, 2003, and 50% of such liabilities thereafter. In November 2001, House2Home filed a voluntary petition for relief under Chapter 11 of the Federal Bankruptcy Code and is liquidating its business. At the time 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20" w:right="1440" w:bottom="473" w:gutter="0" w:footer="0" w:header="0"/>
        </w:sectPr>
      </w:pPr>
    </w:p>
    <w:bookmarkStart w:id="89" w:name="page90"/>
    <w:bookmarkEnd w:id="89"/>
    <w:p>
      <w:pPr>
        <w:jc w:val="center"/>
        <w:ind w:right="3359"/>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House2Home's bankruptcy announcement, we believed there were up to 41 leases for which we could be liable. As of January 25, 2003, as a result of negotiated buyouts, assignments to third parties and lease expirations, up to 15 leases remain for which we may be liable. As of January 25, 2003, the total present value of the after-tax cost to TJX of the amounts that have or will come due under these remaining leases during the period from the House2Home bankruptcy filing through the remainder of the term of the leases is approximately $27 million, without reflecting any mitigating factors other than indemnification by BJ's Wholesale Club.</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1988, TJX completed the sale of its Zayre Stores division to Ames Department Stores, Inc. In the years following the sale, Ames twice filed voluntary petitions for relief under Chapter 11 of the Federal Bankruptcy Code, most recently in August 2001, and is currently liquidating its business. Based on information received from Ames, we believe that at the time of its most recent bankruptcy filing, there were 60 to 70 leases of former Zayre stores operated by Ames for which we may have contingent obligations. As of January 25, 2003, Ames had rejected 32 leases for which we may be liable. Many of these rejections occurred in the fourth quarter of fiscal 2003. Through the end of fiscal 2003, we had bought out one of these leases. We are actively negotiating with landlords of many of the other rejected leases. The properties that reverted back to TJX from Ames' first bankruptcy were largely settled through buyouts and other lease terminations, except for 8 properties that were mitigated through subletting. The net cost of these sublet properties is charged to the reserve.</w:t>
      </w:r>
    </w:p>
    <w:p>
      <w:pPr>
        <w:spacing w:after="0" w:line="33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balance in the reserve and the activity for the last three fiscal years is presented below. The addition to the reserve in fiscal 2002 relates to House2Home. The charges against the reserve during fiscal 2003 relate primarily to House2Home lease obligations. The charges against the reserve in fiscal 2002 and fiscal 2001 are primarily for lease related obligations of the former Zayre Stores and Hit or Miss locations.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Fiscal Year Ended January</w:t>
            </w:r>
          </w:p>
        </w:tc>
      </w:tr>
      <w:tr>
        <w:trPr>
          <w:trHeight w:val="167"/>
        </w:trPr>
        <w:tc>
          <w:tcPr>
            <w:tcW w:w="2560" w:type="dxa"/>
            <w:vAlign w:val="bottom"/>
          </w:tcPr>
          <w:p>
            <w:pPr>
              <w:spacing w:after="0"/>
              <w:rPr>
                <w:sz w:val="14"/>
                <w:szCs w:val="14"/>
                <w:color w:val="auto"/>
              </w:rPr>
            </w:pPr>
          </w:p>
        </w:tc>
        <w:tc>
          <w:tcPr>
            <w:tcW w:w="31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2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2002</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87,284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$ 25,512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$ 27,304</w:t>
            </w: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Additions to the reserve</w:t>
            </w:r>
          </w:p>
        </w:tc>
        <w:tc>
          <w:tcPr>
            <w:tcW w:w="2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66,528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Charges against the reserve:</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Lease related obligations</w:t>
            </w: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(32,189)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(4,090)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(1,621)</w:t>
            </w: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All other</w:t>
            </w:r>
          </w:p>
        </w:tc>
        <w:tc>
          <w:tcPr>
            <w:tcW w:w="2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w:t>
            </w:r>
          </w:p>
        </w:tc>
      </w:tr>
      <w:tr>
        <w:trPr>
          <w:trHeight w:val="167"/>
        </w:trPr>
        <w:tc>
          <w:tcPr>
            <w:tcW w:w="2560" w:type="dxa"/>
            <w:vAlign w:val="bottom"/>
          </w:tcPr>
          <w:p>
            <w:pPr>
              <w:spacing w:after="0"/>
              <w:rPr>
                <w:sz w:val="14"/>
                <w:szCs w:val="14"/>
                <w:color w:val="auto"/>
              </w:rPr>
            </w:pP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55,361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$ 87,284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$ 25,512</w:t>
            </w:r>
          </w:p>
        </w:tc>
      </w:tr>
      <w:tr>
        <w:trPr>
          <w:trHeight w:val="167"/>
        </w:trPr>
        <w:tc>
          <w:tcPr>
            <w:tcW w:w="2560" w:type="dxa"/>
            <w:vAlign w:val="bottom"/>
          </w:tcPr>
          <w:p>
            <w:pPr>
              <w:spacing w:after="0"/>
              <w:rPr>
                <w:sz w:val="14"/>
                <w:szCs w:val="14"/>
                <w:color w:val="auto"/>
              </w:rPr>
            </w:pP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We believe our reserve for discontinued operations is adequate to meet the costs we may incur with respect to House2Home and former Zayre Stores leases and that the future liability to TJX with respect to these leases will not have a material effect on our financial condition, operating results or cash</w:t>
      </w:r>
    </w:p>
    <w:p>
      <w:pPr>
        <w:spacing w:after="0" w:line="2"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flows. Changes in the underlying assumptions, such as additional expenses for lease settlements or future Zayre Stores lease rejections, could require us to increase this reserve, although we do not expect that any increase would be material to our financial condition, results of operations or cash flows. In addition, we may receive a creditor recovery in the House2Home bankruptcy.</w:t>
      </w:r>
    </w:p>
    <w:p>
      <w:pPr>
        <w:spacing w:after="0" w:line="162"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may also be contingently liable on up to 20 leases of BJ's Wholesale Club for which BJ's Wholesale Club is primarily liable. Our reserve for discontinued operations does not reflect these leases, because we believe that the likelihood of any future liability to TJX with respect to these leases is remote due to the current financial condition of BJ's Wholesale Club.</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GUARANTEES AND CONTINGENT OBLIGATIONS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We have contingent obligations on any property leases originally leased or guaranteed by TJX and assigned to third parties without releases by the landlords of our obligations. This would include subsequent assignments made by the purchasers of our discontinued operations, of which we generally are not aware. The original terms of these leases were generally significant, and there generally were options to extend the term of the lease. We do not know whether we currently remain secondarily liable on these leases and guarantees because, among other things, changes to the terms of a lease or the underlying property or noncompliance with the terms of a guarantee can alter or terminate our liability with respect to the lease. After we assign leases, we generally do not have information about those leases, the underlying properties, or the rent or other costs under the leases. Also, in mitigating obligations associated with our discontinued operations, or for store closings of current operations, we sometimes sublease the property, and our reserve reflects mitigation by the sublease income. We remain primarily obligated under such property leases, and our reserve may require adjustment if the subtenants do not fulfill their obligations.</w:t>
      </w:r>
    </w:p>
    <w:p>
      <w:pPr>
        <w:spacing w:after="0" w:line="34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have potential contingent obligations in connection with leases of store closings of our current operations, primarily T.J. Maxx and Marshalls, as discussed in Note J. We estimate that we have contingent obligations in connection with</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0" w:gutter="0" w:footer="0" w:header="0"/>
        </w:sectPr>
      </w:pPr>
    </w:p>
    <w:bookmarkStart w:id="90" w:name="page91"/>
    <w:bookmarkEnd w:id="90"/>
    <w:p>
      <w:pPr>
        <w:jc w:val="center"/>
        <w:ind w:right="3359"/>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approximately 25 of these properties, either due to assignments to third parties or subletting of the property. In addition, we have contingent liability on up to 20 leases of BJ's Wholesale Club, and our reserve for discontinued operations includes 8 former Zayre Stores properties from the first Ames bankruptcy that we have sublet. We estimate the undiscounted obligations, not reflected in our reserves, under the 25 leases of former stores relating to current operations, the 20 BJ's Wholesale Club leases, and the 8 sublet former Zayre Stores properties, if the subtenants do not fulfill their obligations, is approximately $164 million as of January 25, 2003. We believe that most of these obligations will not revert back to TJX and to the extent they do, that they would be settled for substantially less due to mitigating factors.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Over many years, we and purchasers of our discontinued operations have assigned numerous leases, originally leased or guaranteed by TJX, to a significant number of third parties. We do not have sufficient information about these leases to estimate our potential contingent obligations under them. With the exception of leases of our discontinued operations discussed in Note K, we have rarely had a claim with respect to assigned leases, and accordingly, we do not expect that these leases will have a material adverse effect on our financial condition, results of operations or cash flows.</w:t>
      </w:r>
    </w:p>
    <w:p>
      <w:pPr>
        <w:spacing w:after="0" w:line="16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a party to various agreements under which we may be obligated to indemnify the other party with respect to breach of warranty or losses related to such matters as title to assets sold, specified environmental matters or certain income taxes. These obligations are typically limited in time and amount. There are no amounts reflected in our balance sheets with respect to these contingent obligations.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 SUPPLEMENTAL CASH FLOWS INFORMATION</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The cash flows required to satisfy contingent obligations of the discontinued operations as discussed in Note K, are classified as a reduction in cash provided by continuing operations. There are no remaining operating activities relating to these operations.</w:t>
      </w:r>
    </w:p>
    <w:p>
      <w:pPr>
        <w:spacing w:after="0" w:line="163" w:lineRule="exact"/>
        <w:rPr>
          <w:sz w:val="20"/>
          <w:szCs w:val="20"/>
          <w:color w:val="auto"/>
        </w:rPr>
      </w:pPr>
    </w:p>
    <w:p>
      <w:pPr>
        <w:ind w:right="4059" w:firstLine="781"/>
        <w:spacing w:after="0" w:line="258" w:lineRule="auto"/>
        <w:rPr>
          <w:sz w:val="20"/>
          <w:szCs w:val="20"/>
          <w:color w:val="auto"/>
        </w:rPr>
      </w:pPr>
      <w:r>
        <w:rPr>
          <w:rFonts w:ascii="Courier New" w:cs="Courier New" w:eastAsia="Courier New" w:hAnsi="Courier New"/>
          <w:sz w:val="14"/>
          <w:szCs w:val="14"/>
          <w:color w:val="auto"/>
        </w:rPr>
        <w:t>TJX's cash payments for interest and income taxes and non-cash investing and financing activities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Fiscal Year Ended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7"/>
        </w:trPr>
        <w:tc>
          <w:tcPr>
            <w:tcW w:w="5040" w:type="dxa"/>
            <w:vAlign w:val="bottom"/>
          </w:tcPr>
          <w:p>
            <w:pPr>
              <w:spacing w:after="0"/>
              <w:rPr>
                <w:sz w:val="14"/>
                <w:szCs w:val="14"/>
                <w:color w:val="auto"/>
              </w:rPr>
            </w:pPr>
          </w:p>
        </w:tc>
        <w:tc>
          <w:tcPr>
            <w:tcW w:w="390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14"/>
                <w:szCs w:val="14"/>
                <w:color w:val="auto"/>
              </w:rPr>
            </w:pPr>
          </w:p>
        </w:tc>
        <w:tc>
          <w:tcPr>
            <w:tcW w:w="1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JANUARY 25,</w:t>
            </w:r>
          </w:p>
        </w:tc>
        <w:tc>
          <w:tcPr>
            <w:tcW w:w="14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January 26,</w:t>
            </w:r>
          </w:p>
        </w:tc>
        <w:tc>
          <w:tcPr>
            <w:tcW w:w="1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January 27,</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00" w:type="dxa"/>
            <w:vAlign w:val="bottom"/>
          </w:tcPr>
          <w:p>
            <w:pPr>
              <w:spacing w:after="0"/>
              <w:rPr>
                <w:sz w:val="14"/>
                <w:szCs w:val="14"/>
                <w:color w:val="auto"/>
              </w:rPr>
            </w:pP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180" w:type="dxa"/>
            <w:vAlign w:val="bottom"/>
          </w:tcPr>
          <w:p>
            <w:pPr>
              <w:spacing w:after="0"/>
              <w:rPr>
                <w:sz w:val="14"/>
                <w:szCs w:val="14"/>
                <w:color w:val="auto"/>
              </w:rPr>
            </w:pPr>
          </w:p>
        </w:tc>
        <w:tc>
          <w:tcPr>
            <w:tcW w:w="12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2002</w:t>
            </w:r>
          </w:p>
        </w:tc>
        <w:tc>
          <w:tcPr>
            <w:tcW w:w="180" w:type="dxa"/>
            <w:vAlign w:val="bottom"/>
          </w:tcPr>
          <w:p>
            <w:pPr>
              <w:spacing w:after="0"/>
              <w:rPr>
                <w:sz w:val="14"/>
                <w:szCs w:val="14"/>
                <w:color w:val="auto"/>
              </w:rPr>
            </w:pPr>
          </w:p>
        </w:tc>
        <w:tc>
          <w:tcPr>
            <w:tcW w:w="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Cash paid for:</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Interest on debt</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26,943</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28,973</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34,509</w:t>
            </w:r>
          </w:p>
        </w:tc>
      </w:tr>
      <w:tr>
        <w:trPr>
          <w:trHeight w:val="167"/>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Income taxes</w:t>
            </w:r>
          </w:p>
        </w:tc>
        <w:tc>
          <w:tcPr>
            <w:tcW w:w="30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233,033</w:t>
            </w:r>
          </w:p>
        </w:tc>
        <w:tc>
          <w:tcPr>
            <w:tcW w:w="18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267,078</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335,265</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Change in accrued expenses due to:</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Stock repurchase</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15,871</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(9,275)</w:t>
            </w:r>
          </w:p>
        </w:tc>
      </w:tr>
      <w:tr>
        <w:trPr>
          <w:trHeight w:val="167"/>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Dividends payable</w:t>
            </w:r>
          </w:p>
        </w:tc>
        <w:tc>
          <w:tcPr>
            <w:tcW w:w="300" w:type="dxa"/>
            <w:vAlign w:val="bottom"/>
          </w:tcPr>
          <w:p>
            <w:pPr>
              <w:spacing w:after="0"/>
              <w:rPr>
                <w:sz w:val="14"/>
                <w:szCs w:val="14"/>
                <w:color w:val="auto"/>
              </w:rPr>
            </w:pP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3,396</w:t>
            </w:r>
          </w:p>
        </w:tc>
        <w:tc>
          <w:tcPr>
            <w:tcW w:w="18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1,005</w:t>
            </w:r>
          </w:p>
        </w:tc>
        <w:tc>
          <w:tcPr>
            <w:tcW w:w="18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573</w:t>
            </w:r>
          </w:p>
        </w:tc>
      </w:tr>
      <w:tr>
        <w:trPr>
          <w:trHeight w:val="334"/>
        </w:trPr>
        <w:tc>
          <w:tcPr>
            <w:tcW w:w="5040" w:type="dxa"/>
            <w:vAlign w:val="bottom"/>
          </w:tcPr>
          <w:p>
            <w:pPr>
              <w:spacing w:after="0"/>
              <w:rPr>
                <w:sz w:val="20"/>
                <w:szCs w:val="20"/>
                <w:color w:val="auto"/>
              </w:rPr>
            </w:pPr>
            <w:r>
              <w:rPr>
                <w:rFonts w:ascii="Courier New" w:cs="Courier New" w:eastAsia="Courier New" w:hAnsi="Courier New"/>
                <w:sz w:val="14"/>
                <w:szCs w:val="14"/>
                <w:color w:val="auto"/>
              </w:rPr>
              <w:t>Non-cash investing and financing activities: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7"/>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Capital lease property addition and related obligation</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32,572</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Investing activities include advances we have made under a $35 million construction loan agreement in connection with the expansion of our leased home office facility. Upon completion of the project in May 2001, the advances were converted into a term loan bearing interest of 7.25% per year, maturing December 31, 2015. The long-term portion of the loan amounting to $33.8 million and $34.3 million as of January 25, 2003 and January 26, 2002, respectively, is included in other assets on the balance sheets.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 SEGMENT INFORMATION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T.J. Maxx and Marshalls store chains are managed on a combined basis and are reported as the Marmaxx segment. The Winners and HomeSense chains are also managed on a combined basis and operate exclusively in Canada. T.K. Maxx operates in the United Kingdom and the Republic of Ireland. Winners and T.K. Maxx accounted for 13% of TJX's net sales for fiscal 2003, 12% of segment profit and 14% of all consolidated assets. All of TJX's other store chains operate in the United States with the exception of 14 stores operated in Puerto Rico by Marshalls which include 3 HomeGoods locations in a "Marshalls Mega Store" format. TJX's target customer is the middle to upper-middle income shopper with the exception of the A.J. Wright stores which target a more moderate income customer. All of TJX's stores, with the exception of HomeGoods and HomeSense, sell apparel for the entire family with a limited offering of giftware and domestics. The HomeGoods and HomeSense stores offer home fashions and home furnishings.</w:t>
      </w:r>
    </w:p>
    <w:p>
      <w:pPr>
        <w:spacing w:after="0" w:line="330"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evaluate the performance of our segments based on "segment profit or loss," which we define as pre-tax income before general corporate expense, goodwill amortization (prior to fiscal 2003) and interest. "Segment profit or loss," as defined by TJX, may not be comparable to similarly titled measures used by other entities. In addition, this measure of performance should not be considered an alternative to net income or cash flows from operating activities as an indicator of our performance or as a measure of liquidity.</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0" w:gutter="0" w:footer="0" w:header="0"/>
        </w:sectPr>
      </w:pPr>
    </w:p>
    <w:bookmarkStart w:id="91" w:name="page92"/>
    <w:bookmarkEnd w:id="91"/>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4780" w:firstLine="781"/>
        <w:spacing w:after="0" w:line="258" w:lineRule="auto"/>
        <w:rPr>
          <w:sz w:val="20"/>
          <w:szCs w:val="20"/>
          <w:color w:val="auto"/>
        </w:rPr>
      </w:pPr>
      <w:r>
        <w:rPr>
          <w:rFonts w:ascii="Courier New" w:cs="Courier New" w:eastAsia="Courier New" w:hAnsi="Courier New"/>
          <w:sz w:val="14"/>
          <w:szCs w:val="14"/>
          <w:color w:val="auto"/>
        </w:rPr>
        <w:t>Presented below is selected financial information related to our business segments: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Fiscal Year Ended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6180" w:type="dxa"/>
            <w:vAlign w:val="bottom"/>
          </w:tcPr>
          <w:p>
            <w:pPr>
              <w:spacing w:after="0"/>
              <w:rPr>
                <w:sz w:val="14"/>
                <w:szCs w:val="14"/>
                <w:color w:val="auto"/>
              </w:rPr>
            </w:pPr>
          </w:p>
        </w:tc>
        <w:tc>
          <w:tcPr>
            <w:tcW w:w="4940" w:type="dxa"/>
            <w:vAlign w:val="bottom"/>
            <w:gridSpan w:val="6"/>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JANUARY 25,</w:t>
            </w:r>
          </w:p>
        </w:tc>
        <w:tc>
          <w:tcPr>
            <w:tcW w:w="180" w:type="dxa"/>
            <w:vAlign w:val="bottom"/>
          </w:tcPr>
          <w:p>
            <w:pPr>
              <w:spacing w:after="0"/>
              <w:rPr>
                <w:sz w:val="14"/>
                <w:szCs w:val="14"/>
                <w:color w:val="auto"/>
              </w:rPr>
            </w:pP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January 26,</w:t>
            </w:r>
          </w:p>
        </w:tc>
        <w:tc>
          <w:tcPr>
            <w:tcW w:w="26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January 27,</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46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180" w:type="dxa"/>
            <w:vAlign w:val="bottom"/>
          </w:tcPr>
          <w:p>
            <w:pPr>
              <w:spacing w:after="0"/>
              <w:rPr>
                <w:sz w:val="14"/>
                <w:szCs w:val="14"/>
                <w:color w:val="auto"/>
              </w:rPr>
            </w:pP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2002</w:t>
            </w:r>
          </w:p>
        </w:tc>
        <w:tc>
          <w:tcPr>
            <w:tcW w:w="26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6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61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Marmaxx</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9,485,582</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8,863,053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8,228,468</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Winners (1)</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793,202</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660,877</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563,311</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T.K. Maxx</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720,141</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520,529</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389,062</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HomeGoods</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705,072</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507,211</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315,015</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A.J. Wright</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277,210</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157,328</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83,150</w:t>
            </w:r>
          </w:p>
        </w:tc>
      </w:tr>
      <w:tr>
        <w:trPr>
          <w:trHeight w:val="167"/>
        </w:trPr>
        <w:tc>
          <w:tcPr>
            <w:tcW w:w="618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11,981,207</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10,708,998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9,579,006</w:t>
            </w:r>
          </w:p>
        </w:tc>
      </w:tr>
      <w:tr>
        <w:trPr>
          <w:trHeight w:val="167"/>
        </w:trPr>
        <w:tc>
          <w:tcPr>
            <w:tcW w:w="618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180" w:type="dxa"/>
            <w:vAlign w:val="bottom"/>
          </w:tcPr>
          <w:p>
            <w:pPr>
              <w:spacing w:after="0"/>
              <w:rPr>
                <w:sz w:val="20"/>
                <w:szCs w:val="20"/>
                <w:color w:val="auto"/>
              </w:rPr>
            </w:pPr>
            <w:r>
              <w:rPr>
                <w:rFonts w:ascii="Courier New" w:cs="Courier New" w:eastAsia="Courier New" w:hAnsi="Courier New"/>
                <w:sz w:val="14"/>
                <w:szCs w:val="14"/>
                <w:color w:val="auto"/>
              </w:rPr>
              <w:t>Segment profit (loss):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Marmaxx</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887,944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893,650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858,358</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Winners (1)</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85,301</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59,140</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71,055</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T.K. Maxx (2)</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43,044</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12,972</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10,867</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HomeGoods</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32,128</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3,710</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4,700</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A.J. Wright</w:t>
            </w:r>
          </w:p>
        </w:tc>
        <w:tc>
          <w:tcPr>
            <w:tcW w:w="46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(12,566)</w:t>
            </w:r>
          </w:p>
        </w:tc>
        <w:tc>
          <w:tcPr>
            <w:tcW w:w="180" w:type="dxa"/>
            <w:vAlign w:val="bottom"/>
          </w:tcPr>
          <w:p>
            <w:pPr>
              <w:spacing w:after="0"/>
              <w:rPr>
                <w:sz w:val="14"/>
                <w:szCs w:val="14"/>
                <w:color w:val="auto"/>
              </w:rPr>
            </w:pP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(11,843)</w:t>
            </w:r>
          </w:p>
        </w:tc>
        <w:tc>
          <w:tcPr>
            <w:tcW w:w="260" w:type="dxa"/>
            <w:vAlign w:val="bottom"/>
          </w:tcPr>
          <w:p>
            <w:pPr>
              <w:spacing w:after="0"/>
              <w:rPr>
                <w:sz w:val="14"/>
                <w:szCs w:val="14"/>
                <w:color w:val="auto"/>
              </w:rPr>
            </w:pP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(15,012)</w:t>
            </w:r>
          </w:p>
        </w:tc>
      </w:tr>
      <w:tr>
        <w:trPr>
          <w:trHeight w:val="167"/>
        </w:trPr>
        <w:tc>
          <w:tcPr>
            <w:tcW w:w="618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1,035,851</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957,629</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929,968</w:t>
            </w:r>
          </w:p>
        </w:tc>
      </w:tr>
      <w:tr>
        <w:trPr>
          <w:trHeight w:val="334"/>
        </w:trPr>
        <w:tc>
          <w:tcPr>
            <w:tcW w:w="6180" w:type="dxa"/>
            <w:vAlign w:val="bottom"/>
          </w:tcPr>
          <w:p>
            <w:pPr>
              <w:spacing w:after="0"/>
              <w:rPr>
                <w:sz w:val="20"/>
                <w:szCs w:val="20"/>
                <w:color w:val="auto"/>
              </w:rPr>
            </w:pPr>
            <w:r>
              <w:rPr>
                <w:rFonts w:ascii="Courier New" w:cs="Courier New" w:eastAsia="Courier New" w:hAnsi="Courier New"/>
                <w:sz w:val="14"/>
                <w:szCs w:val="14"/>
                <w:color w:val="auto"/>
              </w:rPr>
              <w:t>General corporate expense</w:t>
            </w:r>
          </w:p>
        </w:tc>
        <w:tc>
          <w:tcPr>
            <w:tcW w:w="460" w:type="dxa"/>
            <w:vAlign w:val="bottom"/>
          </w:tcPr>
          <w:p>
            <w:pPr>
              <w:spacing w:after="0"/>
              <w:rPr>
                <w:sz w:val="24"/>
                <w:szCs w:val="2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72,754</w:t>
            </w:r>
          </w:p>
        </w:tc>
        <w:tc>
          <w:tcPr>
            <w:tcW w:w="180" w:type="dxa"/>
            <w:vAlign w:val="bottom"/>
          </w:tcPr>
          <w:p>
            <w:pPr>
              <w:spacing w:after="0"/>
              <w:rPr>
                <w:sz w:val="24"/>
                <w:szCs w:val="2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55,335</w:t>
            </w:r>
          </w:p>
        </w:tc>
        <w:tc>
          <w:tcPr>
            <w:tcW w:w="260" w:type="dxa"/>
            <w:vAlign w:val="bottom"/>
          </w:tcPr>
          <w:p>
            <w:pPr>
              <w:spacing w:after="0"/>
              <w:rPr>
                <w:sz w:val="24"/>
                <w:szCs w:val="2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39,513</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Goodwill amortization</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2,607</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2,609</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25,373</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25,643</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22,904</w:t>
            </w:r>
          </w:p>
        </w:tc>
      </w:tr>
      <w:tr>
        <w:trPr>
          <w:trHeight w:val="167"/>
        </w:trPr>
        <w:tc>
          <w:tcPr>
            <w:tcW w:w="618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 provision for income taxes</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937,724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874,044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864,942</w:t>
            </w:r>
          </w:p>
        </w:tc>
      </w:tr>
      <w:tr>
        <w:trPr>
          <w:trHeight w:val="167"/>
        </w:trPr>
        <w:tc>
          <w:tcPr>
            <w:tcW w:w="618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618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Marmaxx</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2,394,911</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2,174,345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2,050,775</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Winners (1)</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203,318</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161,479</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151,062</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T.K. Maxx</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335,878</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248,695</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176,916</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HomeGoods</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216,515</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196,292</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126,010</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A.J. Wright</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133,221</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82,713</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56,423</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Corporate (3)</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656,646</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732,219</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371,097</w:t>
            </w:r>
          </w:p>
        </w:tc>
      </w:tr>
      <w:tr>
        <w:trPr>
          <w:trHeight w:val="167"/>
        </w:trPr>
        <w:tc>
          <w:tcPr>
            <w:tcW w:w="618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3,940,489</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3,595,743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2,932,283</w:t>
            </w:r>
          </w:p>
        </w:tc>
      </w:tr>
      <w:tr>
        <w:trPr>
          <w:trHeight w:val="167"/>
        </w:trPr>
        <w:tc>
          <w:tcPr>
            <w:tcW w:w="618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Marmaxx</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255,142</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247,077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152,901</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Winners (1)</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34,756</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32,052</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18,775</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T.K. Maxx</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38,349</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70,614</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29,569</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HomeGoods</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23,270</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79,380</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30,245</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A.J. Wright</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45,207</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20,321</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25,515</w:t>
            </w:r>
          </w:p>
        </w:tc>
      </w:tr>
      <w:tr>
        <w:trPr>
          <w:trHeight w:val="167"/>
        </w:trPr>
        <w:tc>
          <w:tcPr>
            <w:tcW w:w="618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396,724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449,444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257,005</w:t>
            </w:r>
          </w:p>
        </w:tc>
      </w:tr>
      <w:tr>
        <w:trPr>
          <w:trHeight w:val="167"/>
        </w:trPr>
        <w:tc>
          <w:tcPr>
            <w:tcW w:w="618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Marmaxx</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141,994</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150,506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145,987</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Winners (1)</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13,913</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10,562</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7,779</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T.K. Maxx</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20,656</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13,080</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10,292</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HomeGoods</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15,107</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8,984</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5,444</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A.J. Wright</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7,088</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4,564</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2,689</w:t>
            </w:r>
          </w:p>
        </w:tc>
      </w:tr>
      <w:tr>
        <w:trPr>
          <w:trHeight w:val="167"/>
        </w:trPr>
        <w:tc>
          <w:tcPr>
            <w:tcW w:w="6180" w:type="dxa"/>
            <w:vAlign w:val="bottom"/>
          </w:tcPr>
          <w:p>
            <w:pPr>
              <w:ind w:left="180"/>
              <w:spacing w:after="0"/>
              <w:rPr>
                <w:sz w:val="20"/>
                <w:szCs w:val="20"/>
                <w:color w:val="auto"/>
              </w:rPr>
            </w:pPr>
            <w:r>
              <w:rPr>
                <w:rFonts w:ascii="Courier New" w:cs="Courier New" w:eastAsia="Courier New" w:hAnsi="Courier New"/>
                <w:sz w:val="14"/>
                <w:szCs w:val="14"/>
                <w:color w:val="auto"/>
              </w:rPr>
              <w:t>Corporate (4)</w:t>
            </w:r>
          </w:p>
        </w:tc>
        <w:tc>
          <w:tcPr>
            <w:tcW w:w="4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9,118</w:t>
            </w:r>
          </w:p>
        </w:tc>
        <w:tc>
          <w:tcPr>
            <w:tcW w:w="18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16,385</w:t>
            </w:r>
          </w:p>
        </w:tc>
        <w:tc>
          <w:tcPr>
            <w:tcW w:w="26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3,590</w:t>
            </w:r>
          </w:p>
        </w:tc>
      </w:tr>
      <w:tr>
        <w:trPr>
          <w:trHeight w:val="167"/>
        </w:trPr>
        <w:tc>
          <w:tcPr>
            <w:tcW w:w="618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6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207,876</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204,081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175,781</w:t>
            </w:r>
          </w:p>
        </w:tc>
      </w:tr>
      <w:tr>
        <w:trPr>
          <w:trHeight w:val="167"/>
        </w:trPr>
        <w:tc>
          <w:tcPr>
            <w:tcW w:w="6180" w:type="dxa"/>
            <w:vAlign w:val="bottom"/>
          </w:tcPr>
          <w:p>
            <w:pPr>
              <w:spacing w:after="0"/>
              <w:rPr>
                <w:sz w:val="14"/>
                <w:szCs w:val="14"/>
                <w:color w:val="auto"/>
              </w:rPr>
            </w:pPr>
          </w:p>
        </w:tc>
        <w:tc>
          <w:tcPr>
            <w:tcW w:w="16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hanging="351"/>
        <w:spacing w:after="0"/>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assets/activity of HomeSense stores in fiscal 2003 and 2002.</w:t>
      </w:r>
    </w:p>
    <w:p>
      <w:pPr>
        <w:spacing w:after="0" w:line="175" w:lineRule="exact"/>
        <w:rPr>
          <w:rFonts w:ascii="Courier New" w:cs="Courier New" w:eastAsia="Courier New" w:hAnsi="Courier New"/>
          <w:sz w:val="14"/>
          <w:szCs w:val="14"/>
          <w:color w:val="auto"/>
        </w:rPr>
      </w:pPr>
    </w:p>
    <w:p>
      <w:pPr>
        <w:ind w:left="360" w:right="4260" w:hanging="351"/>
        <w:spacing w:after="0" w:line="258" w:lineRule="auto"/>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period ended January 27, 2001 includes a pre-tax charge of $6.3 million for the estimated cost of closing three stores in the Netherlands.</w:t>
      </w:r>
    </w:p>
    <w:p>
      <w:pPr>
        <w:spacing w:after="0" w:line="159" w:lineRule="exact"/>
        <w:rPr>
          <w:rFonts w:ascii="Courier New" w:cs="Courier New" w:eastAsia="Courier New" w:hAnsi="Courier New"/>
          <w:sz w:val="14"/>
          <w:szCs w:val="14"/>
          <w:color w:val="auto"/>
        </w:rPr>
      </w:pPr>
    </w:p>
    <w:p>
      <w:pPr>
        <w:ind w:left="360" w:right="4420" w:hanging="351"/>
        <w:spacing w:after="0" w:line="255" w:lineRule="auto"/>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identifiable assets consist primarily of cash, prepaid a note receivable, deferred taxes and, pension expense, in fiscal 2002 and 2001, goodwill.</w:t>
      </w:r>
    </w:p>
    <w:p>
      <w:pPr>
        <w:spacing w:after="0" w:line="162" w:lineRule="exact"/>
        <w:rPr>
          <w:rFonts w:ascii="Courier New" w:cs="Courier New" w:eastAsia="Courier New" w:hAnsi="Courier New"/>
          <w:sz w:val="14"/>
          <w:szCs w:val="14"/>
          <w:color w:val="auto"/>
        </w:rPr>
      </w:pPr>
    </w:p>
    <w:p>
      <w:pPr>
        <w:ind w:left="360" w:right="5040" w:hanging="351"/>
        <w:spacing w:after="0" w:line="258" w:lineRule="auto"/>
        <w:tabs>
          <w:tab w:leader="none" w:pos="36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debt discount and debt expense amortization, and goodwill amortization in fiscal 2002 and 2001.</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1120"/>
          </w:cols>
          <w:pgMar w:left="220" w:top="620" w:right="559" w:bottom="1440" w:gutter="0" w:footer="0" w:header="0"/>
        </w:sectPr>
      </w:pPr>
    </w:p>
    <w:bookmarkStart w:id="92" w:name="page93"/>
    <w:bookmarkEnd w:id="92"/>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LOGO]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 THE TJX COMPANIES, INC.:</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income, shareholders' equity and cash flows present fairly, in all material respects, the financial position of The TJX Companies, Inc. and its subsidiaries at January 25, 2003 and January 26, 2002, and the results of their operations and their cash flows for each of the three years in the period ended January 25, 2003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25, 2003, except as to Note 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is as of March 24, 2003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MANAGEMENT</w:t>
      </w:r>
    </w:p>
    <w:p>
      <w:pPr>
        <w:spacing w:after="0" w:line="17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We are responsible for the preparation and fair presentation of the financial statements and related financial information in this annual report. The financial statements were prepared in accordance with United States generally accepted accounting principles (GAAP) and, as a result, include amounts which are based upon our best judgments and estimates.</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also responsible for maintaining a system of internal controls designed to provide, at appropriate cost, reasonable assurance that assets are safeguarded, transactions are executed in accordance with management's authorization and accounting records are reliable. Our internal controls and related disclosure controls include a program of internal audits, appropriate reviews by management, careful selection and training of associates, and a written code of conduct for all associates and a written code of ethics for ourselves and TJX's senior financial management approved by our Board of Directors. Our accounting policies are carefully reviewed on a regular basis. We take steps to communicate with our associates and monitor compliance with our policies and procedures.</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Audit Committee of our Board of Directors, comprised of Directors who are independent of TJX and most of whom are "Audit Committee Financial Experts," meets regularly with management, the internal auditors and the independent public accountants to review financial reporting and auditing matters, internal accounting controls and the scope and results of audit work. The internal auditors and the independent public accountants have free access to the Committee and meet regularly with the Committee without the presence of management. TJX's Audit Committee charter is available on our website at www.tjx.com and in our proxy statement.</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independent public accountant, PricewaterhouseCoopers LLP, was appointed by our Board of Directors upon the recommendation of the Audit Committee to audit the consolidated financial statements of TJX. PricewaterhouseCoopers LLP conducts such tests and related procedures that they consider necessary in conformity with generally accepted auditing standards to express its opinion on TJX's consolidated financial statements in this Annual Report.</w:t>
      </w:r>
    </w:p>
    <w:p>
      <w:pPr>
        <w:sectPr>
          <w:pgSz w:w="11900" w:h="16838" w:orient="portrait"/>
          <w:cols w:equalWidth="0" w:num="1">
            <w:col w:w="10239"/>
          </w:cols>
          <w:pgMar w:left="220" w:top="620" w:right="1440" w:bottom="1440" w:gutter="0" w:footer="0" w:header="0"/>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Edmond J. English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Edmond J. English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Donald G. Campbell</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G. Campbell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Vice President - Finance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75" w:lineRule="exact"/>
        <w:rPr>
          <w:sz w:val="20"/>
          <w:szCs w:val="20"/>
          <w:color w:val="auto"/>
        </w:rPr>
      </w:pPr>
    </w:p>
    <w:p>
      <w:pPr>
        <w:sectPr>
          <w:pgSz w:w="11900" w:h="16838" w:orient="portrait"/>
          <w:cols w:equalWidth="0" w:num="2">
            <w:col w:w="3220" w:space="440"/>
            <w:col w:w="65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February 25, 2003</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42</w:t>
      </w:r>
    </w:p>
    <w:p>
      <w:pPr>
        <w:sectPr>
          <w:pgSz w:w="11900" w:h="16838" w:orient="portrait"/>
          <w:cols w:equalWidth="0" w:num="1">
            <w:col w:w="10239"/>
          </w:cols>
          <w:pgMar w:left="220" w:top="620" w:right="1440" w:bottom="1440" w:gutter="0" w:footer="0" w:header="0"/>
          <w:type w:val="continuous"/>
        </w:sectPr>
      </w:pPr>
    </w:p>
    <w:bookmarkStart w:id="93" w:name="page94"/>
    <w:bookmarkEnd w:id="93"/>
    <w:p>
      <w:pPr>
        <w:ind w:left="252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040"/>
        <w:spacing w:after="0" w:line="258" w:lineRule="auto"/>
        <w:rPr>
          <w:sz w:val="20"/>
          <w:szCs w:val="20"/>
          <w:color w:val="auto"/>
        </w:rPr>
      </w:pPr>
      <w:r>
        <w:rPr>
          <w:rFonts w:ascii="Courier New" w:cs="Courier New" w:eastAsia="Courier New" w:hAnsi="Courier New"/>
          <w:sz w:val="14"/>
          <w:szCs w:val="14"/>
          <w:color w:val="auto"/>
        </w:rPr>
        <w:t>MANAGEMENT'S DISCUSSION AND ANALYSIS OF RESULTS OF OPERATIONS AND FINANCIAL CONDITION</w:t>
      </w:r>
    </w:p>
    <w:p>
      <w:pPr>
        <w:spacing w:after="0" w:line="160"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The following discussion contains forward-looking information and should be read in conjunction with the consolidated financial statements and notes thereto included elsewhere in this report. Our actual results could differ materially from the results contemplated by these forward-looking statements due to various factors, including those discussed under the "Forward-Looking Information" section of this report.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spacing w:after="0" w:line="253" w:lineRule="auto"/>
        <w:rPr>
          <w:sz w:val="20"/>
          <w:szCs w:val="20"/>
          <w:color w:val="auto"/>
        </w:rPr>
      </w:pPr>
      <w:r>
        <w:rPr>
          <w:rFonts w:ascii="Courier New" w:cs="Courier New" w:eastAsia="Courier New" w:hAnsi="Courier New"/>
          <w:sz w:val="14"/>
          <w:szCs w:val="14"/>
          <w:color w:val="auto"/>
        </w:rPr>
        <w:t>OVERVIEW: The following is a summary of the operating results of TJX at the consolidated level. This discussion is followed by an overview of operating results by segment. All references to earnings per share are diluted earnings per share unless otherwise indicated. All earnings per share calculations and per share data have been adjusted to give effect for the two-for-one stock split distributed on May 8, 2002.</w:t>
      </w:r>
    </w:p>
    <w:p>
      <w:pPr>
        <w:spacing w:after="0" w:line="165"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NET SALES: Our net sales increased 11.9% in fiscal 2003, to $11.98 billion, over sales of $10.71 billion in fiscal 2002. Net sales in fiscal 2002 increased 11.8% over sales of $9.58 billion in fiscal 2001. The increase in our net sales for both years is attributable to the expansion of our store base and an increase in same store sales. Our new stores accounted for 80% of the increase in sales in fiscal 2003 and 75% of the increase in sales in fiscal 2002. Our consolidated store count increased 10.7% in fiscal 2003 over the prior year as compared to an 11.5% increase in fiscal 2002 over fiscal 2001. The remainder of our sales growth came from consolidated same store sales, which increased 3% in fiscal 2003 and 3% in fiscal 2002. The same store sales increase in each year reflects a strong demand for home fashions and the increasing impact on consolidated results attributable to our younger divisions, Winners, HomeGoods, T.K. Maxx and A.J. Wright. In general, our timely markdowns and liquid inventory position aided our same store sales results. The sales results for fiscal 2003 and 2002 were achieved despite a weak economy, geopolitical concerns and a highly promotional retail environment. In both fiscal 2003 and 2002, home fashion sales gains exceeded the increase in apparel sales. We expect to add a net of 192 stores in fiscal 2004, a 10.4% increase in our consolidated store base, and have planned a 3% increase in same store sales and a 13% increase in total sales for fiscal 2004. The planned increase in same store sales excludes the effect of the 53rd week that will occur in our fiscal year ending January 31, 2004.</w:t>
      </w:r>
    </w:p>
    <w:p>
      <w:pPr>
        <w:spacing w:after="0" w:line="175" w:lineRule="exact"/>
        <w:rPr>
          <w:sz w:val="20"/>
          <w:szCs w:val="20"/>
          <w:color w:val="auto"/>
        </w:rPr>
      </w:pPr>
    </w:p>
    <w:p>
      <w:pPr>
        <w:ind w:firstLine="781"/>
        <w:spacing w:after="0" w:line="253" w:lineRule="auto"/>
        <w:rPr>
          <w:sz w:val="20"/>
          <w:szCs w:val="20"/>
          <w:color w:val="auto"/>
        </w:rPr>
      </w:pPr>
      <w:r>
        <w:rPr>
          <w:rFonts w:ascii="Courier New" w:cs="Courier New" w:eastAsia="Courier New" w:hAnsi="Courier New"/>
          <w:sz w:val="14"/>
          <w:szCs w:val="14"/>
          <w:color w:val="auto"/>
        </w:rPr>
        <w:t>We define same store sales to be sales of those stores that have been in operation for all or a portion of two consecutive fiscal years, or in other words, stores that are starting their third fiscal year of operation. We determine which stores are included in the same store sales calculation at the beginning of a fiscal year and the classification remains constant throughout that year. We calculate same store sales results by comparing the current and prior year weekly periods that are most closely aligned. Divisional same store sales are calculated in local currency and consolidated same store sales in U.S. dollars. Relocated stores and expanded stores are classified in the same way as the original store. The impact of relocated or expanded stores on the same store percentage is immaterial.</w:t>
      </w:r>
    </w:p>
    <w:p>
      <w:pPr>
        <w:spacing w:after="0" w:line="164" w:lineRule="exact"/>
        <w:rPr>
          <w:sz w:val="20"/>
          <w:szCs w:val="20"/>
          <w:color w:val="auto"/>
        </w:rPr>
      </w:pPr>
    </w:p>
    <w:p>
      <w:pPr>
        <w:ind w:right="100" w:firstLine="781"/>
        <w:spacing w:after="0" w:line="258" w:lineRule="auto"/>
        <w:rPr>
          <w:sz w:val="20"/>
          <w:szCs w:val="20"/>
          <w:color w:val="auto"/>
        </w:rPr>
      </w:pPr>
      <w:r>
        <w:rPr>
          <w:rFonts w:ascii="Courier New" w:cs="Courier New" w:eastAsia="Courier New" w:hAnsi="Courier New"/>
          <w:sz w:val="14"/>
          <w:szCs w:val="14"/>
          <w:color w:val="auto"/>
        </w:rPr>
        <w:t>The following table sets forth our consolidated operating results as a percentage of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sales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of sales, including buying and occupancy costs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Selling, general and administrative expenses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expense, net</w:t>
      </w:r>
    </w:p>
    <w:p>
      <w:pPr>
        <w:spacing w:after="0" w:line="175" w:lineRule="exact"/>
        <w:rPr>
          <w:sz w:val="20"/>
          <w:szCs w:val="20"/>
          <w:color w:val="auto"/>
        </w:rPr>
      </w:pPr>
    </w:p>
    <w:p>
      <w:pPr>
        <w:ind w:left="180" w:right="2620" w:hanging="173"/>
        <w:spacing w:after="0" w:line="258" w:lineRule="auto"/>
        <w:rPr>
          <w:sz w:val="20"/>
          <w:szCs w:val="20"/>
          <w:color w:val="auto"/>
        </w:rPr>
      </w:pPr>
      <w:r>
        <w:rPr>
          <w:rFonts w:ascii="Courier New" w:cs="Courier New" w:eastAsia="Courier New" w:hAnsi="Courier New"/>
          <w:sz w:val="14"/>
          <w:szCs w:val="14"/>
          <w:color w:val="auto"/>
        </w:rPr>
        <w:t>Income from continuing operations before provision for income taxes</w:t>
      </w:r>
    </w:p>
    <w:p>
      <w:pPr>
        <w:spacing w:after="0" w:line="200" w:lineRule="exact"/>
        <w:rPr>
          <w:sz w:val="20"/>
          <w:szCs w:val="20"/>
          <w:color w:val="auto"/>
        </w:rPr>
      </w:pPr>
    </w:p>
    <w:p>
      <w:pPr>
        <w:spacing w:after="0" w:line="294" w:lineRule="exact"/>
        <w:rPr>
          <w:sz w:val="20"/>
          <w:szCs w:val="20"/>
          <w:color w:val="auto"/>
        </w:rPr>
      </w:pPr>
    </w:p>
    <w:p>
      <w:pPr>
        <w:ind w:right="100"/>
        <w:spacing w:after="0" w:line="252" w:lineRule="auto"/>
        <w:rPr>
          <w:sz w:val="20"/>
          <w:szCs w:val="20"/>
          <w:color w:val="auto"/>
        </w:rPr>
      </w:pPr>
      <w:r>
        <w:rPr>
          <w:rFonts w:ascii="Courier New" w:cs="Courier New" w:eastAsia="Courier New" w:hAnsi="Courier New"/>
          <w:sz w:val="14"/>
          <w:szCs w:val="14"/>
          <w:color w:val="auto"/>
        </w:rPr>
        <w:t>COST OF SALES, INCLUDING BUYING AND OCCUPANCY COSTS: Cost of sales, including buying and occupancy costs, as a percentage of net sales was 75.8% in fiscal 2003, 75.9% in fiscal 2002 and 75.0% in fiscal 2001. The improvement in this ratio in fiscal 2003 is largely due to the improvement in merchandise margin at Winners, HomeGoods and T.K. Maxx due to reduced markdowns resulting from improved inventory liquidity. These improvements in fiscal 2003 offset an increase in this ratio of approximately 30 basis points at Marmaxx. In fiscal 2003, Marmaxx experienced higher distribution costs, store occupancy costs and insurance and employee benefit costs as a percentage of net sales. Marmaxx was also impacted in fiscal 2003 by a less-than-planned sales performance. The increase in this ratio in fiscal 2002 over the prior year reflects the impact of aggressive pricing on some merchandise categories during the fiscal 2002 third quarter in our rapid response to the fall-off in consumer confidence caused by the September 11 attacks. In addition, at our younger divisions, we incurred increased markdowns, due to excess inventory levels at different times during that year. To a lesser extent, an increase in inventory shortage contributed to the rise in this expense ratio</w:t>
      </w:r>
    </w:p>
    <w:p>
      <w:pPr>
        <w:spacing w:after="0" w:line="17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Fiscal Year Ended January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75.9</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75.0</w:t>
            </w:r>
          </w:p>
        </w:tc>
      </w:tr>
      <w:tr>
        <w:trPr>
          <w:trHeight w:val="167"/>
        </w:trPr>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15.7</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15.7</w:t>
            </w:r>
          </w:p>
        </w:tc>
      </w:tr>
      <w:tr>
        <w:trPr>
          <w:trHeight w:val="167"/>
        </w:trPr>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167"/>
        </w:trPr>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7"/>
        </w:trPr>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2">
            <w:col w:w="6960" w:space="340"/>
            <w:col w:w="2939"/>
          </w:cols>
          <w:pgMar w:left="220" w:top="620" w:right="1440" w:bottom="0" w:gutter="0" w:footer="0" w:header="0"/>
        </w:sectPr>
      </w:pPr>
    </w:p>
    <w:bookmarkStart w:id="94" w:name="page95"/>
    <w:bookmarkEnd w:id="94"/>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fiscal 2002. This expense ratio in fiscal 2002 also increased by 20 basis points due to an increase in distribution costs as a result of our increased investment in our distribution network. We anticipate a slight improvement in this ratio for the coming year, due primarily to having a 53rd week in the fourth quarter of fiscal 2004. The sales volume from this extra week will lever certain fixed costs such as occupancy and depreciation.</w:t>
      </w:r>
    </w:p>
    <w:p>
      <w:pPr>
        <w:spacing w:after="0" w:line="16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as a percentage of net sales were 16.2% in fiscal 2003 and 15.7% in both fiscal 2002 and 2001. Selling, general and administrative expenses as a percentage of net sales for fiscal 2003 increased by approximately 30 basis points due to increased costs for medical and retirement benefits and increases in store payroll attributable to lower employee turnover. A pre-tax charge of $16 million for the estimated cost of settling claims related to four California lawsuits also contributed to the increase in selling, general and administrative expenses as a percentage of net sales for fiscal 2003. The lawsuits allege that TJX improperly classified store managers and assistant store managers as exempt from California overtime laws. The impact of the charge for the tentative settlement increased selling, general and administrative expenses as a percentage of sales by 13 basis points in fiscal 2003. Selling, general and administrative expenses for fiscal 2002 also included increased costs for retirement and medical benefits as compared to fiscal 2001. In addition, fiscal 2002 included $2 million of costs incurred in connection with the September 11 attacks, primarily for benefits to the families of our associates lost in the tragedy, and approximately $4 million of incremental moving and occupancy costs in connection with the reconfiguration of administrative office space. Despite these incremental costs in fiscal 2002, the expense ratio remained constant to fiscal 2001, due to the beneficial impact of fiscal 2002 sales growth and the inclusion of Netherlands closing costs in fiscal 2001. We anticipate this ratio in fiscal 2004 to hold steady as compared to fiscal 2003, as we expect that further increases in medical and retirement benefit costs will offset the absence of the charge related to the four California lawsuits.</w:t>
      </w:r>
    </w:p>
    <w:p>
      <w:pPr>
        <w:spacing w:after="0" w:line="343"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INTEREST EXPENSE, NET: Interest expense, net of interest income, was $25.4 million in fiscal 2003, $25.6 million in fiscal 2002 and $22.9 million in fiscal 2001. Interest income was $10.5 million in fiscal 2003 versus $15.0 million in fiscal 2002 and $11.8 million in fiscal 2001. The reduction in interest income in fiscal 2003 is due to lower interest rates. The decrease in gross interest expense in fiscal 2003 is due to the inclusion in last year's interest expense of amortization of debt expenses relating to the zero coupon convertible notes issued in February 2001 (see Note B to the consolidated financial statements). The increase in net interest expense in fiscal 2002 over fiscal 2001 is primarily due to the amortization of debt discount and debt expenses on the zero coupon convertible notes, offset in part by reduced short-term borrowing costs. The increase in interest income in fiscal 2002 over fiscal 2001 is due to higher cash balances as a result of the proceeds received from the issuance of the zero coupon convertible notes and from strong cash flows from operations during the year. We anticipate a slight increase in net interest expense in the coming year, due to lower interest income rates in the early part of the year as compared to fiscal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 Our effective annual income tax rate was 38.3% in fiscal</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2003, 38.2% in fiscal 2002 and 37.8% in fiscal 2001. The effective income tax rate for fiscal 2003 includes the favorable effect of the tax benefit for payment of executive retirement benefits in exchange for the termination of split-dollar arrangements as described in Note H to the consolidated financial statements. This improvement in the effective tax rate was completely offset by the effect of increases in state income tax rates. The slight increase in the effective rate for fiscal 2003 as compared to fiscal 2002 is due to the impact of a one-time benefit in foreign taxes in fiscal 2002. The lower effective annual tax rate for fiscal 2001 is due primarily to tax benefits recognized in connection with the use of the remaining United Kingdom net operating loss carryforward and tax benefits associated with the closing of the T.K. Maxx stores in the Netherlands. We are planning a tax rate for fiscal 2004 of 38.7%, reflecting anticipated increases in state income taxes.</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INCOME FROM CONTINUING OPERATIONS/NET INCOME: Income from continuing operations was $578.4 million in fiscal 2003, $540.4 million in fiscal 2002, and $538.1 million in fiscal 2001. Income from continuing operations per share was $1.08 in fiscal 2003, versus $.97 in fiscal 2002 and $.93 in fiscal 2001. Net income for fiscal 2002 includes an after-tax charge of $40 million, or $.07 per share, due to discontinued operations for contingent lease obligations associated with House2Home, Inc. as described in Note K to the consolidated financial statements. Net income, after reflecting the above item, was $578.4 million, or $1.08 per share, in fiscal 2003, $500.4 million, or $.90 per share, in fiscal 2002 and $538.1 million, or $.93 per share, in fiscal 2001. The increase in earnings per share, on a percentage basis, in all periods increased more than the related earnings as a result of the impact of our share repurchase program. We plan to continue our share repurchase program at a comparable level in fiscal 2004.</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20" w:right="1440" w:bottom="1440" w:gutter="0" w:footer="0" w:header="0"/>
        </w:sectPr>
      </w:pPr>
    </w:p>
    <w:bookmarkStart w:id="95" w:name="page96"/>
    <w:bookmarkEnd w:id="95"/>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INFORMATION</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following is a discussion of the operating results of our business segments. We consider each of our operating divisions to be a segment. We evaluate the performance of our segments based on "segment profit or loss," which we define as pre-tax income before general corporate expense, goodwill amortization (prior to fiscal 2003) and interest. "Segment profit or loss," as defined by TJX, may not be comparable to similarly titled measures used by other entities. In addition, this measure of performance should not be considered an alternative to net income or cash flows from operating activities as an indicator of our performance or as a measure of liquidity. More detailed information about our segments, including a reconciliation of "segment profit or loss" to "income from continuing operations before provision for income taxes" can be found in Note N to the consolidated financial statements.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MARMAXX:</w:t>
      </w:r>
    </w:p>
    <w:p>
      <w:pPr>
        <w:sectPr>
          <w:pgSz w:w="11900" w:h="16838" w:orient="portrait"/>
          <w:cols w:equalWidth="0" w:num="1">
            <w:col w:w="10239"/>
          </w:cols>
          <w:pgMar w:left="220" w:top="620" w:right="1440" w:bottom="8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Fiscal Year Ended January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
        <w:spacing w:after="0"/>
        <w:tabs>
          <w:tab w:leader="none" w:pos="1620" w:val="left"/>
          <w:tab w:leader="none" w:pos="2580" w:val="left"/>
        </w:tabs>
        <w:rPr>
          <w:sz w:val="20"/>
          <w:szCs w:val="20"/>
          <w:color w:val="auto"/>
        </w:rPr>
      </w:pP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8" w:lineRule="exact"/>
        <w:rPr>
          <w:sz w:val="20"/>
          <w:szCs w:val="20"/>
          <w:color w:val="auto"/>
        </w:rPr>
      </w:pPr>
    </w:p>
    <w:p>
      <w:pPr>
        <w:ind w:left="160"/>
        <w:spacing w:after="0"/>
        <w:tabs>
          <w:tab w:leader="none" w:pos="1540" w:val="left"/>
          <w:tab w:leader="none" w:pos="2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r>
    </w:p>
    <w:p>
      <w:pPr>
        <w:spacing w:after="0" w:line="175" w:lineRule="exact"/>
        <w:rPr>
          <w:sz w:val="20"/>
          <w:szCs w:val="20"/>
          <w:color w:val="auto"/>
        </w:rPr>
      </w:pPr>
    </w:p>
    <w:p>
      <w:pPr>
        <w:sectPr>
          <w:pgSz w:w="11900" w:h="16838" w:orient="portrait"/>
          <w:cols w:equalWidth="0" w:num="2">
            <w:col w:w="2680" w:space="720"/>
            <w:col w:w="6839"/>
          </w:cols>
          <w:pgMar w:left="220" w:top="620" w:right="1440" w:bottom="807"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sales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profit</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Courier New" w:cs="Courier New" w:eastAsia="Courier New" w:hAnsi="Courier New"/>
          <w:sz w:val="14"/>
          <w:szCs w:val="14"/>
          <w:color w:val="auto"/>
        </w:rPr>
        <w:t>$ 9,485.6 $ 887.9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$8,863.1</w:t>
      </w:r>
    </w:p>
    <w:p>
      <w:pPr>
        <w:spacing w:after="0" w:line="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893.7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$8,228.5</w:t>
      </w:r>
    </w:p>
    <w:p>
      <w:pPr>
        <w:spacing w:after="0" w:line="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858.4</w:t>
      </w:r>
    </w:p>
    <w:p>
      <w:pPr>
        <w:spacing w:after="0" w:line="8" w:lineRule="exact"/>
        <w:rPr>
          <w:sz w:val="20"/>
          <w:szCs w:val="20"/>
          <w:color w:val="auto"/>
        </w:rPr>
      </w:pPr>
    </w:p>
    <w:p>
      <w:pPr>
        <w:sectPr>
          <w:pgSz w:w="11900" w:h="16838" w:orient="portrait"/>
          <w:cols w:equalWidth="0" w:num="4">
            <w:col w:w="2680" w:space="720"/>
            <w:col w:w="860" w:space="520"/>
            <w:col w:w="700" w:space="340"/>
            <w:col w:w="4419"/>
          </w:cols>
          <w:pgMar w:left="220" w:top="620" w:right="1440" w:bottom="807"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20"/>
                <w:szCs w:val="20"/>
                <w:color w:val="auto"/>
              </w:rPr>
            </w:pPr>
            <w:r>
              <w:rPr>
                <w:rFonts w:ascii="Courier New" w:cs="Courier New" w:eastAsia="Courier New" w:hAnsi="Courier New"/>
                <w:sz w:val="14"/>
                <w:szCs w:val="14"/>
                <w:color w:val="auto"/>
              </w:rPr>
              <w:t>Segment profit as %</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net</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sales</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Percent increase in</w:t>
            </w:r>
          </w:p>
        </w:tc>
        <w:tc>
          <w:tcPr>
            <w:tcW w:w="17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same store sales</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7"/>
        </w:trPr>
        <w:tc>
          <w:tcPr>
            <w:tcW w:w="1700" w:type="dxa"/>
            <w:vAlign w:val="bottom"/>
          </w:tcPr>
          <w:p>
            <w:pPr>
              <w:spacing w:after="0"/>
              <w:rPr>
                <w:sz w:val="20"/>
                <w:szCs w:val="20"/>
                <w:color w:val="auto"/>
              </w:rPr>
            </w:pPr>
            <w:r>
              <w:rPr>
                <w:rFonts w:ascii="Courier New" w:cs="Courier New" w:eastAsia="Courier New" w:hAnsi="Courier New"/>
                <w:sz w:val="14"/>
                <w:szCs w:val="14"/>
                <w:color w:val="auto"/>
              </w:rPr>
              <w:t>Stores in operation</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end</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of period</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1,342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1,196</w:t>
            </w:r>
          </w:p>
        </w:tc>
      </w:tr>
    </w:tbl>
    <w:p>
      <w:pPr>
        <w:spacing w:after="0" w:line="33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Marmaxx had a 2% same store sales increase in fiscal 2003, which was below our expectations and last year's 3% increase. Marmaxx maintained a liquid inventory position throughout the year, a key factor in this division's maintaining its merchandise margin in fiscal 2003 compared to fiscal 2002. The overall reduction in segment profit margin for fiscal 2003 was impacted by increases in insurance and employee benefits, which accounted for a .3% drop in the segment profit margin. The segment profit margin was also reduced by .2% due to the charge for the tentative settlement of the four California lawsuits. Lower-than-planned sales and increased store payroll costs, due in part to lower attrition, also lowered the segment profit margin. The segment profit margin for fiscal 2002 decreased slightly compared to fiscal 2001, reflecting more modest sales gains in the first half of fiscal 2002, an aggressive pricing strategy in the third quarter when we rapidly responded to a general fall-off in consumer confidence following the September 11 attacks, and to a lesser extent, an increase in inventory shortage recorded in the fourth quarter of fiscal 2002. New stores for Marmaxx in both fiscal 2003 and 2002 performed above expectations.</w:t>
      </w:r>
    </w:p>
    <w:p>
      <w:pPr>
        <w:spacing w:after="0" w:line="173"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added a net of 73 new stores in fiscal 2003 and we expect to open a net of 79 new stores in fiscal 2004, increasing the Marmaxx store base by 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WINNERS AND HOMESENSE: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spacing w:after="0"/>
              <w:rPr>
                <w:sz w:val="20"/>
                <w:szCs w:val="20"/>
                <w:color w:val="auto"/>
              </w:rPr>
            </w:pPr>
            <w:r>
              <w:rPr>
                <w:rFonts w:ascii="Courier New" w:cs="Courier New" w:eastAsia="Courier New" w:hAnsi="Courier New"/>
                <w:sz w:val="14"/>
                <w:szCs w:val="14"/>
                <w:color w:val="auto"/>
              </w:rPr>
              <w:t>Fiscal Year Ended January</w:t>
            </w:r>
          </w:p>
        </w:tc>
      </w:tr>
      <w:tr>
        <w:trPr>
          <w:trHeight w:val="167"/>
        </w:trPr>
        <w:tc>
          <w:tcPr>
            <w:tcW w:w="4740" w:type="dxa"/>
            <w:vAlign w:val="bottom"/>
          </w:tcPr>
          <w:p>
            <w:pPr>
              <w:spacing w:after="0"/>
              <w:rPr>
                <w:sz w:val="14"/>
                <w:szCs w:val="14"/>
                <w:color w:val="auto"/>
              </w:rPr>
            </w:pPr>
          </w:p>
        </w:tc>
        <w:tc>
          <w:tcPr>
            <w:tcW w:w="2640" w:type="dxa"/>
            <w:vAlign w:val="bottom"/>
            <w:gridSpan w:val="6"/>
          </w:tcPr>
          <w:p>
            <w:pPr>
              <w:ind w:left="120"/>
              <w:spacing w:after="0"/>
              <w:rPr>
                <w:sz w:val="20"/>
                <w:szCs w:val="20"/>
                <w:color w:val="auto"/>
              </w:rPr>
            </w:pPr>
            <w:r>
              <w:rPr>
                <w:rFonts w:ascii="Courier New" w:cs="Courier New" w:eastAsia="Courier New" w:hAnsi="Courier New"/>
                <w:sz w:val="14"/>
                <w:szCs w:val="14"/>
                <w:color w:val="auto"/>
              </w:rPr>
              <w:t>---------------------------</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U.S. Dollars In Millions</w:t>
            </w:r>
          </w:p>
        </w:tc>
        <w:tc>
          <w:tcPr>
            <w:tcW w:w="22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2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14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2001</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7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793.2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660.9</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563.3</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Segment profit</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71.1</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Segment profit as % of net sales</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w:t>
            </w:r>
          </w:p>
        </w:tc>
        <w:tc>
          <w:tcPr>
            <w:tcW w:w="1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w:t>
            </w:r>
          </w:p>
        </w:tc>
        <w:tc>
          <w:tcPr>
            <w:tcW w:w="1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Percent increase in same store sales (local currency)</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1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14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w:t>
            </w:r>
          </w:p>
        </w:tc>
      </w:tr>
      <w:tr>
        <w:trPr>
          <w:trHeight w:val="167"/>
        </w:trPr>
        <w:tc>
          <w:tcPr>
            <w:tcW w:w="4740" w:type="dxa"/>
            <w:vAlign w:val="bottom"/>
          </w:tcPr>
          <w:p>
            <w:pPr>
              <w:spacing w:after="0"/>
              <w:rPr>
                <w:sz w:val="20"/>
                <w:szCs w:val="20"/>
                <w:color w:val="auto"/>
              </w:rPr>
            </w:pPr>
            <w:r>
              <w:rPr>
                <w:rFonts w:ascii="Courier New" w:cs="Courier New" w:eastAsia="Courier New" w:hAnsi="Courier New"/>
                <w:sz w:val="14"/>
                <w:szCs w:val="14"/>
                <w:color w:val="auto"/>
              </w:rPr>
              <w:t>Stores in operation at end of period</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Winners</w:t>
            </w:r>
          </w:p>
        </w:tc>
        <w:tc>
          <w:tcPr>
            <w:tcW w:w="2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w:t>
            </w:r>
          </w:p>
        </w:tc>
        <w:tc>
          <w:tcPr>
            <w:tcW w:w="1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w:t>
            </w:r>
          </w:p>
        </w:tc>
        <w:tc>
          <w:tcPr>
            <w:tcW w:w="14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w:t>
            </w:r>
          </w:p>
        </w:tc>
      </w:tr>
      <w:tr>
        <w:trPr>
          <w:trHeight w:val="167"/>
        </w:trPr>
        <w:tc>
          <w:tcPr>
            <w:tcW w:w="4740" w:type="dxa"/>
            <w:vAlign w:val="bottom"/>
          </w:tcPr>
          <w:p>
            <w:pPr>
              <w:ind w:left="180"/>
              <w:spacing w:after="0"/>
              <w:rPr>
                <w:sz w:val="20"/>
                <w:szCs w:val="20"/>
                <w:color w:val="auto"/>
              </w:rPr>
            </w:pPr>
            <w:r>
              <w:rPr>
                <w:rFonts w:ascii="Courier New" w:cs="Courier New" w:eastAsia="Courier New" w:hAnsi="Courier New"/>
                <w:sz w:val="14"/>
                <w:szCs w:val="14"/>
                <w:color w:val="auto"/>
              </w:rPr>
              <w:t>HomeSense</w:t>
            </w:r>
          </w:p>
        </w:tc>
        <w:tc>
          <w:tcPr>
            <w:tcW w:w="2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1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w:t>
            </w:r>
          </w:p>
        </w:tc>
        <w:tc>
          <w:tcPr>
            <w:tcW w:w="14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Winners' same store sales increased by 5% in fiscal 2003, on top of a 6% increase in the prior year. Segment profit increased 44% in fiscal 2003 versus a 17% decrease in fiscal 2002. In fiscal 2003, Winners'results were driven by a significant improvement in its merchandise margin as a result of better inventory management as well as improved merchandise flow and mix throughout the year. The decrease in segment profit margin in fiscal 2002 was primarily due to Winners' inventory position being above desired levels and the resulting higher markdowns incurred to move to a more liquid inventory position. HomeSense narrowed its loss compared to fiscal 2002, the year its first stores were opened. The segment results of HomeSense are included with Winners but are not material.</w:t>
      </w:r>
    </w:p>
    <w:p>
      <w:pPr>
        <w:spacing w:after="0" w:line="331"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We added 15 Winners stores in fiscal 2003, an 11% increase, and we added 8 HomeSense stores in fiscal 2003, bringing the year-end total to 15 HomeSense stores. We expect to open 13 Winners and 8 HomeSense stores in fiscal 2004, increasing our total Canadian store base by 13%.</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807" w:gutter="0" w:footer="0" w:header="0"/>
          <w:type w:val="continuous"/>
        </w:sectPr>
      </w:pPr>
    </w:p>
    <w:bookmarkStart w:id="96" w:name="page97"/>
    <w:bookmarkEnd w:id="96"/>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20"/>
                <w:szCs w:val="20"/>
                <w:color w:val="auto"/>
              </w:rPr>
            </w:pPr>
            <w:r>
              <w:rPr>
                <w:rFonts w:ascii="Courier New" w:cs="Courier New" w:eastAsia="Courier New" w:hAnsi="Courier New"/>
                <w:sz w:val="14"/>
                <w:szCs w:val="14"/>
                <w:color w:val="auto"/>
              </w:rPr>
              <w:t>T.K. MAXX:</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8"/>
        </w:trPr>
        <w:tc>
          <w:tcPr>
            <w:tcW w:w="4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Fiscal Year Ended January</w:t>
            </w:r>
          </w:p>
        </w:tc>
      </w:tr>
      <w:tr>
        <w:trPr>
          <w:trHeight w:val="167"/>
        </w:trPr>
        <w:tc>
          <w:tcPr>
            <w:tcW w:w="4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U.S. Dollars In Millions</w:t>
            </w:r>
          </w:p>
        </w:tc>
        <w:tc>
          <w:tcPr>
            <w:tcW w:w="3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4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2002</w:t>
            </w:r>
          </w:p>
        </w:tc>
        <w:tc>
          <w:tcPr>
            <w:tcW w:w="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8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720.1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520.5</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389.1</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Segment profit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Segment profit as % of net sales</w:t>
            </w:r>
          </w:p>
        </w:tc>
        <w:tc>
          <w:tcPr>
            <w:tcW w:w="30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w:t>
            </w:r>
          </w:p>
        </w:tc>
        <w:tc>
          <w:tcPr>
            <w:tcW w:w="1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Percent increase in same store sales (local currency)</w:t>
            </w:r>
          </w:p>
        </w:tc>
        <w:tc>
          <w:tcPr>
            <w:tcW w:w="30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w:t>
            </w:r>
          </w:p>
        </w:tc>
        <w:tc>
          <w:tcPr>
            <w:tcW w:w="1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8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Stores in operation at end of period</w:t>
            </w:r>
          </w:p>
        </w:tc>
        <w:tc>
          <w:tcPr>
            <w:tcW w:w="3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w:t>
            </w:r>
          </w:p>
        </w:tc>
        <w:tc>
          <w:tcPr>
            <w:tcW w:w="1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8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w:t>
            </w:r>
          </w:p>
        </w:tc>
      </w:tr>
    </w:tbl>
    <w:p>
      <w:pPr>
        <w:spacing w:after="0" w:line="33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T.K. Maxx, operating in the United Kingdom and Ireland, recorded a same store sales increase of 5% in local currency in fiscal 2003, on top of a 5% increase in the prior year. Segment profit increased 232% in fiscal 2003 as we saw a significant increase in merchandise margin driven by improvements in inventory management. The growth in segment profit was favorably impacted by the change in currency exchange rates between the U.S. dollar and the British pound; however, segment profit still increased 205% when calculated in local currency. The segment profit for fiscal 2001 reflects costs of closing three stores in the Netherlands and the operating loss of the stores, all of which totaled $9.6 million. Fiscal 2002 had additional closing costs and losses relating to the Netherlands stores, totaling $1.2 million. T.K. Maxx's segment profit, excluding the effect of the Netherlands, was $14.2 million in fiscal 2002 and $20.5 million in fiscal 2001. The decrease in T.K. Maxx's segment profit from the United Kingdom and Ireland stores in fiscal 2002 compared to fiscal 2001 is primarily due to this division carrying excess inventories through much of fiscal 2002 and reflects the cost of markdowns taken to bring inventory back to desired levels.</w:t>
      </w:r>
    </w:p>
    <w:p>
      <w:pPr>
        <w:spacing w:after="0" w:line="340"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We added 22 new T.K. Maxx stores in fiscal 2003, a 22% increase, and we plan to open an additional 30 T.K. Maxx stores in fiscal 2004.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HOMEGOODS: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80" w:type="dxa"/>
            <w:vAlign w:val="bottom"/>
            <w:gridSpan w:val="5"/>
          </w:tcPr>
          <w:p>
            <w:pPr>
              <w:ind w:left="340"/>
              <w:spacing w:after="0"/>
              <w:rPr>
                <w:sz w:val="20"/>
                <w:szCs w:val="20"/>
                <w:color w:val="auto"/>
              </w:rPr>
            </w:pPr>
            <w:r>
              <w:rPr>
                <w:rFonts w:ascii="Courier New" w:cs="Courier New" w:eastAsia="Courier New" w:hAnsi="Courier New"/>
                <w:sz w:val="14"/>
                <w:szCs w:val="14"/>
                <w:color w:val="auto"/>
              </w:rPr>
              <w:t>Fiscal Year Ended January</w:t>
            </w:r>
          </w:p>
        </w:tc>
      </w:tr>
      <w:tr>
        <w:trPr>
          <w:trHeight w:val="167"/>
        </w:trPr>
        <w:tc>
          <w:tcPr>
            <w:tcW w:w="17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80" w:type="dxa"/>
            <w:vAlign w:val="bottom"/>
            <w:gridSpan w:val="5"/>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1660" w:type="dxa"/>
            <w:vAlign w:val="bottom"/>
          </w:tcPr>
          <w:p>
            <w:pPr>
              <w:spacing w:after="0"/>
              <w:rPr>
                <w:sz w:val="14"/>
                <w:szCs w:val="14"/>
                <w:color w:val="auto"/>
              </w:rPr>
            </w:pP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2003</w:t>
            </w:r>
          </w:p>
        </w:tc>
        <w:tc>
          <w:tcPr>
            <w:tcW w:w="120" w:type="dxa"/>
            <w:vAlign w:val="bottom"/>
          </w:tcPr>
          <w:p>
            <w:pPr>
              <w:spacing w:after="0"/>
              <w:rPr>
                <w:sz w:val="14"/>
                <w:szCs w:val="14"/>
                <w:color w:val="auto"/>
              </w:rPr>
            </w:pP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2002</w:t>
            </w:r>
          </w:p>
        </w:tc>
        <w:tc>
          <w:tcPr>
            <w:tcW w:w="140" w:type="dxa"/>
            <w:vAlign w:val="bottom"/>
          </w:tcPr>
          <w:p>
            <w:pPr>
              <w:spacing w:after="0"/>
              <w:rPr>
                <w:sz w:val="14"/>
                <w:szCs w:val="14"/>
                <w:color w:val="auto"/>
              </w:rPr>
            </w:pPr>
          </w:p>
        </w:tc>
        <w:tc>
          <w:tcPr>
            <w:tcW w:w="70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2001</w:t>
            </w:r>
          </w:p>
        </w:tc>
      </w:tr>
      <w:tr>
        <w:trPr>
          <w:trHeight w:val="167"/>
        </w:trPr>
        <w:tc>
          <w:tcPr>
            <w:tcW w:w="34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7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66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$705.1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507.2</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315.0</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Segment profit</w:t>
            </w:r>
          </w:p>
        </w:tc>
        <w:tc>
          <w:tcPr>
            <w:tcW w:w="16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$ 32.1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Segment profit as %</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of net sales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w:t>
            </w:r>
          </w:p>
        </w:tc>
        <w:tc>
          <w:tcPr>
            <w:tcW w:w="1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0.7%</w:t>
            </w:r>
          </w:p>
        </w:tc>
        <w:tc>
          <w:tcPr>
            <w:tcW w:w="1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Percent increase in</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same store sales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1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1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r>
      <w:tr>
        <w:trPr>
          <w:trHeight w:val="167"/>
        </w:trPr>
        <w:tc>
          <w:tcPr>
            <w:tcW w:w="1740" w:type="dxa"/>
            <w:vAlign w:val="bottom"/>
          </w:tcPr>
          <w:p>
            <w:pPr>
              <w:spacing w:after="0"/>
              <w:rPr>
                <w:sz w:val="20"/>
                <w:szCs w:val="20"/>
                <w:color w:val="auto"/>
              </w:rPr>
            </w:pPr>
            <w:r>
              <w:rPr>
                <w:rFonts w:ascii="Courier New" w:cs="Courier New" w:eastAsia="Courier New" w:hAnsi="Courier New"/>
                <w:sz w:val="14"/>
                <w:szCs w:val="14"/>
                <w:color w:val="auto"/>
              </w:rPr>
              <w:t>Stores in operation</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at end of period</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142</w:t>
            </w:r>
          </w:p>
        </w:tc>
        <w:tc>
          <w:tcPr>
            <w:tcW w:w="12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w:t>
            </w:r>
          </w:p>
        </w:tc>
        <w:tc>
          <w:tcPr>
            <w:tcW w:w="1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81</w:t>
            </w: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HomeGoods' same store sales grew 6% in fiscal 2003 on top of a 7% increase in the prior year. Segment profit increased by 766% in fiscal 2003 to $32.1 million. Segment profit margins were up significantly as we saw improvements in merchandising, inventory management, store operations and distribution. Segment profit for fiscal 2002 was less than fiscal 2001 primarily due to markdowns taken in the first half of fiscal 2002 to move to a more liquid inventory position and, to a lesser extent, an increase in distribution costs. The increase in distribution costs in fiscal 2002 resulted from our investment in HomeGoods' distribution network, which had come under pressure in fiscal 2001 as a result of HomeGoods' store base growth.</w:t>
      </w:r>
    </w:p>
    <w:p>
      <w:pPr>
        <w:spacing w:after="0" w:line="164"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We opened a net of 30 HomeGoods stores in fiscal 2003, a 27% increase, and we plan on adding a net of 37 new HomeGoods stores in fiscal 2004.</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A.J. WRIGHT: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3000" w:type="dxa"/>
            <w:vAlign w:val="bottom"/>
            <w:gridSpan w:val="4"/>
          </w:tcPr>
          <w:p>
            <w:pPr>
              <w:ind w:left="560"/>
              <w:spacing w:after="0"/>
              <w:rPr>
                <w:sz w:val="20"/>
                <w:szCs w:val="20"/>
                <w:color w:val="auto"/>
              </w:rPr>
            </w:pPr>
            <w:r>
              <w:rPr>
                <w:rFonts w:ascii="Courier New" w:cs="Courier New" w:eastAsia="Courier New" w:hAnsi="Courier New"/>
                <w:sz w:val="14"/>
                <w:szCs w:val="14"/>
                <w:color w:val="auto"/>
              </w:rPr>
              <w:t>Fiscal Year Ended January</w:t>
            </w:r>
          </w:p>
        </w:tc>
      </w:tr>
      <w:tr>
        <w:trPr>
          <w:trHeight w:val="167"/>
        </w:trPr>
        <w:tc>
          <w:tcPr>
            <w:tcW w:w="3520" w:type="dxa"/>
            <w:vAlign w:val="bottom"/>
          </w:tcPr>
          <w:p>
            <w:pPr>
              <w:spacing w:after="0"/>
              <w:rPr>
                <w:sz w:val="14"/>
                <w:szCs w:val="14"/>
                <w:color w:val="auto"/>
              </w:rPr>
            </w:pPr>
          </w:p>
        </w:tc>
        <w:tc>
          <w:tcPr>
            <w:tcW w:w="300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Dollars In Millions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2003</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2002</w:t>
            </w:r>
          </w:p>
        </w:tc>
        <w:tc>
          <w:tcPr>
            <w:tcW w:w="1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$277.2</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83.2</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Segment (loss)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(15.0)</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Percent increase in same store sales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Stores in operation at end of period</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w:t>
            </w:r>
          </w:p>
        </w:tc>
        <w:tc>
          <w:tcPr>
            <w:tcW w:w="12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r>
    </w:tbl>
    <w:p>
      <w:pPr>
        <w:spacing w:after="0" w:line="33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A.J. Wright increased its store base by 67% and achieved an 11% increase in same store sales during fiscal 2003 over fiscal 2002, following an 80% increase in store base and an 18% increase in same store sales in fiscal 2002 over the prior year. A.J. Wright's segment loss was greater than planned for the year due, in part, to the unseasonably warm weather in the third quarter in areas of the country where A.J. Wright has a large concentration of stores. A.J. Wright's aggressive store-opening program for fiscal 2003 also placed strains on this young division and resulted in some execution issues, which negatively impacted the bottom line. A.J. Wright's new stores have performed well, with each fiscal year's new store openings exceeding the performance of the prior year's new stores.</w:t>
      </w:r>
    </w:p>
    <w:p>
      <w:pPr>
        <w:sectPr>
          <w:pgSz w:w="11900" w:h="16838" w:orient="portrait"/>
          <w:cols w:equalWidth="0" w:num="1">
            <w:col w:w="10239"/>
          </w:cols>
          <w:pgMar w:left="220" w:top="620" w:right="1440" w:bottom="0" w:gutter="0" w:footer="0" w:header="0"/>
        </w:sectPr>
      </w:pPr>
    </w:p>
    <w:bookmarkStart w:id="97" w:name="page98"/>
    <w:bookmarkEnd w:id="97"/>
    <w:p>
      <w:pPr>
        <w:ind w:right="3379" w:firstLine="781"/>
        <w:spacing w:after="0" w:line="258" w:lineRule="auto"/>
        <w:rPr>
          <w:sz w:val="20"/>
          <w:szCs w:val="20"/>
          <w:color w:val="auto"/>
        </w:rPr>
      </w:pPr>
      <w:r>
        <w:rPr>
          <w:rFonts w:ascii="Courier New" w:cs="Courier New" w:eastAsia="Courier New" w:hAnsi="Courier New"/>
          <w:sz w:val="14"/>
          <w:szCs w:val="14"/>
          <w:color w:val="auto"/>
        </w:rPr>
        <w:t>We added 30 new A.J. Wright stores in fiscal 2003, a 67% increase, and we plan to add 25 new stores in fiscal 2004.</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141" w:right="1440" w:bottom="1440" w:gutter="0" w:footer="0" w:header="0"/>
        </w:sectPr>
      </w:pPr>
    </w:p>
    <w:bookmarkStart w:id="98" w:name="page99"/>
    <w:bookmarkEnd w:id="98"/>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 CORPORATE EXPENSE:</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Millions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Fiscal Year Ended January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spacing w:after="0"/>
        <w:tabs>
          <w:tab w:leader="none" w:pos="860" w:val="left"/>
          <w:tab w:leader="none" w:pos="1800" w:val="left"/>
        </w:tabs>
        <w:rPr>
          <w:sz w:val="20"/>
          <w:szCs w:val="20"/>
          <w:color w:val="auto"/>
        </w:rPr>
      </w:pP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8" w:lineRule="exact"/>
        <w:rPr>
          <w:sz w:val="20"/>
          <w:szCs w:val="20"/>
          <w:color w:val="auto"/>
        </w:rPr>
      </w:pPr>
    </w:p>
    <w:p>
      <w:pPr>
        <w:ind w:left="180"/>
        <w:spacing w:after="0"/>
        <w:tabs>
          <w:tab w:leader="none" w:pos="940" w:val="left"/>
          <w:tab w:leader="none" w:pos="190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1840" w:space="680"/>
            <w:col w:w="771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General corporate expense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$ 72.8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$ 55.3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$ 39.5</w:t>
      </w:r>
    </w:p>
    <w:p>
      <w:pPr>
        <w:spacing w:after="0" w:line="200" w:lineRule="exact"/>
        <w:rPr>
          <w:sz w:val="20"/>
          <w:szCs w:val="20"/>
          <w:color w:val="auto"/>
        </w:rPr>
      </w:pPr>
    </w:p>
    <w:p>
      <w:pPr>
        <w:sectPr>
          <w:pgSz w:w="11900" w:h="16838" w:orient="portrait"/>
          <w:cols w:equalWidth="0" w:num="4">
            <w:col w:w="2180" w:space="340"/>
            <w:col w:w="520" w:space="260"/>
            <w:col w:w="520" w:space="440"/>
            <w:col w:w="5979"/>
          </w:cols>
          <w:pgMar w:left="220" w:top="620" w:right="1440" w:bottom="1440" w:gutter="0" w:footer="0" w:header="0"/>
          <w:type w:val="continuous"/>
        </w:sectPr>
      </w:pPr>
    </w:p>
    <w:p>
      <w:pPr>
        <w:spacing w:after="0" w:line="14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General corporate expense for segment reporting purposes are those costs not specifically related to the operations of our business segments. This item includes the costs of the corporate office, including the compensation and benefits for senior corporate management; payroll and operating costs of the non-divisional departments for accounting and budgeting, internal audit, treasury, investor relations, tax, risk management, legal, human resources and systems; and the occupancy and office maintenance costs associated with the corporate staff. In addition, general corporate expense includes the benefit costs of existing retirees and non-operating costs and unusual gains and losses not attributable to individual divisions. General corporate expense is included in selling, general and administrative expenses in the consolidated statement of income.</w:t>
      </w:r>
    </w:p>
    <w:p>
      <w:pPr>
        <w:spacing w:after="0" w:line="331"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increase in general corporate expense from fiscal 2002 to fiscal 2003 reflects increased costs for retirement and medical benefits of approximately $3 million, as well as a pre-tax charge of approximately $2 million in connection with the split-dollar unwind transaction for two senior executives described in Note H to the consolidated financial statements. This pre-tax charge was offset by tax benefits of $3.8 million in the income tax provision. Fiscal 2003 also includes approximately $5 million in net charges due to foreign exchange gains and losses and related hedging activity as compared to a net gain of less than $1 million in fiscal 2002. The majority of this item relates to the recording of certain derivative contracts to fair value in accordance with SFAS No. 133. These contracts provide an economic hedge to foreign currency exposures due to divisional intercompany and inventory liabilities. We have not elected hedge accounting for these contracts, thus, the changes in the fair value of the contracts are reflected currently in earnings. The realized gains or losses are recorded in the related segment when the contracts settle and are matched up with the related underlying currency exposures. Fiscal 2002, as compared to fiscal 2001, includes approximately $4 million of incremental moving and occupancy costs in connection with the reconfiguration of administrative office space, increased medical and retirement benefits, and $2 million of costs in connection with the September 11 attacks, primarily for benefits to the families of our associates lost in the tragedy.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ACTIVITIES: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cash provided by operating activities was $908.6 million in fiscal 2003,</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$912.4 million in fiscal 2002 and $556.8 million in fiscal 2001. The significant cash generated from operating activities in fiscal 2003 and fiscal 2002 is largely due to strong operating earnings along with our liquid inventory position and our buying closer to need. The lower cash generated from operations in fiscal 2001 was due to higher inventory levels as of January 27, 2001, as compared to the prior year, due to earlier buying for the spring season. Inventories as a percentage of sales were 13.0% in fiscal 2003, 13.6% in fiscal 2002, and 15.2% in fiscal 2001. Working capital was $674.2 million in fiscal 2003, $800.9 million in fiscal 2002 and $537.2 million in fiscal 2001. The decrease in working capital in fiscal 2003 from fiscal 2002 was due to an increase in accrued expenses. The increase in accrued expenses for fiscal 2003 reflects the reserve for the tentative settlement of the California lawsuits, and higher accruals for payroll and benefits, merchandise credits and occupancy costs. The increase in working capital in fiscal 2002 over fiscal 2001 was due to an increase in our cash position reflecting the strong cash flow from operations. Operating cash flows for fiscal 2003 were favorably impacted by additional deferred tax benefits related to payments against the discontinued operations reserve and due to increased accelerated depreciation on certain assets allowed for U.S. income tax purposes. The cash flows from operating activities have been reduced by contributions to our pension fund of $58.0 million in fiscal 2003 and $46.8 million in fiscal 2002. All of the contributions to the pension fund in fiscal 2003 and $26.0 million of the contributions to the pension fund in fiscal 2002 were made on a voluntary basis. We increased the level of our pension contributions to help offset the impact of lower interest rates and poor investment returns on pension assets over the past several years. Cash flows from operating activities were also reduced by $32.2 million in fiscal 2003, $4.1 million in fiscal 2002 and $1.6 million in fiscal 2001, for cash expenditures charged against the discontinued operations reserve as discussed in more detail below.</w:t>
      </w:r>
    </w:p>
    <w:p>
      <w:pPr>
        <w:spacing w:after="0" w:line="34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type w:val="continuous"/>
        </w:sectPr>
      </w:pPr>
    </w:p>
    <w:bookmarkStart w:id="99" w:name="page100"/>
    <w:bookmarkEnd w:id="99"/>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DISCONTINUED OPERATIONS RESERVE: We have a reserve for potential future obligations of discontinued operations that relates primarily to real estate leases for stores for which TJX is an original lessee or guarantor. When such leases were assigned to third parties, TJX generally remained secondarily liable with respect to the lease obligations if the assignee fails to perform, unless there are circumstances that may effect a termination or reduction of TJX's potential liability. Such circumstances include noncompliance with the terms of the guarantee or material changes to the lease terms or leased property. The reserve reflects our estimation of the cost to TJX of claims that have been or are likely to be made against TJX based on our potential secondary liability with respect to certain of our discontinued operations after mitigation of the number and cost of lease obligations as a result of various factors. These factors include assignments to third parties, lease terminations, expirations, subleases, buyouts, modifications and other actions, legal defenses, use by TJX for our own store opening program, and indemnification by BJ's Wholesale Club, Inc. in the case of the House2Home leases discussed below.</w:t>
      </w:r>
    </w:p>
    <w:p>
      <w:pPr>
        <w:spacing w:after="0" w:line="17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TJX's reserve primarily relates to real estate leases of House2Home and Zayre Stores, two businesses that TJX disposed of in the late 1980's. In 2001, the companies that then owned these businesses filed for relief under Chapter</w:t>
      </w:r>
    </w:p>
    <w:p>
      <w:pPr>
        <w:spacing w:after="0" w:line="1"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11 of the Federal Bankruptcy Code and are in liquidation. The reserve in prior years also included activity with respect to leases of Hit or Miss, another discontinued operation which was sold to a third party, that filed for bankruptcy and liquidated. Our contingent obligations with respect to Hit or Miss have been substantially resolved. The reserve was established at various times subsequent to TJX's disposition of these businesses, when the companies then owning them suffered significant financial distress.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House2Home, Inc. (formerly known as Waban, Inc., HomeClub, Inc. and HomeBase, Inc.) was spun-off by TJX in 1989, along with BJ's Wholesale Club. In 1997, House2Home spun off BJ's Wholesale Club, Inc., and BJ's Wholesale Club agreed to indemnify TJX for all liabilities relating to the House2Home leases with respect to the period through January 31, 2003, and 50% of such liabilities thereafter. In November 2001, House2Home filed a voluntary petition for relief under Chapter 11 of the Federal Bankruptcy Code and is liquidating its business. At the time of House2Home's bankruptcy announcement, we believed there were up to 41 leases for which we could be liable. As of January 25, 2003, as a result of negotiated buyouts, assignments to third parties and lease expirations, up to 15 leases remain for which we may be liable. As of January 25, 2003, the total present value of the after-tax cost to TJX of the amounts that have or will come due under these remaining leases during the period from the House2Home bankruptcy filing through the remainder of the term of the leases is approximately $27 million, without reflecting any mitigating factors other than indemnification by BJ's Wholesale Club.</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1988, TJX completed the sale of its Zayre Stores division to Ames Department Stores, Inc. In the years following the sale, Ames twice filed voluntary petitions for relief under Chapter 11 of the Federal Bankruptcy Code, most recently in August 2001, and is currently liquidating its business. Based on information received from Ames, we believe that at the time of its most recent bankruptcy filing, there were 60 to 70 leases of former Zayre stores operated by Ames for which we may have contingent obligations. As of January 25, 2003, Ames had rejected 32 leases for which we may be liable. Many of these rejections occurred in the fourth quarter of fiscal 2003. Through the end of fiscal 2003, we had bought out one of these leases. We are actively negotiating with landlords of many of the other rejected leases. The properties that reverted back to TJX from Ames' first bankruptcy were largely settled through buyouts and other lease terminations, except for 8 properties that were mitigated through subletting. The net cost of these sublet properties is charged to the reserve.</w:t>
      </w:r>
    </w:p>
    <w:p>
      <w:pPr>
        <w:spacing w:after="0" w:line="330"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balance in the reserve and the activity for the last three fiscal years is presented below. The addition to the reserve in fiscal 2002 relates to House2Home. The charges against the reserve during fiscal 2003 relate primarily to House2Home lease obligations. The charges against the reserve in fiscal 2002 and fiscal 2001 are primarily for lease related obligations of the former Zayre stores and Hit or Miss locations.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60" w:type="dxa"/>
            <w:vAlign w:val="bottom"/>
            <w:gridSpan w:val="3"/>
          </w:tcPr>
          <w:p>
            <w:pPr>
              <w:jc w:val="right"/>
              <w:ind w:right="528"/>
              <w:spacing w:after="0"/>
              <w:rPr>
                <w:sz w:val="20"/>
                <w:szCs w:val="20"/>
                <w:color w:val="auto"/>
              </w:rPr>
            </w:pPr>
            <w:r>
              <w:rPr>
                <w:rFonts w:ascii="Courier New" w:cs="Courier New" w:eastAsia="Courier New" w:hAnsi="Courier New"/>
                <w:sz w:val="14"/>
                <w:szCs w:val="14"/>
                <w:color w:val="auto"/>
              </w:rPr>
              <w:t>Fiscal Year Ended January</w:t>
            </w:r>
          </w:p>
        </w:tc>
      </w:tr>
      <w:tr>
        <w:trPr>
          <w:trHeight w:val="167"/>
        </w:trPr>
        <w:tc>
          <w:tcPr>
            <w:tcW w:w="2660" w:type="dxa"/>
            <w:vAlign w:val="bottom"/>
          </w:tcPr>
          <w:p>
            <w:pPr>
              <w:spacing w:after="0"/>
              <w:rPr>
                <w:sz w:val="14"/>
                <w:szCs w:val="14"/>
                <w:color w:val="auto"/>
              </w:rPr>
            </w:pPr>
          </w:p>
        </w:tc>
        <w:tc>
          <w:tcPr>
            <w:tcW w:w="3340" w:type="dxa"/>
            <w:vAlign w:val="bottom"/>
            <w:gridSpan w:val="4"/>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2002</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2001</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8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266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87,284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$ 25,512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$ 27,304</w:t>
            </w:r>
          </w:p>
        </w:tc>
      </w:tr>
      <w:tr>
        <w:trPr>
          <w:trHeight w:val="167"/>
        </w:trPr>
        <w:tc>
          <w:tcPr>
            <w:tcW w:w="2660" w:type="dxa"/>
            <w:vAlign w:val="bottom"/>
          </w:tcPr>
          <w:p>
            <w:pPr>
              <w:ind w:left="180"/>
              <w:spacing w:after="0"/>
              <w:rPr>
                <w:sz w:val="20"/>
                <w:szCs w:val="20"/>
                <w:color w:val="auto"/>
              </w:rPr>
            </w:pPr>
            <w:r>
              <w:rPr>
                <w:rFonts w:ascii="Courier New" w:cs="Courier New" w:eastAsia="Courier New" w:hAnsi="Courier New"/>
                <w:sz w:val="14"/>
                <w:szCs w:val="14"/>
                <w:color w:val="auto"/>
              </w:rPr>
              <w:t>Additions to the reserve</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66,528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2660" w:type="dxa"/>
            <w:vAlign w:val="bottom"/>
          </w:tcPr>
          <w:p>
            <w:pPr>
              <w:spacing w:after="0"/>
              <w:rPr>
                <w:sz w:val="20"/>
                <w:szCs w:val="20"/>
                <w:color w:val="auto"/>
              </w:rPr>
            </w:pPr>
            <w:r>
              <w:rPr>
                <w:rFonts w:ascii="Courier New" w:cs="Courier New" w:eastAsia="Courier New" w:hAnsi="Courier New"/>
                <w:sz w:val="14"/>
                <w:szCs w:val="14"/>
                <w:color w:val="auto"/>
              </w:rPr>
              <w:t>Charges against the reserve:</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7"/>
        </w:trPr>
        <w:tc>
          <w:tcPr>
            <w:tcW w:w="2660" w:type="dxa"/>
            <w:vAlign w:val="bottom"/>
          </w:tcPr>
          <w:p>
            <w:pPr>
              <w:ind w:left="180"/>
              <w:spacing w:after="0"/>
              <w:rPr>
                <w:sz w:val="20"/>
                <w:szCs w:val="20"/>
                <w:color w:val="auto"/>
              </w:rPr>
            </w:pPr>
            <w:r>
              <w:rPr>
                <w:rFonts w:ascii="Courier New" w:cs="Courier New" w:eastAsia="Courier New" w:hAnsi="Courier New"/>
                <w:sz w:val="14"/>
                <w:szCs w:val="14"/>
                <w:color w:val="auto"/>
              </w:rPr>
              <w:t>Lease related obligations</w:t>
            </w:r>
          </w:p>
        </w:tc>
        <w:tc>
          <w:tcPr>
            <w:tcW w:w="3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(32,189)</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(4,090)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(1,621)</w:t>
            </w:r>
          </w:p>
        </w:tc>
      </w:tr>
      <w:tr>
        <w:trPr>
          <w:trHeight w:val="167"/>
        </w:trPr>
        <w:tc>
          <w:tcPr>
            <w:tcW w:w="2660" w:type="dxa"/>
            <w:vAlign w:val="bottom"/>
          </w:tcPr>
          <w:p>
            <w:pPr>
              <w:ind w:left="180"/>
              <w:spacing w:after="0"/>
              <w:rPr>
                <w:sz w:val="20"/>
                <w:szCs w:val="20"/>
                <w:color w:val="auto"/>
              </w:rPr>
            </w:pPr>
            <w:r>
              <w:rPr>
                <w:rFonts w:ascii="Courier New" w:cs="Courier New" w:eastAsia="Courier New" w:hAnsi="Courier New"/>
                <w:sz w:val="14"/>
                <w:szCs w:val="14"/>
                <w:color w:val="auto"/>
              </w:rPr>
              <w:t>All other</w:t>
            </w:r>
          </w:p>
        </w:tc>
        <w:tc>
          <w:tcPr>
            <w:tcW w:w="38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w:t>
            </w:r>
          </w:p>
        </w:tc>
      </w:tr>
      <w:tr>
        <w:trPr>
          <w:trHeight w:val="167"/>
        </w:trPr>
        <w:tc>
          <w:tcPr>
            <w:tcW w:w="26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66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55,361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$ 87,284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$ 25,512</w:t>
            </w:r>
          </w:p>
        </w:tc>
      </w:tr>
      <w:tr>
        <w:trPr>
          <w:trHeight w:val="167"/>
        </w:trPr>
        <w:tc>
          <w:tcPr>
            <w:tcW w:w="2660" w:type="dxa"/>
            <w:vAlign w:val="bottom"/>
          </w:tcPr>
          <w:p>
            <w:pPr>
              <w:spacing w:after="0"/>
              <w:rPr>
                <w:sz w:val="14"/>
                <w:szCs w:val="14"/>
                <w:color w:val="auto"/>
              </w:rPr>
            </w:pPr>
          </w:p>
        </w:tc>
        <w:tc>
          <w:tcPr>
            <w:tcW w:w="13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We believe our reserve for discontinued operations is adequate to meet the costs we may incur with respect to House2Home and former Zayre Stores leases and that the future liability to TJX with respect to these leases will not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139" w:gutter="0" w:footer="0" w:header="0"/>
        </w:sectPr>
      </w:pPr>
    </w:p>
    <w:bookmarkStart w:id="100" w:name="page101"/>
    <w:bookmarkEnd w:id="100"/>
    <w:p>
      <w:pPr>
        <w:ind w:left="252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have a material effect on our financial condition, operating results or cash flows. Changes in the underlying assumptions, such as additional expenses for lease settlements or future Zayre Stores lease rejections, could require us to increase this reserve, although we do not expect that any increase would be material to our financial condition, results of operations or cash flows. In addition, we may receive a creditor recovery in the House2Home bankruptcy.</w:t>
      </w:r>
    </w:p>
    <w:p>
      <w:pPr>
        <w:spacing w:after="0" w:line="16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may also be contingently liable on up to 20 leases of BJ's Wholesale Club for which BJ's Wholesale Club is primarily liable. Our reserve for discontinued operations does not reflect these leases, because we believe that the likelihood of any future liability to TJX with respect to these leases is remote due to the current financial condition of BJ's Wholesale Club.</w:t>
      </w:r>
    </w:p>
    <w:p>
      <w:pPr>
        <w:spacing w:after="0" w:line="162"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OFF-BALANCE-SHEET LIABILITIES: We have contingent obligations on any property leases originally leased or guaranteed by TJX and assigned to third parties without releases by the landlords of our obligations. This would include subsequent assignments made by the purchasers of our discontinued operations, of which we generally are not aware. The original terms of these leases were generally significant, and there generally were options to extend the term of the lease. We do not know whether we currently remain secondarily liable on these leases and guarantees, because, among other things, changes to the terms of a lease or the underlying property or noncompliance with the terms of a guarantee can alter or terminate our liability with respect to the lease. After we assign leases, we generally do not have information about those leases, the underlying properties, or the rent or other costs under the leases. Also, in mitigating obligations associated with our discontinued operations, or for store closings of current operations, we sometimes sublease the property, and our reserve reflects mitigation by the sublease income. We remain primarily obligated under such property leases, and our reserve may require adjustment if the subtenants do not fulfill their obligations.</w:t>
      </w:r>
    </w:p>
    <w:p>
      <w:pPr>
        <w:spacing w:after="0" w:line="173"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We have potential contingent obligations in connection with leases of store closings of our current operations, primarily T.J. Maxx and Marshalls, as discussed in Note J to the consolidated financial statements. We estimate that we have contingent obligations in connection with approximately 25 of these properties, either due to assignments to third parties or subletting of the property. In addition, we have contingent liability on up to 20 leases of BJ's Wholesale Club, and our reserve for discontinued operations includes 8 former Zayre Stores properties from the first Ames bankruptcy that we have sublet. We estimate the undiscounted obligations, not reflected in our reserves, under the 25 leases of former stores relating to current operations, the 20 BJ's Wholesale Club leases, and the 8 sublet former Zayre Stores properties if the subtenants do not fulfill their obligations, is approximately $164 million as of January 25, 2003. We believe that most of these obligations will not revert back to TJX and to the extent they do, that they would be settled for substantially less due to mitigating factors.</w:t>
      </w:r>
    </w:p>
    <w:p>
      <w:pPr>
        <w:spacing w:after="0" w:line="17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Over many years, we and purchasers of our discontinued operations have assigned numerous leases, originally leased or guaranteed by TJX, to a significant number of third parties. We do not have sufficient information about these leases to estimate our potential contingent obligations under them. With the exception of leases of our discontinued operations discussed in Note K to the consolidated financial statements, we have rarely had a claim with respect to assigned leases, and accordingly, we do not expect that these leases will have a material adverse effect on our financial condition, results of operations or cash flows.</w:t>
      </w:r>
    </w:p>
    <w:p>
      <w:pPr>
        <w:spacing w:after="0" w:line="33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are a party to various agreements under which we may be obligated to indemnify the other party with respect to breach of warranty or losses related to such matters as title to assets sold, specified environmental matters or certain income taxes. These obligations are typically limited in time and amount. There are no amounts reflected in our balance sheets with respect to these contingent obligations.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INVESTING ACTIVITIES:</w:t>
      </w:r>
    </w:p>
    <w:p>
      <w:pPr>
        <w:spacing w:after="0" w:line="175"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Our cash flows for investing activities include capital expenditures for the last two years as set forth in the table below:</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Fiscal Year Ended January</w:t>
            </w:r>
          </w:p>
        </w:tc>
      </w:tr>
      <w:tr>
        <w:trPr>
          <w:trHeight w:val="167"/>
        </w:trPr>
        <w:tc>
          <w:tcPr>
            <w:tcW w:w="318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80" w:type="dxa"/>
            <w:vAlign w:val="bottom"/>
          </w:tcPr>
          <w:p>
            <w:pPr>
              <w:spacing w:after="0"/>
              <w:rPr>
                <w:sz w:val="20"/>
                <w:szCs w:val="20"/>
                <w:color w:val="auto"/>
              </w:rPr>
            </w:pPr>
            <w:r>
              <w:rPr>
                <w:rFonts w:ascii="Courier New" w:cs="Courier New" w:eastAsia="Courier New" w:hAnsi="Courier New"/>
                <w:sz w:val="14"/>
                <w:szCs w:val="14"/>
                <w:color w:val="auto"/>
              </w:rPr>
              <w:t>New stores</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$136.5</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$143.1</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Store renovations and improvements</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124.3</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108.6</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Office and distribution centers</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135.9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197.7</w:t>
            </w:r>
          </w:p>
        </w:tc>
      </w:tr>
      <w:tr>
        <w:trPr>
          <w:trHeight w:val="167"/>
        </w:trPr>
        <w:tc>
          <w:tcPr>
            <w:tcW w:w="318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$396.7</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$449.4</w:t>
            </w:r>
          </w:p>
        </w:tc>
      </w:tr>
      <w:tr>
        <w:trPr>
          <w:trHeight w:val="167"/>
        </w:trPr>
        <w:tc>
          <w:tcPr>
            <w:tcW w:w="318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Capital expenditures for fiscal 2003 were less than planned primarily due to a deferral of some planned expansion of our distribution center network into later years and lower-than-expected costs for renovations and improvements at Marmaxx stores. We expect that capital expenditures will approximate $430 million for fiscal 2004. This includes $160 million for new stores, $153 million for store renovations and improvements and $117 million for our office and distribution centers. Our planned rate of new store growth is 10% per year on a consolidated basis for the next</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453" w:right="1440" w:bottom="0" w:gutter="0" w:footer="0" w:header="0"/>
        </w:sectPr>
      </w:pPr>
    </w:p>
    <w:bookmarkStart w:id="101" w:name="page102"/>
    <w:bookmarkEnd w:id="101"/>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several years. Our rate of store growth, and the related investment in our distribution center network, are the major factors in our increase in planned capital expenditures.</w:t>
      </w:r>
    </w:p>
    <w:p>
      <w:pPr>
        <w:spacing w:after="0" w:line="162"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Investing activities include $5.5 million for fiscal 2002 due to advances we made under a construction loan agreement, in connection with the expansion of our leased home office facility. We received repayments under this loan agreement of $564,000 in fiscal 2003 and $125,000 in fiscal 2002.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ACTIVITIES: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20"/>
                <w:szCs w:val="20"/>
                <w:color w:val="auto"/>
              </w:rPr>
            </w:pPr>
            <w:r>
              <w:rPr>
                <w:rFonts w:ascii="Courier New" w:cs="Courier New" w:eastAsia="Courier New" w:hAnsi="Courier New"/>
                <w:sz w:val="14"/>
                <w:szCs w:val="14"/>
                <w:color w:val="auto"/>
              </w:rPr>
              <w:t>Cash flows from</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financing activities</w:t>
            </w:r>
          </w:p>
        </w:tc>
        <w:tc>
          <w:tcPr>
            <w:tcW w:w="2560" w:type="dxa"/>
            <w:vAlign w:val="bottom"/>
          </w:tcPr>
          <w:p>
            <w:pPr>
              <w:spacing w:after="0"/>
              <w:rPr>
                <w:sz w:val="20"/>
                <w:szCs w:val="20"/>
                <w:color w:val="auto"/>
              </w:rPr>
            </w:pPr>
            <w:r>
              <w:rPr>
                <w:rFonts w:ascii="Courier New" w:cs="Courier New" w:eastAsia="Courier New" w:hAnsi="Courier New"/>
                <w:sz w:val="14"/>
                <w:szCs w:val="14"/>
                <w:color w:val="auto"/>
              </w:rPr>
              <w:t>resulted in net cash outflows</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r>
      <w:tr>
        <w:trPr>
          <w:trHeight w:val="167"/>
        </w:trPr>
        <w:tc>
          <w:tcPr>
            <w:tcW w:w="3220" w:type="dxa"/>
            <w:vAlign w:val="bottom"/>
            <w:gridSpan w:val="2"/>
          </w:tcPr>
          <w:p>
            <w:pPr>
              <w:spacing w:after="0"/>
              <w:rPr>
                <w:sz w:val="20"/>
                <w:szCs w:val="20"/>
                <w:color w:val="auto"/>
              </w:rPr>
            </w:pPr>
            <w:r>
              <w:rPr>
                <w:rFonts w:ascii="Courier New" w:cs="Courier New" w:eastAsia="Courier New" w:hAnsi="Courier New"/>
                <w:sz w:val="14"/>
                <w:szCs w:val="14"/>
                <w:color w:val="auto"/>
              </w:rPr>
              <w:t>$509.1 million in fiscal 2003, $99.7</w:t>
            </w:r>
          </w:p>
        </w:tc>
        <w:tc>
          <w:tcPr>
            <w:tcW w:w="3560" w:type="dxa"/>
            <w:vAlign w:val="bottom"/>
            <w:gridSpan w:val="2"/>
          </w:tcPr>
          <w:p>
            <w:pPr>
              <w:spacing w:after="0"/>
              <w:rPr>
                <w:sz w:val="20"/>
                <w:szCs w:val="20"/>
                <w:color w:val="auto"/>
              </w:rPr>
            </w:pPr>
            <w:r>
              <w:rPr>
                <w:rFonts w:ascii="Courier New" w:cs="Courier New" w:eastAsia="Courier New" w:hAnsi="Courier New"/>
                <w:sz w:val="14"/>
                <w:szCs w:val="14"/>
                <w:color w:val="auto"/>
              </w:rPr>
              <w:t>million in fiscal 2002 and $523.9 million</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in fiscal 2001.</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The majority of this</w:t>
            </w:r>
          </w:p>
        </w:tc>
        <w:tc>
          <w:tcPr>
            <w:tcW w:w="2560" w:type="dxa"/>
            <w:vAlign w:val="bottom"/>
          </w:tcPr>
          <w:p>
            <w:pPr>
              <w:spacing w:after="0"/>
              <w:rPr>
                <w:sz w:val="20"/>
                <w:szCs w:val="20"/>
                <w:color w:val="auto"/>
              </w:rPr>
            </w:pPr>
            <w:r>
              <w:rPr>
                <w:rFonts w:ascii="Courier New" w:cs="Courier New" w:eastAsia="Courier New" w:hAnsi="Courier New"/>
                <w:sz w:val="14"/>
                <w:szCs w:val="14"/>
                <w:color w:val="auto"/>
              </w:rPr>
              <w:t>activity relates to our share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repurchase</w:t>
            </w:r>
          </w:p>
        </w:tc>
      </w:tr>
      <w:tr>
        <w:trPr>
          <w:trHeight w:val="167"/>
        </w:trPr>
        <w:tc>
          <w:tcPr>
            <w:tcW w:w="1360" w:type="dxa"/>
            <w:vAlign w:val="bottom"/>
          </w:tcPr>
          <w:p>
            <w:pPr>
              <w:spacing w:after="0"/>
              <w:rPr>
                <w:sz w:val="20"/>
                <w:szCs w:val="20"/>
                <w:color w:val="auto"/>
              </w:rPr>
            </w:pPr>
            <w:r>
              <w:rPr>
                <w:rFonts w:ascii="Courier New" w:cs="Courier New" w:eastAsia="Courier New" w:hAnsi="Courier New"/>
                <w:sz w:val="14"/>
                <w:szCs w:val="14"/>
                <w:color w:val="auto"/>
              </w:rPr>
              <w:t>program and our</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long-term borrowings.</w:t>
            </w:r>
          </w:p>
        </w:tc>
        <w:tc>
          <w:tcPr>
            <w:tcW w:w="2560" w:type="dxa"/>
            <w:vAlign w:val="bottom"/>
          </w:tcPr>
          <w:p>
            <w:pPr>
              <w:spacing w:after="0"/>
              <w:rPr>
                <w:sz w:val="14"/>
                <w:szCs w:val="14"/>
                <w:color w:val="auto"/>
              </w:rPr>
            </w:pPr>
          </w:p>
        </w:tc>
        <w:tc>
          <w:tcPr>
            <w:tcW w:w="1000" w:type="dxa"/>
            <w:vAlign w:val="bottom"/>
          </w:tcPr>
          <w:p>
            <w:pPr>
              <w:spacing w:after="0"/>
              <w:rPr>
                <w:sz w:val="14"/>
                <w:szCs w:val="14"/>
                <w:color w:val="auto"/>
              </w:rPr>
            </w:pPr>
          </w:p>
        </w:tc>
      </w:tr>
    </w:tbl>
    <w:p>
      <w:pPr>
        <w:spacing w:after="0" w:line="171"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spent $481.7 million in fiscal 2003, $424.2 million in fiscal 2002 and $444.1 million in fiscal 2001 under our stock repurchase programs. We repurchased 25.9 million shares in fiscal 2003, 26.3 million in fiscal 2002 and 44.5 million in fiscal 2001. All shares repurchased are retired with the exception of 87,638 shares purchased in fiscal 2003 and held in treasury. During July 2002, we completed our $1 billion stock repurchase program and announced our intention to repurchase an additional $1 billion of common stock over several years. Since the inception of the new $1 billion stock repurchase program, as of January 25, 2003, we have repurchased and retired 16.1 million shares at a total cost of $303.4 million. All of these repurchased share numbers reflect the two-for-one stock split distributed in May 2002.</w:t>
      </w:r>
    </w:p>
    <w:p>
      <w:pPr>
        <w:spacing w:after="0" w:line="164"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On February 13, 2001, we issued $517.5 million zero coupon convertible subordinated notes due in February 2021 and raised gross proceeds of $347.6 million. The issue price of the notes represented a yield to maturity of 2% per year. The notes are convertible into 16.9 million shares of common stock of TJX if the sale price of our common stock reaches specified thresholds, if the credit rating of the notes is below investment grade, if the notes are called for redemption, or if certain specified corporate transactions occur. None of these conditions existed as of January 25, 2003 or January 26, 2002 and thus the shares are excluded from the diluted earnings per share calculations. The holders of the notes have the right to require us to purchase the notes in February 2004, 2007 and 2013. We may pay the purchase price in cash, our stock, or a combination of the two. At the first put date of February 13, 2002, no holders exercised the purchase option. If the holders exercise this option, we expect to fund the payment with cash, financing from our short-term credit facility, new long-term borrowings, or a combination thereof. We used the proceeds for our accelerated store roll-out program, investment in our distribution center network, general corporate purposes and our common stock repurchase program. Financing activities also included scheduled principal payments on long-term debt of $73,000 in fiscal 2002 and $100.2 million in fiscal 2001.</w:t>
      </w:r>
    </w:p>
    <w:p>
      <w:pPr>
        <w:spacing w:after="0" w:line="341" w:lineRule="exact"/>
        <w:rPr>
          <w:sz w:val="20"/>
          <w:szCs w:val="20"/>
          <w:color w:val="auto"/>
        </w:rPr>
      </w:pPr>
    </w:p>
    <w:p>
      <w:pPr>
        <w:ind w:right="3459" w:firstLine="781"/>
        <w:spacing w:after="0" w:line="252" w:lineRule="auto"/>
        <w:rPr>
          <w:sz w:val="20"/>
          <w:szCs w:val="20"/>
          <w:color w:val="auto"/>
        </w:rPr>
      </w:pPr>
      <w:r>
        <w:rPr>
          <w:rFonts w:ascii="Courier New" w:cs="Courier New" w:eastAsia="Courier New" w:hAnsi="Courier New"/>
          <w:sz w:val="14"/>
          <w:szCs w:val="14"/>
          <w:color w:val="auto"/>
        </w:rPr>
        <w:t>We declared quarterly dividends on our common stock of $.12 per share in fiscal 2003, $.09 per share in fiscal 2002 and $.08 per share in fiscal 2001. Cash payments for dividends on our common stock totaled $60.0 million in fiscal 2003, $48.3 million in fiscal 2002 and $44.7 million in fiscal</w:t>
      </w:r>
    </w:p>
    <w:p>
      <w:pPr>
        <w:spacing w:after="0" w:line="2"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2001. Financing activities also include proceeds of $33.9 million for fiscal 2003, $65.2 million for fiscal 2002 and $26.1 million for fiscal 2001 from the exercise of employee stock options. These stock option exercises also provided tax benefits of $11.8 million in fiscal 2003, $30.6 million in fiscal 2002 and $15.9 million in fiscal 2001, which are included in cash provided by operating activities.</w:t>
      </w:r>
    </w:p>
    <w:p>
      <w:pPr>
        <w:spacing w:after="0" w:line="16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We traditionally have funded our seasonal merchandise requirements through cash generated from operations, short-term bank borrowings and the issuance of short-term commercial paper. During fiscal 2003, we entered into a $370 million five-year revolving credit facility and a $320 million 364-day revolving credit facility, replacing similar agreements scheduled to expire during fiscal 2003. On March 24, 2003, the 364-day agreement was renewed and increased to $330 million, with substantially all of the other terms and conditions of the original facility remaining unchanged. The credit facilities do not require any compensating balances, however TJX must maintain certain leverage and fixed charge coverage ratios. Based on our current financial condition, we believe that the possibility of non-compliance with these covenants is remote. The revolving credit facilities are used as backup to our commercial paper program. As of January 25, 2003 there were no outstanding amounts under our credit facilities. The maximum amount of our U.S. short-term borrowings outstanding was $39 million during fiscal 2002 and $330 million during fiscal 2001. There were no short-term borrowings during fiscal 2003. There were also no short-term borrowings during fiscal 2002 following the issuance of the zero coupon convertible notes. The weighted average interest rate on our U.S. short-term borrowings was 5.32% in fiscal 2002 and 6.82% in fiscal 2001. As of January 25, 2003, TJX had credit lines totaling C$40 million for its Canadian subsidiary. The maximum amount outstanding under our Canadian credit line was C$19.2 million in fiscal 2003, C$22.6 million in fiscal 2002 and C$15.2 million in fiscal 2001. Subsequent to the end of fiscal 2003, our Canadian credit lines were reduced to C$20 million. The funding requirements for fiscal 2003 and fiscal 2002 of our Canadian operations were largely provided by TJX.</w:t>
      </w:r>
    </w:p>
    <w:p>
      <w:pPr>
        <w:spacing w:after="0" w:line="200" w:lineRule="exact"/>
        <w:rPr>
          <w:sz w:val="20"/>
          <w:szCs w:val="20"/>
          <w:color w:val="auto"/>
        </w:rPr>
      </w:pPr>
    </w:p>
    <w:p>
      <w:pPr>
        <w:spacing w:after="0" w:line="31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640" w:gutter="0" w:footer="0" w:header="0"/>
        </w:sectPr>
      </w:pPr>
    </w:p>
    <w:bookmarkStart w:id="102" w:name="page103"/>
    <w:bookmarkEnd w:id="102"/>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We believe that our current credit facilities are more than adequate to meet our operating needs. See Notes B and F to the consolidated financial statements for further information regarding our long-term debt, capital stock transactions and available financing sources.</w:t>
      </w:r>
    </w:p>
    <w:p>
      <w:pPr>
        <w:spacing w:after="0" w:line="163"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CONTRACTUAL OBLIGATIONS: We have obligations (including current installments) under long-term debt arrangements and leases for property and equipment that will require cash outflows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Long-Term</w:t>
            </w:r>
          </w:p>
        </w:tc>
        <w:tc>
          <w:tcPr>
            <w:tcW w:w="1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Capital Lease</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Operating Lease</w:t>
            </w:r>
          </w:p>
        </w:tc>
        <w:tc>
          <w:tcPr>
            <w:tcW w:w="1140" w:type="dxa"/>
            <w:vAlign w:val="bottom"/>
          </w:tcPr>
          <w:p>
            <w:pPr>
              <w:spacing w:after="0"/>
              <w:rPr>
                <w:sz w:val="14"/>
                <w:szCs w:val="14"/>
                <w:color w:val="auto"/>
              </w:rPr>
            </w:pP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Debt</w:t>
            </w:r>
          </w:p>
        </w:tc>
        <w:tc>
          <w:tcPr>
            <w:tcW w:w="13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Obligation</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Commitments</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Fiscal 2004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15,000</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536,860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555,586</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Fiscal 2005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365,248</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514,755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883,729</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Fiscal 2006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99,967</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469,822</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573,515</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Fiscal 2007</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425,937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429,663</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Fiscal 2008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3,726</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381,383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385,109</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Later Years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199,561</w:t>
            </w:r>
          </w:p>
        </w:tc>
        <w:tc>
          <w:tcPr>
            <w:tcW w:w="22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30,397</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1,625,522</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1,855,480</w:t>
            </w:r>
          </w:p>
        </w:tc>
      </w:tr>
      <w:tr>
        <w:trPr>
          <w:trHeight w:val="167"/>
        </w:trPr>
        <w:tc>
          <w:tcPr>
            <w:tcW w:w="13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$ 679,776</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49,027</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$3,954,279</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$4,683,082</w:t>
            </w:r>
          </w:p>
        </w:tc>
      </w:tr>
      <w:tr>
        <w:trPr>
          <w:trHeight w:val="167"/>
        </w:trPr>
        <w:tc>
          <w:tcPr>
            <w:tcW w:w="132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above maturity table assumes that all holders of the zero coupon convertible subordinated notes exercise their put options in fiscal 2005. The note holders also have put options available to them in fiscal 2008 and 2014. If none of the put options are exercised and the notes are not redeemed or converted, the notes will mature in fiscal 2022.</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also have long-term liabilities that do not have specified maturity dates. Included in long-term liabilities is $85 million for employee compensation and benefits, most of which will come due beyond five years and $70 million for our rental step-up accrual, the cash flow requirements of which are included in the lease commitments in the above table. Our long-term liabilities also include our discontinued operations reserve of $55.4 million. We expect a large portion of this reserve will be settled in the next five years as settlements are reached, while a smaller portion will extend beyond five years for those reserve obligations tied to the remaining lease term.</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have the obligation to evaluate and select applicable accounting policies for TJX. We consider our most critical accounting policies, involving management estimates and judgments, to be those relating to inventory valuation, retirement obligations, accounting for taxes and reserves for discontinued operations. We believe that we have selected the most appropriate assumptions in each of the following areas and that the results we would have obtained, had alternative assumptions been selected, would not be materially different from the results we have reported.</w:t>
      </w:r>
    </w:p>
    <w:p>
      <w:pPr>
        <w:spacing w:after="0" w:line="16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INVENTORY VALUATION: We use the retail method for valuing inventory on a first-in first-out basis. Under the retail method, the cost value of inventory and gross margins are determined by calculating a cost-to-retail ratio and applying it to the retail value of inventory. This method is widely used in the retail industry and involves management estimates with regard to such things as markdowns and inventory shrinkage. A significant factor involves the recording and timing of permanent markdowns. Under the retail method, permanent markdowns are reflected in the inventory valuation when the price of an item is changed. We believe the retail method results in a more conservative inventory valuation than other accounting methods. In addition, as a normal business practice, we have a very specific policy as to when markdowns are to be taken, greatly reducing the need for management estimates. Inventory shortage involves estimating a shrinkage rate for interim periods, but is based on a full physical inventory at fiscal year end. Thus, the difference between actual and estimated amounts may cause fluctuations in quarterly results, but is not a factor in full year results. Overall, we believe that the retail method, coupled with our disciplined permanent markdown policy and a full physical inventory taken at each fiscal year end, results in an inventory valuation that is fairly stated. Lastly, many retailers have arrangements with vendors that provide for rebates and allowances under certain conditions, which ultimately affect the value of the inventory. Our normal business practice is to not enter into such arrangements with our vendors. Over time, we have found that actual results involving inventory valuation issues have not varied significantly from our estimates.</w:t>
      </w:r>
    </w:p>
    <w:p>
      <w:pPr>
        <w:spacing w:after="0" w:line="343"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RETIREMENT OBLIGATIONS: Retirement costs are accrued over the service life of an employee and represent an obligation that will ultimately be settled far in</w:t>
      </w:r>
    </w:p>
    <w:p>
      <w:pPr>
        <w:spacing w:after="0" w:line="1"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the future and is therefore subject to estimates. We are required to make assumptions regarding such variables as the discount rate for valuing pension obligations and the long-term rate of return assumed to be earned on pension assets, both of which impact the net pension cost for the period. The discount rate, which we determine annually based on market interest rates, has dropped over the past several years and our actual returns on pension assets have been considerably less than our expected returns. These two situations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473" w:gutter="0" w:footer="0" w:header="0"/>
        </w:sectPr>
      </w:pPr>
    </w:p>
    <w:bookmarkStart w:id="103" w:name="page104"/>
    <w:bookmarkEnd w:id="103"/>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have resulted in a considerable increase in the annual cost of retirement benefits and has had an unfavorable effect on the funded status of our qualified pension plan. We have made contributions of $104.8 million, which exceeded the minimum required, over the last two years to largely restore the funded status of our plan. In addition, during fiscal 2003, we reduced the assumption for the long-term rate of return on pension plan assets to 8% from 9% which increased net pension expense for fiscal 2003 by approximately $2 million.</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ACCOUNTING FOR TAXES: We are continuously under audit by the United States federal, state, local or foreign tax authorities in the areas of income taxes and the remittance of sales and use taxes. In evaluating the potential exposure associated with the various tax filing positions, we accrue charges for possible exposures. Based on the annual evaluations of tax positions, we believe we have appropriately filed our tax returns and accrued for possible exposures. To the extent we were to prevail in matters for which accruals have been established or be required to pay amounts in excess of reserves, our effective tax rate in a given financial period might be materially impacted. We have various state and foreign tax examinations in process. The fiscal years ending January 2000 and after could still be subject to a federal income tax audit but currently there is none in process.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RESERVES FOR DISCONTINUED OPERATIONS: As discussed in Note K to the consolidated financial statements and elsewhere in the management's discussion and analysis, we have reserves established for leases relating to operations discontinued by TJX where TJX was the original lessee or a guarantor and which have been assigned to third parties. These are long-term obligations and the estimated cost to us involves numerous estimates and assumptions as to whether we remain obligated with respect to a particular lease, how a particular obligation may ultimately be settled and what mitigating factors, including indemnification, may exist. We develop these assumptions based on past experience and by evaluating various probable outcomes and the circumstances surrounding each situation and location. Actual results may differ from these estimates but we believe that our current reserve is a reasonable estimate of the most likely outcome and that the reserve is adequate to cover the ultimate cost we will incur.</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July 2001, the Financial Accounting Standards Board ("FASB") issued Statement of Financial Accounting Standards ("SFAS") No. 142, "Goodwill and Other Intangible Assets." SFAS No. 142 addresses how goodwill and other intangible assets should be accounted for after they have been initially recognized in the financial statements. We implemented SFAS No. 142 for the fiscal year ended January 25, 2003 and we no longer amortize goodwill or the value of the Marshalls tradename, which has an indefinite life. The impact of not amortizing goodwill and the trade-name increased annual net income by approximately $5 million, or $.01 per share. It was determined that the goodwill and tradename were not impaired as of January 25, 2003.</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June 2002, the FASB issued SFAS No. 146, "Accounting for Costs Associated with Exit or Disposal Activities." This Statement addresses financial accounting and reporting for costs associated with exit or disposal activities including store closing activities. The provisions of SFAS No. 146 are effective for exit or disposal activities that are initiated after December 31, 2002, with early adoption encouraged. Generally, the effect of these provisions is to defer the recording of certain store closing costs from the date we commit to close a store to the date the store actually closes. The adoption of SFAS No. 146 will not have a material impact on our financial position or results of operations.</w:t>
      </w:r>
    </w:p>
    <w:p>
      <w:pPr>
        <w:spacing w:after="0" w:line="164"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November 2002, the FASB issued FASB Interpretation No. 45, "Guarantor's Accounting and Disclosure Requirements for Guarantees, Including Indirect Guarantees of Indebtedness of Others." This Interpretation specifies certain disclosures for guarantees issued by an entity and requires recognition and measurement at fair value for certain types of guarantees. We have included the disclosure requirements of the Interpretation with regard to guarantees made by TJX in Note L to the consolidated financial statements. The recognition and measurement provisions, which we believe will not have a material effect on our financial position or results of operation, are effective for qualifying guarantees issued after December 31, 2002.</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December 2002, the FASB issued SFAS No. 148, "Accounting for Stock-Based Compensation--Transition and Disclosure." This Statement amends SFAS No. 123, "Accounting for Stock-Based Compensation" and requires certain disclosures be provided at interim periods and provides alternative methods of transition for entities that voluntarily convert to fair value based method of accounting for stock-based employee compensation. We anticipate that the FASB may issue additional guidance or propose additional changes in this area. While we await additional guidance from the FASB, we are continuing to account for stock-based compensation in accordance with Accounting Principles Board Opinion No. 25. We will provide the disclosures required under SFAS No. 123 in our future quarterly reports.</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104" w:name="page105"/>
    <w:bookmarkEnd w:id="104"/>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are exposed to foreign currency exchange rate risk on our investment in our Canadian (Winners, including HomeSense) and European (T.K. Maxx) operations. As more fully described in Notes A and C to the consolidated financial statements, we hedge a significant portion of our net investment, intercompany transactions and certain merchandise purchase commitments in these operations with derivative financial instruments. We utilize currency forward and swap contracts, designed to offset the gains or losses in the underlying exposures. The contracts are executed with creditworthy banks and are denominated in currencies of major industrial countries. We do not enter into derivatives for speculative trading purposes.</w:t>
      </w:r>
    </w:p>
    <w:p>
      <w:pPr>
        <w:spacing w:after="0" w:line="331"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In addition, the assets of our qualified pension plan, a large portion of which is invested in equity securities, are subject to the risks and uncertainties of the public stock market. We allocate the pension assets in a manner that attempts to minimize and control our exposure to these market uncertainties.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FORWARD-LOOKING INFORMATION</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Some statements contained in this Annual Report are forward-looking and involve a number of risks and uncertainties. Statements that address activities, events and results that we intend, expect or believe may occur in the future are forward-looking statements. Among the factors that could cause actual results to differ materially from those expressed or implied by such forward-looking statements are the following: general economic conditions including effects of wars, other military actions and terrorist incidents; consumer confidence, demand and preferences; weather patterns; competitive factors, including continuing pressure from pricing and promotional activities of competitors; the impact of excess retail capacity and the availability of desirable store and distribution center locations on suitable terms; recruiting quality sales associates and other associates; the availability, selection and purchasing of attractive merchandise on favorable terms and the effective management of inventory levels; import risks, including potential disruptions in supply and duties, tariffs and quotas on imported merchandise, including economic, political or other problems in countries from which merchandise is imported; currency and exchange rate factors in our foreign and buying operations; ability to continue successful expansion of our store base at the rate projected; risks in the development of new businesses and application of our off-price strategies in additional foreign countries; factors affecting expenses including pressure on wages and benefits; our acquisition and divestment activities; our ultimate liability with respect to leases relating to discontinued operations including indemnification and other factors affecting or mitigating our liability; changes in laws and regulations; and other factors that may be described in our filings with the Securities and Exchange Commission. We do not undertake to publicly update or revise our forward-looking statements even if experience or future changes make it clear that any projected results expressed or implied therein will not be realized.</w:t>
      </w:r>
    </w:p>
    <w:p>
      <w:pPr>
        <w:spacing w:after="0" w:line="34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20" w:right="1440" w:bottom="1440" w:gutter="0" w:footer="0" w:header="0"/>
        </w:sectPr>
      </w:pPr>
    </w:p>
    <w:bookmarkStart w:id="105" w:name="page106"/>
    <w:bookmarkEnd w:id="105"/>
    <w:p>
      <w:pPr>
        <w:ind w:left="2440"/>
        <w:spacing w:after="0"/>
        <w:rPr>
          <w:sz w:val="20"/>
          <w:szCs w:val="20"/>
          <w:color w:val="auto"/>
        </w:rPr>
      </w:pPr>
      <w:r>
        <w:rPr>
          <w:rFonts w:ascii="Courier New" w:cs="Courier New" w:eastAsia="Courier New" w:hAnsi="Courier New"/>
          <w:sz w:val="14"/>
          <w:szCs w:val="14"/>
          <w:color w:val="auto"/>
        </w:rPr>
        <w:t>THE TJX COMPANIES,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RANGE OF COMMON STOCK</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following per share data reflects the two-for-one stock split distributed in May 2002.</w:t>
      </w:r>
    </w:p>
    <w:p>
      <w:pPr>
        <w:spacing w:after="0" w:line="160" w:lineRule="exact"/>
        <w:rPr>
          <w:sz w:val="20"/>
          <w:szCs w:val="20"/>
          <w:color w:val="auto"/>
        </w:rPr>
      </w:pPr>
    </w:p>
    <w:p>
      <w:pPr>
        <w:ind w:right="3539" w:firstLine="781"/>
        <w:spacing w:after="0" w:line="255" w:lineRule="auto"/>
        <w:rPr>
          <w:sz w:val="20"/>
          <w:szCs w:val="20"/>
          <w:color w:val="auto"/>
        </w:rPr>
      </w:pPr>
      <w:r>
        <w:rPr>
          <w:rFonts w:ascii="Courier New" w:cs="Courier New" w:eastAsia="Courier New" w:hAnsi="Courier New"/>
          <w:sz w:val="14"/>
          <w:szCs w:val="14"/>
          <w:color w:val="auto"/>
        </w:rPr>
        <w:t>TJX's common stock is listed on the New York Stock Exchange (Symbol:TJX). The quarterly high and low trading stock prices for fiscal 2003 and fiscal 2002 are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FISCAL</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2003</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Fiscal</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2002</w:t>
            </w:r>
          </w:p>
        </w:tc>
      </w:tr>
      <w:tr>
        <w:trPr>
          <w:trHeight w:val="167"/>
        </w:trPr>
        <w:tc>
          <w:tcPr>
            <w:tcW w:w="96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Quarter</w:t>
            </w:r>
          </w:p>
        </w:tc>
        <w:tc>
          <w:tcPr>
            <w:tcW w:w="920" w:type="dxa"/>
            <w:vAlign w:val="bottom"/>
          </w:tcPr>
          <w:p>
            <w:pPr>
              <w:ind w:left="260"/>
              <w:spacing w:after="0"/>
              <w:rPr>
                <w:sz w:val="20"/>
                <w:szCs w:val="20"/>
                <w:color w:val="auto"/>
              </w:rPr>
            </w:pPr>
            <w:r>
              <w:rPr>
                <w:rFonts w:ascii="Courier New" w:cs="Courier New" w:eastAsia="Courier New" w:hAnsi="Courier New"/>
                <w:sz w:val="14"/>
                <w:szCs w:val="14"/>
                <w:color w:val="auto"/>
              </w:rPr>
              <w:t>HIGH</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LOW</w:t>
            </w:r>
          </w:p>
        </w:tc>
        <w:tc>
          <w:tcPr>
            <w:tcW w:w="780" w:type="dxa"/>
            <w:vAlign w:val="bottom"/>
          </w:tcPr>
          <w:p>
            <w:pPr>
              <w:ind w:left="120"/>
              <w:spacing w:after="0"/>
              <w:rPr>
                <w:sz w:val="20"/>
                <w:szCs w:val="20"/>
                <w:color w:val="auto"/>
              </w:rPr>
            </w:pPr>
            <w:r>
              <w:rPr>
                <w:rFonts w:ascii="Courier New" w:cs="Courier New" w:eastAsia="Courier New" w:hAnsi="Courier New"/>
                <w:sz w:val="14"/>
                <w:szCs w:val="14"/>
                <w:color w:val="auto"/>
              </w:rPr>
              <w:t>High</w:t>
            </w:r>
          </w:p>
        </w:tc>
        <w:tc>
          <w:tcPr>
            <w:tcW w:w="740" w:type="dxa"/>
            <w:vAlign w:val="bottom"/>
          </w:tcPr>
          <w:p>
            <w:pPr>
              <w:ind w:left="120"/>
              <w:spacing w:after="0"/>
              <w:rPr>
                <w:sz w:val="20"/>
                <w:szCs w:val="20"/>
                <w:color w:val="auto"/>
              </w:rPr>
            </w:pPr>
            <w:r>
              <w:rPr>
                <w:rFonts w:ascii="Courier New" w:cs="Courier New" w:eastAsia="Courier New" w:hAnsi="Courier New"/>
                <w:sz w:val="14"/>
                <w:szCs w:val="14"/>
                <w:color w:val="auto"/>
              </w:rPr>
              <w:t>Low</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96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$22.07</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$17.03</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$16.88</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$13.76</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$22.45</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$15.30</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$17.58</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$15.21</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$21.42</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$16.10</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$18.50</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$14.80</w:t>
            </w:r>
          </w:p>
        </w:tc>
      </w:tr>
      <w:tr>
        <w:trPr>
          <w:trHeight w:val="167"/>
        </w:trPr>
        <w:tc>
          <w:tcPr>
            <w:tcW w:w="960" w:type="dxa"/>
            <w:vAlign w:val="bottom"/>
          </w:tcPr>
          <w:p>
            <w:pPr>
              <w:spacing w:after="0"/>
              <w:rPr>
                <w:sz w:val="20"/>
                <w:szCs w:val="20"/>
                <w:color w:val="auto"/>
              </w:rPr>
            </w:pPr>
            <w:r>
              <w:rPr>
                <w:rFonts w:ascii="Courier New" w:cs="Courier New" w:eastAsia="Courier New" w:hAnsi="Courier New"/>
                <w:sz w:val="14"/>
                <w:szCs w:val="14"/>
                <w:color w:val="auto"/>
              </w:rPr>
              <w:t>Fourth</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$21.46</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$18.90</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$20.58</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$16.25</w:t>
            </w:r>
          </w:p>
        </w:tc>
      </w:tr>
    </w:tbl>
    <w:p>
      <w:pPr>
        <w:spacing w:after="0" w:line="338"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The approximate number of common shareholders at January 25, 2003 was 48,543. TJX declared four quarterly dividends of $.03 per share for fiscal 2003 and $.0225 per share for fiscal 2002.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SELECTED QUARTERLY FINANCIAL DATA (UNAUDITED)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First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Second</w:t>
            </w:r>
          </w:p>
        </w:tc>
        <w:tc>
          <w:tcPr>
            <w:tcW w:w="18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Third</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Fourth</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Quarter</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Quarter</w:t>
            </w:r>
          </w:p>
        </w:tc>
        <w:tc>
          <w:tcPr>
            <w:tcW w:w="18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Quarter</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Quarter</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Fiscal Year Ended January 25, 2003</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Net sales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$2,665,687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$2,765,089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3,044,950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$3,505,481</w:t>
            </w: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Gross earnings (1)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676,857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686,353</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754,814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783,604</w:t>
            </w:r>
          </w:p>
        </w:tc>
      </w:tr>
      <w:tr>
        <w:trPr>
          <w:trHeight w:val="334"/>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Income from continuing operations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147,103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129,627</w:t>
            </w:r>
          </w:p>
        </w:tc>
        <w:tc>
          <w:tcPr>
            <w:tcW w:w="18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147,355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154,303</w:t>
            </w:r>
          </w:p>
        </w:tc>
      </w:tr>
      <w:tr>
        <w:trPr>
          <w:trHeight w:val="167"/>
        </w:trPr>
        <w:tc>
          <w:tcPr>
            <w:tcW w:w="3520" w:type="dxa"/>
            <w:vAlign w:val="bottom"/>
          </w:tcPr>
          <w:p>
            <w:pPr>
              <w:ind w:left="520"/>
              <w:spacing w:after="0"/>
              <w:rPr>
                <w:sz w:val="20"/>
                <w:szCs w:val="20"/>
                <w:color w:val="auto"/>
              </w:rPr>
            </w:pPr>
            <w:r>
              <w:rPr>
                <w:rFonts w:ascii="Courier New" w:cs="Courier New" w:eastAsia="Courier New" w:hAnsi="Courier New"/>
                <w:sz w:val="14"/>
                <w:szCs w:val="14"/>
                <w:color w:val="auto"/>
              </w:rPr>
              <w:t>Diluted earnings per share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147,103</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129,627</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147,355</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154,303</w:t>
            </w:r>
          </w:p>
        </w:tc>
      </w:tr>
      <w:tr>
        <w:trPr>
          <w:trHeight w:val="167"/>
        </w:trPr>
        <w:tc>
          <w:tcPr>
            <w:tcW w:w="3520" w:type="dxa"/>
            <w:vAlign w:val="bottom"/>
          </w:tcPr>
          <w:p>
            <w:pPr>
              <w:ind w:left="520"/>
              <w:spacing w:after="0"/>
              <w:rPr>
                <w:sz w:val="20"/>
                <w:szCs w:val="20"/>
                <w:color w:val="auto"/>
              </w:rPr>
            </w:pPr>
            <w:r>
              <w:rPr>
                <w:rFonts w:ascii="Courier New" w:cs="Courier New" w:eastAsia="Courier New" w:hAnsi="Courier New"/>
                <w:sz w:val="14"/>
                <w:szCs w:val="14"/>
                <w:color w:val="auto"/>
              </w:rPr>
              <w:t>Diluted earnings per share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Fiscal Year Ended January 26, 2002</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Net sales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$2,270,895</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$2,487,622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2,741,769</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$3,208,712</w:t>
            </w: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Gross earnings (1)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584,279</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592,918</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681,773</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727,106</w:t>
            </w:r>
          </w:p>
        </w:tc>
      </w:tr>
      <w:tr>
        <w:trPr>
          <w:trHeight w:val="334"/>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Income from continuing operations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123,671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111,908</w:t>
            </w:r>
          </w:p>
        </w:tc>
        <w:tc>
          <w:tcPr>
            <w:tcW w:w="18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149,498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155,320</w:t>
            </w:r>
          </w:p>
        </w:tc>
      </w:tr>
      <w:tr>
        <w:trPr>
          <w:trHeight w:val="167"/>
        </w:trPr>
        <w:tc>
          <w:tcPr>
            <w:tcW w:w="3520" w:type="dxa"/>
            <w:vAlign w:val="bottom"/>
          </w:tcPr>
          <w:p>
            <w:pPr>
              <w:ind w:left="520"/>
              <w:spacing w:after="0"/>
              <w:rPr>
                <w:sz w:val="20"/>
                <w:szCs w:val="20"/>
                <w:color w:val="auto"/>
              </w:rPr>
            </w:pPr>
            <w:r>
              <w:rPr>
                <w:rFonts w:ascii="Courier New" w:cs="Courier New" w:eastAsia="Courier New" w:hAnsi="Courier New"/>
                <w:sz w:val="14"/>
                <w:szCs w:val="14"/>
                <w:color w:val="auto"/>
              </w:rPr>
              <w:t>Diluted earnings per share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r>
      <w:tr>
        <w:trPr>
          <w:trHeight w:val="167"/>
        </w:trPr>
        <w:tc>
          <w:tcPr>
            <w:tcW w:w="35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123,671</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111,908</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109,498</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155,320</w:t>
            </w:r>
          </w:p>
        </w:tc>
      </w:tr>
      <w:tr>
        <w:trPr>
          <w:trHeight w:val="167"/>
        </w:trPr>
        <w:tc>
          <w:tcPr>
            <w:tcW w:w="3520" w:type="dxa"/>
            <w:vAlign w:val="bottom"/>
          </w:tcPr>
          <w:p>
            <w:pPr>
              <w:ind w:left="520"/>
              <w:spacing w:after="0"/>
              <w:rPr>
                <w:sz w:val="20"/>
                <w:szCs w:val="20"/>
                <w:color w:val="auto"/>
              </w:rPr>
            </w:pPr>
            <w:r>
              <w:rPr>
                <w:rFonts w:ascii="Courier New" w:cs="Courier New" w:eastAsia="Courier New" w:hAnsi="Courier New"/>
                <w:sz w:val="14"/>
                <w:szCs w:val="14"/>
                <w:color w:val="auto"/>
              </w:rPr>
              <w:t>Diluted earnings per share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w:t>
            </w:r>
          </w:p>
        </w:tc>
        <w:tc>
          <w:tcPr>
            <w:tcW w:w="18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r>
    </w:tbl>
    <w:p>
      <w:pPr>
        <w:spacing w:after="0" w:line="338" w:lineRule="exact"/>
        <w:rPr>
          <w:sz w:val="20"/>
          <w:szCs w:val="20"/>
          <w:color w:val="auto"/>
        </w:rPr>
      </w:pPr>
    </w:p>
    <w:p>
      <w:pPr>
        <w:ind w:left="360" w:right="3719" w:hanging="351"/>
        <w:spacing w:after="0" w:line="258" w:lineRule="auto"/>
        <w:tabs>
          <w:tab w:leader="none" w:pos="36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Gross earnings equal net sales less cost of sales, including buying and occupancy costs.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20" w:right="1440" w:bottom="1440" w:gutter="0" w:footer="0" w:header="0"/>
        </w:sectPr>
      </w:pPr>
    </w:p>
    <w:bookmarkStart w:id="106" w:name="page107"/>
    <w:bookmarkEnd w:id="106"/>
    <w:p>
      <w:pPr>
        <w:ind w:left="2520"/>
        <w:spacing w:after="0"/>
        <w:rPr>
          <w:sz w:val="20"/>
          <w:szCs w:val="20"/>
          <w:color w:val="auto"/>
        </w:rPr>
      </w:pPr>
      <w:r>
        <w:rPr>
          <w:rFonts w:ascii="Courier New" w:cs="Courier New" w:eastAsia="Courier New" w:hAnsi="Courier New"/>
          <w:sz w:val="14"/>
          <w:szCs w:val="14"/>
          <w:color w:val="auto"/>
        </w:rPr>
        <w:t>(INSIDE BACK COVER)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AGENT AND REGISTRAR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1-866-606-8365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1-800-936-4237 (TDD services for the hearing impaired)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 SHAREHOLDER INQUIRIES TO:</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Shareholder Relations Department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P.O. Box 11258</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Church Street Station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York, NY 10286</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E-mail address: Shareowner-svcs@bankofny.com</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Bank of New York's Stock Transfer website:</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http://www.stockbny.com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SEND CERTIFICATES FOR TRANSFER AND ADDRESS CHANGES TO:</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Receive and Deliver Department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P.O. Box 11002</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Church Street Station</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New York, NY 10286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DEBENTURES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Promissory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7.45% Promissory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 One Trust Company, N.A.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Zero Coupon Convertible Subordinated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COUNSEL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Ropes &amp; Gray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0"/>
          <w:szCs w:val="20"/>
          <w:color w:val="auto"/>
        </w:rPr>
      </w:pPr>
    </w:p>
    <w:p>
      <w:pPr>
        <w:ind w:right="3799"/>
        <w:spacing w:after="0" w:line="252" w:lineRule="auto"/>
        <w:rPr>
          <w:sz w:val="20"/>
          <w:szCs w:val="20"/>
          <w:color w:val="auto"/>
        </w:rPr>
      </w:pPr>
      <w:r>
        <w:rPr>
          <w:rFonts w:ascii="Courier New" w:cs="Courier New" w:eastAsia="Courier New" w:hAnsi="Courier New"/>
          <w:sz w:val="14"/>
          <w:szCs w:val="14"/>
          <w:color w:val="auto"/>
        </w:rPr>
        <w:t>Information concerning the Company's operations and financial position is provided in this report and in the Form 10-K filed with the Securities and Exchange Commission. A copy of the 10-K may be obtained without charge by accessing the Company's website at www.tjx.com or by writing or calling:</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TJX Companies, Inc.</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Investor Relations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770 Cochituate Road</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Framingham, MA 01701</w:t>
      </w:r>
    </w:p>
    <w:p>
      <w:pPr>
        <w:spacing w:after="0" w:line="8" w:lineRule="exact"/>
        <w:rPr>
          <w:sz w:val="20"/>
          <w:szCs w:val="20"/>
          <w:color w:val="auto"/>
        </w:rPr>
      </w:pPr>
    </w:p>
    <w:p>
      <w:pPr>
        <w:ind w:left="960" w:hanging="517"/>
        <w:spacing w:after="0"/>
        <w:tabs>
          <w:tab w:leader="none" w:pos="96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390-2323</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INVESTOR RELATIONS</w:t>
      </w:r>
    </w:p>
    <w:p>
      <w:pPr>
        <w:spacing w:after="0" w:line="175"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Analysts and investors seeking financial data about the Company are asked to visit our corporate website at www.tjx.com or to contact:</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Sherry Lang, Vice President,</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Investor and Public Relations</w:t>
      </w:r>
    </w:p>
    <w:p>
      <w:pPr>
        <w:spacing w:after="0" w:line="8" w:lineRule="exact"/>
        <w:rPr>
          <w:sz w:val="20"/>
          <w:szCs w:val="20"/>
          <w:color w:val="auto"/>
        </w:rPr>
      </w:pPr>
    </w:p>
    <w:p>
      <w:pPr>
        <w:ind w:left="960" w:hanging="517"/>
        <w:spacing w:after="0"/>
        <w:tabs>
          <w:tab w:leader="none" w:pos="96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390-2323</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ANNUAL MEETING</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2003 annual meeting will be held at 11:00 a.m. on Tuesday, June 3, 2003 at The TJX Companies, Inc., 770 Cochituate Road, Framingham, Massachusetts.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Framingham, Massachusetts 01701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STORE NEAREST YOU, CALL: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T.J. Maxx: 1-800-2-TJMAXX</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Marshalls: 1-800-MARSHALLS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Winners: 1-877-WINN877 (in Canada)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HomeGoods: 1-800-614-HOME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T.K. Maxx: 01923 473561 (in the U.K.)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A.J. Wright: 1-888-SHOPAJW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HomeSense: 1-866-HOME707 (in Canada)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INFORMATION AND SEC FILINGS: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Visit our corporate website: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www.tjx.com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VISIT OUR DIVISIONAL WEBSITES: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www.tjmaxx.com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www.marshallsonline.com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www.tkmaxx.com</w:t>
      </w:r>
    </w:p>
    <w:p>
      <w:pPr>
        <w:sectPr>
          <w:pgSz w:w="11900" w:h="16838" w:orient="portrait"/>
          <w:cols w:equalWidth="0" w:num="1">
            <w:col w:w="10239"/>
          </w:cols>
          <w:pgMar w:left="220" w:top="453" w:right="1440" w:bottom="139" w:gutter="0" w:footer="0" w:header="0"/>
        </w:sectPr>
      </w:pPr>
    </w:p>
    <w:bookmarkStart w:id="107" w:name="page108"/>
    <w:bookmarkEnd w:id="107"/>
    <w:p>
      <w:pPr>
        <w:ind w:left="6080"/>
        <w:spacing w:after="0"/>
        <w:rPr>
          <w:sz w:val="20"/>
          <w:szCs w:val="20"/>
          <w:color w:val="auto"/>
        </w:rPr>
      </w:pPr>
      <w:r>
        <w:rPr>
          <w:rFonts w:ascii="Courier New" w:cs="Courier New" w:eastAsia="Courier New" w:hAnsi="Courier New"/>
          <w:sz w:val="14"/>
          <w:szCs w:val="14"/>
          <w:color w:val="auto"/>
        </w:rPr>
        <w:t>EXHIBIT 14</w:t>
      </w:r>
    </w:p>
    <w:p>
      <w:pPr>
        <w:spacing w:after="0" w:line="175"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April 2003</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CODE OF ETHICS FOR TJX EXECUTIVES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TJX's board of directors, stockholders, associates, customers, vendors and other business partners rely on the honesty and integrity of the Company's Chief Executive Officer, Chief Financial Officer and Principal Accounting Officer and other senior operating and financial executives. To support this trust, these individuals must commit themselves not only to the Company's Code of Conduct, which applies to all associates, but additionally to the following Code of Ethics.</w:t>
      </w:r>
    </w:p>
    <w:p>
      <w:pPr>
        <w:spacing w:after="0" w:line="33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TJX's Chief Executive Officer, Chief Financial Officer and Principal Accounting Officer and other senior operating and financial executives are expected to:</w:t>
      </w:r>
    </w:p>
    <w:p>
      <w:pPr>
        <w:spacing w:after="0" w:line="160" w:lineRule="exact"/>
        <w:rPr>
          <w:sz w:val="20"/>
          <w:szCs w:val="20"/>
          <w:color w:val="auto"/>
        </w:rPr>
      </w:pPr>
    </w:p>
    <w:p>
      <w:pPr>
        <w:ind w:left="180" w:hanging="171"/>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 at all times with honesty and integrity and handle actual or</w:t>
      </w:r>
    </w:p>
    <w:p>
      <w:pPr>
        <w:spacing w:after="0" w:line="8" w:lineRule="exact"/>
        <w:rPr>
          <w:rFonts w:ascii="Courier New" w:cs="Courier New" w:eastAsia="Courier New" w:hAnsi="Courier New"/>
          <w:sz w:val="14"/>
          <w:szCs w:val="14"/>
          <w:color w:val="auto"/>
        </w:rPr>
      </w:pPr>
    </w:p>
    <w:p>
      <w:pPr>
        <w:ind w:left="80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apparent conflicts of interest in personal and professional relationships with honesty and integrity. Promptly report to TJX's Vice President, Corporate Internal Audit Director any violations of this Code of Ethics or any material transaction or relationship that reasonably could be expected to give rise to a conflict of interest.</w:t>
      </w:r>
    </w:p>
    <w:p>
      <w:pPr>
        <w:spacing w:after="0" w:line="162" w:lineRule="exact"/>
        <w:rPr>
          <w:rFonts w:ascii="Courier New" w:cs="Courier New" w:eastAsia="Courier New" w:hAnsi="Courier New"/>
          <w:sz w:val="14"/>
          <w:szCs w:val="14"/>
          <w:color w:val="auto"/>
        </w:rPr>
      </w:pPr>
    </w:p>
    <w:p>
      <w:pPr>
        <w:ind w:left="800" w:right="3279" w:hanging="791"/>
        <w:spacing w:after="0" w:line="254" w:lineRule="auto"/>
        <w:tabs>
          <w:tab w:leader="none" w:pos="19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constituents with information that is accurate, complete, objective, relevant, timely and understandable. Assure full, fair, accurate, timely and understandable disclosure in TJX's SEC filings and other public communications.</w:t>
      </w:r>
    </w:p>
    <w:p>
      <w:pPr>
        <w:spacing w:after="0" w:line="163" w:lineRule="exact"/>
        <w:rPr>
          <w:rFonts w:ascii="Courier New" w:cs="Courier New" w:eastAsia="Courier New" w:hAnsi="Courier New"/>
          <w:sz w:val="14"/>
          <w:szCs w:val="14"/>
          <w:color w:val="auto"/>
        </w:rPr>
      </w:pPr>
    </w:p>
    <w:p>
      <w:pPr>
        <w:ind w:left="800" w:right="3119" w:hanging="791"/>
        <w:spacing w:after="0" w:line="255" w:lineRule="auto"/>
        <w:tabs>
          <w:tab w:leader="none" w:pos="19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rules and regulations of federal, state, local, provincial, national governments and other appropriate private and public regulatory agencies.</w:t>
      </w:r>
    </w:p>
    <w:p>
      <w:pPr>
        <w:spacing w:after="0" w:line="162" w:lineRule="exact"/>
        <w:rPr>
          <w:rFonts w:ascii="Courier New" w:cs="Courier New" w:eastAsia="Courier New" w:hAnsi="Courier New"/>
          <w:sz w:val="14"/>
          <w:szCs w:val="14"/>
          <w:color w:val="auto"/>
        </w:rPr>
      </w:pPr>
    </w:p>
    <w:p>
      <w:pPr>
        <w:ind w:left="800" w:right="3639" w:hanging="791"/>
        <w:spacing w:after="0" w:line="255" w:lineRule="auto"/>
        <w:tabs>
          <w:tab w:leader="none" w:pos="19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 in good faith, responsibly, with due care, competence and diligence, without misrepresenting material facts or allowing one's independent judgment to be subordinated.</w:t>
      </w:r>
    </w:p>
    <w:p>
      <w:pPr>
        <w:spacing w:after="0" w:line="162" w:lineRule="exact"/>
        <w:rPr>
          <w:rFonts w:ascii="Courier New" w:cs="Courier New" w:eastAsia="Courier New" w:hAnsi="Courier New"/>
          <w:sz w:val="14"/>
          <w:szCs w:val="14"/>
          <w:color w:val="auto"/>
        </w:rPr>
      </w:pPr>
    </w:p>
    <w:p>
      <w:pPr>
        <w:ind w:left="800" w:right="3279" w:hanging="791"/>
        <w:spacing w:after="0" w:line="254" w:lineRule="auto"/>
        <w:tabs>
          <w:tab w:leader="none" w:pos="19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-Respect the confidentiality of information acquired in the course of one's work except when authorized or otherwise legally obligated to disclose. Confidential information acquired in the course of one's work will not be used for personal advantage.</w:t>
      </w:r>
    </w:p>
    <w:p>
      <w:pPr>
        <w:spacing w:after="0" w:line="163" w:lineRule="exact"/>
        <w:rPr>
          <w:rFonts w:ascii="Courier New" w:cs="Courier New" w:eastAsia="Courier New" w:hAnsi="Courier New"/>
          <w:sz w:val="14"/>
          <w:szCs w:val="14"/>
          <w:color w:val="auto"/>
        </w:rPr>
      </w:pPr>
    </w:p>
    <w:p>
      <w:pPr>
        <w:ind w:left="800" w:right="3979" w:hanging="791"/>
        <w:spacing w:after="0" w:line="258" w:lineRule="auto"/>
        <w:tabs>
          <w:tab w:leader="none" w:pos="19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knowledge and maintain skills important and relevant to constituents' needs.</w:t>
      </w:r>
    </w:p>
    <w:p>
      <w:pPr>
        <w:spacing w:after="0" w:line="159" w:lineRule="exact"/>
        <w:rPr>
          <w:rFonts w:ascii="Courier New" w:cs="Courier New" w:eastAsia="Courier New" w:hAnsi="Courier New"/>
          <w:sz w:val="14"/>
          <w:szCs w:val="14"/>
          <w:color w:val="auto"/>
        </w:rPr>
      </w:pPr>
    </w:p>
    <w:p>
      <w:pPr>
        <w:ind w:left="800" w:right="3459" w:hanging="791"/>
        <w:spacing w:after="0" w:line="258" w:lineRule="auto"/>
        <w:tabs>
          <w:tab w:leader="none" w:pos="19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-Proactively promote ethical behavior as a responsible partner among peers, in the work environment and the community.</w:t>
      </w:r>
    </w:p>
    <w:p>
      <w:pPr>
        <w:spacing w:after="0" w:line="159" w:lineRule="exact"/>
        <w:rPr>
          <w:rFonts w:ascii="Courier New" w:cs="Courier New" w:eastAsia="Courier New" w:hAnsi="Courier New"/>
          <w:sz w:val="14"/>
          <w:szCs w:val="14"/>
          <w:color w:val="auto"/>
        </w:rPr>
      </w:pPr>
    </w:p>
    <w:p>
      <w:pPr>
        <w:ind w:left="800" w:right="3379" w:hanging="791"/>
        <w:spacing w:after="0" w:line="258" w:lineRule="auto"/>
        <w:tabs>
          <w:tab w:leader="none" w:pos="19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-Achieve responsible use of and control over all assets and resources employed or entrusted.</w:t>
      </w:r>
    </w:p>
    <w:p>
      <w:pPr>
        <w:sectPr>
          <w:pgSz w:w="11900" w:h="16838" w:orient="portrait"/>
          <w:cols w:equalWidth="0" w:num="1">
            <w:col w:w="10239"/>
          </w:cols>
          <w:pgMar w:left="220" w:top="475" w:right="1440" w:bottom="1440" w:gutter="0" w:footer="0" w:header="0"/>
        </w:sectPr>
      </w:pPr>
    </w:p>
    <w:bookmarkStart w:id="108" w:name="page109"/>
    <w:bookmarkEnd w:id="108"/>
    <w:p>
      <w:pPr>
        <w:spacing w:after="0"/>
        <w:rPr>
          <w:sz w:val="20"/>
          <w:szCs w:val="20"/>
          <w:color w:val="auto"/>
        </w:rPr>
      </w:pPr>
      <w:r>
        <w:rPr>
          <w:rFonts w:ascii="Courier New" w:cs="Courier New" w:eastAsia="Courier New" w:hAnsi="Courier New"/>
          <w:sz w:val="14"/>
          <w:szCs w:val="14"/>
          <w:color w:val="auto"/>
        </w:rPr>
        <w:t>YOUR PERSONAL COMMITMENT TO THE CODE OF ETHICS FOR TJX EXECUTIVES</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 acknowledge that I have received and read the TJX Code of Ethics for TJX Executives, dated April 2003, and understand my obligations to comply with such Code of Ethics.</w:t>
      </w:r>
    </w:p>
    <w:p>
      <w:pPr>
        <w:spacing w:after="0" w:line="162"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I understand that my agreement to comply with such Code of Ethics does not constitute a contract of employment.</w:t>
      </w:r>
    </w:p>
    <w:p>
      <w:pPr>
        <w:sectPr>
          <w:pgSz w:w="11900" w:h="16838" w:orient="portrait"/>
          <w:cols w:equalWidth="0" w:num="1">
            <w:col w:w="10239"/>
          </w:cols>
          <w:pgMar w:left="220" w:top="620"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sign here: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ectPr>
          <w:pgSz w:w="11900" w:h="16838" w:orient="portrait"/>
          <w:cols w:equalWidth="0" w:num="2">
            <w:col w:w="3460" w:space="720"/>
            <w:col w:w="6059"/>
          </w:cols>
          <w:pgMar w:left="220" w:top="620" w:right="1440" w:bottom="1440" w:gutter="0" w:footer="0" w:header="0"/>
          <w:type w:val="continuous"/>
        </w:sectPr>
      </w:pPr>
    </w:p>
    <w:p>
      <w:pPr>
        <w:ind w:left="1480"/>
        <w:spacing w:after="0"/>
        <w:rPr>
          <w:sz w:val="20"/>
          <w:szCs w:val="20"/>
          <w:color w:val="auto"/>
        </w:rPr>
      </w:pPr>
      <w:r>
        <w:rPr>
          <w:rFonts w:ascii="Courier New" w:cs="Courier New" w:eastAsia="Courier New" w:hAnsi="Courier New"/>
          <w:sz w:val="14"/>
          <w:szCs w:val="14"/>
          <w:color w:val="auto"/>
        </w:rPr>
        <w:t>_______________________________</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Please print your name:</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_________________________</w:t>
      </w:r>
    </w:p>
    <w:p>
      <w:pPr>
        <w:sectPr>
          <w:pgSz w:w="11900" w:h="16838" w:orient="portrait"/>
          <w:cols w:equalWidth="0" w:num="1">
            <w:col w:w="10239"/>
          </w:cols>
          <w:pgMar w:left="220" w:top="620" w:right="1440" w:bottom="1440" w:gutter="0" w:footer="0" w:header="0"/>
          <w:type w:val="continuous"/>
        </w:sectPr>
      </w:pPr>
    </w:p>
    <w:bookmarkStart w:id="109" w:name="page110"/>
    <w:bookmarkEnd w:id="109"/>
    <w:p>
      <w:pPr>
        <w:ind w:left="68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68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21</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SUBSIDIARIES</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All of the following subsidiaries are either directly or indirectly owned by The TJX Companies, Inc.</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STATE OR JURISDICTION</w:t>
            </w:r>
          </w:p>
        </w:tc>
        <w:tc>
          <w:tcPr>
            <w:tcW w:w="2380" w:type="dxa"/>
            <w:vAlign w:val="bottom"/>
          </w:tcPr>
          <w:p>
            <w:pPr>
              <w:ind w:left="480"/>
              <w:spacing w:after="0"/>
              <w:rPr>
                <w:sz w:val="20"/>
                <w:szCs w:val="20"/>
                <w:color w:val="auto"/>
              </w:rPr>
            </w:pPr>
            <w:r>
              <w:rPr>
                <w:rFonts w:ascii="Courier New" w:cs="Courier New" w:eastAsia="Courier New" w:hAnsi="Courier New"/>
                <w:sz w:val="14"/>
                <w:szCs w:val="14"/>
                <w:color w:val="auto"/>
              </w:rPr>
              <w:t>NAME UNDER WHICH</w:t>
            </w:r>
          </w:p>
        </w:tc>
      </w:tr>
      <w:tr>
        <w:trPr>
          <w:trHeight w:val="167"/>
        </w:trPr>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960" w:type="dxa"/>
            <w:vAlign w:val="bottom"/>
          </w:tcPr>
          <w:p>
            <w:pPr>
              <w:ind w:left="740"/>
              <w:spacing w:after="0"/>
              <w:rPr>
                <w:sz w:val="20"/>
                <w:szCs w:val="20"/>
                <w:color w:val="auto"/>
              </w:rPr>
            </w:pPr>
            <w:r>
              <w:rPr>
                <w:rFonts w:ascii="Courier New" w:cs="Courier New" w:eastAsia="Courier New" w:hAnsi="Courier New"/>
                <w:sz w:val="14"/>
                <w:szCs w:val="14"/>
                <w:color w:val="auto"/>
              </w:rPr>
              <w:t>OF INCORPORATION</w:t>
            </w:r>
          </w:p>
        </w:tc>
        <w:tc>
          <w:tcPr>
            <w:tcW w:w="2380" w:type="dxa"/>
            <w:vAlign w:val="bottom"/>
          </w:tcPr>
          <w:p>
            <w:pPr>
              <w:ind w:left="560"/>
              <w:spacing w:after="0"/>
              <w:rPr>
                <w:sz w:val="20"/>
                <w:szCs w:val="20"/>
                <w:color w:val="auto"/>
              </w:rPr>
            </w:pPr>
            <w:r>
              <w:rPr>
                <w:rFonts w:ascii="Courier New" w:cs="Courier New" w:eastAsia="Courier New" w:hAnsi="Courier New"/>
                <w:sz w:val="14"/>
                <w:szCs w:val="14"/>
                <w:color w:val="auto"/>
              </w:rPr>
              <w:t>DOES BUSINESS</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3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SUBSIDIARIES</w:t>
            </w:r>
          </w:p>
        </w:tc>
        <w:tc>
          <w:tcPr>
            <w:tcW w:w="2960" w:type="dxa"/>
            <w:vAlign w:val="bottom"/>
          </w:tcPr>
          <w:p>
            <w:pPr>
              <w:ind w:left="740"/>
              <w:spacing w:after="0"/>
              <w:rPr>
                <w:sz w:val="20"/>
                <w:szCs w:val="20"/>
                <w:color w:val="auto"/>
              </w:rPr>
            </w:pPr>
            <w:r>
              <w:rPr>
                <w:rFonts w:ascii="Courier New" w:cs="Courier New" w:eastAsia="Courier New" w:hAnsi="Courier New"/>
                <w:sz w:val="14"/>
                <w:szCs w:val="14"/>
                <w:color w:val="auto"/>
              </w:rPr>
              <w:t>OR ORGANIZATION</w:t>
            </w:r>
          </w:p>
        </w:tc>
        <w:tc>
          <w:tcPr>
            <w:tcW w:w="2380" w:type="dxa"/>
            <w:vAlign w:val="bottom"/>
          </w:tcPr>
          <w:p>
            <w:pPr>
              <w:ind w:left="560"/>
              <w:spacing w:after="0"/>
              <w:rPr>
                <w:sz w:val="20"/>
                <w:szCs w:val="20"/>
                <w:color w:val="auto"/>
              </w:rPr>
            </w:pPr>
            <w:r>
              <w:rPr>
                <w:rFonts w:ascii="Courier New" w:cs="Courier New" w:eastAsia="Courier New" w:hAnsi="Courier New"/>
                <w:sz w:val="14"/>
                <w:szCs w:val="14"/>
                <w:color w:val="auto"/>
              </w:rPr>
              <w:t>(IF DIFFERENT)</w:t>
            </w: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296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238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NBC Attire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Massachusetts</w:t>
            </w:r>
          </w:p>
        </w:tc>
        <w:tc>
          <w:tcPr>
            <w:tcW w:w="2380" w:type="dxa"/>
            <w:vAlign w:val="bottom"/>
          </w:tcPr>
          <w:p>
            <w:pPr>
              <w:spacing w:after="0"/>
              <w:rPr>
                <w:sz w:val="24"/>
                <w:szCs w:val="24"/>
                <w:color w:val="auto"/>
              </w:rPr>
            </w:pP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Newton Buying Corp.</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2380" w:type="dxa"/>
            <w:vAlign w:val="bottom"/>
          </w:tcPr>
          <w:p>
            <w:pPr>
              <w:spacing w:after="0"/>
              <w:rPr>
                <w:sz w:val="14"/>
                <w:szCs w:val="14"/>
                <w:color w:val="auto"/>
              </w:rPr>
            </w:pP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NBC Distributors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Massachusetts</w:t>
            </w:r>
          </w:p>
        </w:tc>
        <w:tc>
          <w:tcPr>
            <w:tcW w:w="2380" w:type="dxa"/>
            <w:vAlign w:val="bottom"/>
          </w:tcPr>
          <w:p>
            <w:pPr>
              <w:spacing w:after="0"/>
              <w:rPr>
                <w:sz w:val="14"/>
                <w:szCs w:val="14"/>
                <w:color w:val="auto"/>
              </w:rPr>
            </w:pP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NBC Merchants,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Indiana</w:t>
            </w:r>
          </w:p>
        </w:tc>
        <w:tc>
          <w:tcPr>
            <w:tcW w:w="2380" w:type="dxa"/>
            <w:vAlign w:val="bottom"/>
          </w:tcPr>
          <w:p>
            <w:pPr>
              <w:spacing w:after="0"/>
              <w:rPr>
                <w:sz w:val="14"/>
                <w:szCs w:val="14"/>
                <w:color w:val="auto"/>
              </w:rPr>
            </w:pP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NBC Charlotte Merchants,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North Carolina</w:t>
            </w:r>
          </w:p>
        </w:tc>
        <w:tc>
          <w:tcPr>
            <w:tcW w:w="2380" w:type="dxa"/>
            <w:vAlign w:val="bottom"/>
          </w:tcPr>
          <w:p>
            <w:pPr>
              <w:spacing w:after="0"/>
              <w:rPr>
                <w:sz w:val="14"/>
                <w:szCs w:val="14"/>
                <w:color w:val="auto"/>
              </w:rPr>
            </w:pP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NBC Nevada Merchants,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Nevada</w:t>
            </w:r>
          </w:p>
        </w:tc>
        <w:tc>
          <w:tcPr>
            <w:tcW w:w="2380" w:type="dxa"/>
            <w:vAlign w:val="bottom"/>
          </w:tcPr>
          <w:p>
            <w:pPr>
              <w:spacing w:after="0"/>
              <w:rPr>
                <w:sz w:val="14"/>
                <w:szCs w:val="14"/>
                <w:color w:val="auto"/>
              </w:rPr>
            </w:pP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NBC Philadelphia Merchants,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Pennsylvania</w:t>
            </w:r>
          </w:p>
        </w:tc>
        <w:tc>
          <w:tcPr>
            <w:tcW w:w="2380" w:type="dxa"/>
            <w:vAlign w:val="bottom"/>
          </w:tcPr>
          <w:p>
            <w:pPr>
              <w:spacing w:after="0"/>
              <w:rPr>
                <w:sz w:val="14"/>
                <w:szCs w:val="14"/>
                <w:color w:val="auto"/>
              </w:rPr>
            </w:pP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NBC Pittston</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Merchants,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Pennsylvania</w:t>
            </w:r>
          </w:p>
        </w:tc>
        <w:tc>
          <w:tcPr>
            <w:tcW w:w="2380" w:type="dxa"/>
            <w:vAlign w:val="bottom"/>
          </w:tcPr>
          <w:p>
            <w:pPr>
              <w:spacing w:after="0"/>
              <w:rPr>
                <w:sz w:val="14"/>
                <w:szCs w:val="14"/>
                <w:color w:val="auto"/>
              </w:rPr>
            </w:pP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Marmaxx Operating Corp.</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T.J. Maxx/Marshalls</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3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Atlanta Merchants,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Georgia</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3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Bridgewater Merchants,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Virginia</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3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Woburn Merchants,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Massachusetts</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MA,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Massachusetts</w:t>
            </w:r>
          </w:p>
        </w:tc>
        <w:tc>
          <w:tcPr>
            <w:tcW w:w="2380" w:type="dxa"/>
            <w:vAlign w:val="bottom"/>
          </w:tcPr>
          <w:p>
            <w:pPr>
              <w:spacing w:after="0"/>
              <w:rPr>
                <w:sz w:val="14"/>
                <w:szCs w:val="14"/>
                <w:color w:val="auto"/>
              </w:rPr>
            </w:pP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New York Department Stores</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Puerto Rico</w:t>
            </w: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Marshalls</w:t>
            </w:r>
          </w:p>
        </w:tc>
      </w:tr>
      <w:tr>
        <w:trPr>
          <w:trHeight w:val="167"/>
        </w:trPr>
        <w:tc>
          <w:tcPr>
            <w:tcW w:w="11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 Puerto</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Rico, Inc.</w:t>
            </w:r>
          </w:p>
        </w:tc>
        <w:tc>
          <w:tcPr>
            <w:tcW w:w="29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Richfield, MN,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Minnesota</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Northridge-Devonshire, CA,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California</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Glen Burnie, MD,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Maryland</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Beacon, VA,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Virginia</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Laredo, TX,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Texas</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Calumet City, IL,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Illinois</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Chicago-Clark, IL,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Illinois</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Streamwood, IL,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Illinois</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Chicago-Brickyard, IL,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Illinois</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Matteson, IL,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Illinois</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Elizabeth, NJ,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New Jersey</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Nevada,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Nevada</w:t>
            </w:r>
          </w:p>
        </w:tc>
        <w:tc>
          <w:tcPr>
            <w:tcW w:w="2380" w:type="dxa"/>
            <w:vAlign w:val="bottom"/>
          </w:tcPr>
          <w:p>
            <w:pPr>
              <w:spacing w:after="0"/>
              <w:rPr>
                <w:sz w:val="14"/>
                <w:szCs w:val="14"/>
                <w:color w:val="auto"/>
              </w:rPr>
            </w:pP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Newton Buying Company of CA,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Marshalls</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Strathmex</w:t>
            </w:r>
          </w:p>
        </w:tc>
        <w:tc>
          <w:tcPr>
            <w:tcW w:w="3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Corp.</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2380" w:type="dxa"/>
            <w:vAlign w:val="bottom"/>
          </w:tcPr>
          <w:p>
            <w:pPr>
              <w:spacing w:after="0"/>
              <w:rPr>
                <w:sz w:val="14"/>
                <w:szCs w:val="14"/>
                <w:color w:val="auto"/>
              </w:rPr>
            </w:pP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HomeGoods,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2380" w:type="dxa"/>
            <w:vAlign w:val="bottom"/>
          </w:tcPr>
          <w:p>
            <w:pPr>
              <w:spacing w:after="0"/>
              <w:rPr>
                <w:sz w:val="14"/>
                <w:szCs w:val="14"/>
                <w:color w:val="auto"/>
              </w:rPr>
            </w:pP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H.G. Merchants,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Massachusetts</w:t>
            </w:r>
          </w:p>
        </w:tc>
        <w:tc>
          <w:tcPr>
            <w:tcW w:w="2380" w:type="dxa"/>
            <w:vAlign w:val="bottom"/>
          </w:tcPr>
          <w:p>
            <w:pPr>
              <w:spacing w:after="0"/>
              <w:rPr>
                <w:sz w:val="14"/>
                <w:szCs w:val="14"/>
                <w:color w:val="auto"/>
              </w:rPr>
            </w:pP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H.G. Indiana</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Distributors,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Indiana</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HomeGoods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Puerto Rico, 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Puerto Rico</w:t>
            </w:r>
          </w:p>
        </w:tc>
        <w:tc>
          <w:tcPr>
            <w:tcW w:w="2380" w:type="dxa"/>
            <w:vAlign w:val="bottom"/>
          </w:tcPr>
          <w:p>
            <w:pPr>
              <w:spacing w:after="0"/>
              <w:rPr>
                <w:sz w:val="14"/>
                <w:szCs w:val="14"/>
                <w:color w:val="auto"/>
              </w:rPr>
            </w:pP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NBC Apparel,</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Inc.</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c>
          <w:tcPr>
            <w:tcW w:w="2380" w:type="dxa"/>
            <w:vAlign w:val="bottom"/>
          </w:tcPr>
          <w:p>
            <w:pPr>
              <w:spacing w:after="0"/>
              <w:rPr>
                <w:sz w:val="14"/>
                <w:szCs w:val="14"/>
                <w:color w:val="auto"/>
              </w:rPr>
            </w:pP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NBC Apparel</w:t>
            </w:r>
          </w:p>
        </w:tc>
        <w:tc>
          <w:tcPr>
            <w:tcW w:w="3200" w:type="dxa"/>
            <w:vAlign w:val="bottom"/>
          </w:tcPr>
          <w:p>
            <w:pPr>
              <w:spacing w:after="0"/>
              <w:rPr>
                <w:sz w:val="14"/>
                <w:szCs w:val="14"/>
                <w:color w:val="auto"/>
              </w:rPr>
            </w:pP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United Kingdom</w:t>
            </w: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T.K. Maxx</w:t>
            </w: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NBC Apparel Group Limited</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United Kingdom</w:t>
            </w:r>
          </w:p>
        </w:tc>
        <w:tc>
          <w:tcPr>
            <w:tcW w:w="238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T.K. Maxx</w:t>
            </w:r>
          </w:p>
        </w:tc>
        <w:tc>
          <w:tcPr>
            <w:tcW w:w="2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United Kingdom</w:t>
            </w:r>
          </w:p>
        </w:tc>
        <w:tc>
          <w:tcPr>
            <w:tcW w:w="2380" w:type="dxa"/>
            <w:vAlign w:val="bottom"/>
          </w:tcPr>
          <w:p>
            <w:pPr>
              <w:spacing w:after="0"/>
              <w:rPr>
                <w:sz w:val="14"/>
                <w:szCs w:val="14"/>
                <w:color w:val="auto"/>
              </w:rPr>
            </w:pP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NBC Apparel Management Limited</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United Kingdom</w:t>
            </w:r>
          </w:p>
        </w:tc>
        <w:tc>
          <w:tcPr>
            <w:tcW w:w="2380" w:type="dxa"/>
            <w:vAlign w:val="bottom"/>
          </w:tcPr>
          <w:p>
            <w:pPr>
              <w:spacing w:after="0"/>
              <w:rPr>
                <w:sz w:val="14"/>
                <w:szCs w:val="14"/>
                <w:color w:val="auto"/>
              </w:rPr>
            </w:pPr>
          </w:p>
        </w:tc>
      </w:tr>
      <w:tr>
        <w:trPr>
          <w:trHeight w:val="167"/>
        </w:trPr>
        <w:tc>
          <w:tcPr>
            <w:tcW w:w="4300" w:type="dxa"/>
            <w:vAlign w:val="bottom"/>
            <w:gridSpan w:val="3"/>
          </w:tcPr>
          <w:p>
            <w:pPr>
              <w:spacing w:after="0"/>
              <w:rPr>
                <w:sz w:val="20"/>
                <w:szCs w:val="20"/>
                <w:color w:val="auto"/>
              </w:rPr>
            </w:pPr>
            <w:r>
              <w:rPr>
                <w:rFonts w:ascii="Courier New" w:cs="Courier New" w:eastAsia="Courier New" w:hAnsi="Courier New"/>
                <w:sz w:val="14"/>
                <w:szCs w:val="14"/>
                <w:color w:val="auto"/>
              </w:rPr>
              <w:t>TJX Netherlands B.V.</w:t>
            </w:r>
          </w:p>
        </w:tc>
        <w:tc>
          <w:tcPr>
            <w:tcW w:w="2960" w:type="dxa"/>
            <w:vAlign w:val="bottom"/>
          </w:tcPr>
          <w:p>
            <w:pPr>
              <w:ind w:left="480"/>
              <w:spacing w:after="0"/>
              <w:rPr>
                <w:sz w:val="20"/>
                <w:szCs w:val="20"/>
                <w:color w:val="auto"/>
              </w:rPr>
            </w:pPr>
            <w:r>
              <w:rPr>
                <w:rFonts w:ascii="Courier New" w:cs="Courier New" w:eastAsia="Courier New" w:hAnsi="Courier New"/>
                <w:sz w:val="14"/>
                <w:szCs w:val="14"/>
                <w:color w:val="auto"/>
              </w:rPr>
              <w:t>Netherlands</w:t>
            </w:r>
          </w:p>
        </w:tc>
        <w:tc>
          <w:tcPr>
            <w:tcW w:w="2380" w:type="dxa"/>
            <w:vAlign w:val="bottom"/>
          </w:tcPr>
          <w:p>
            <w:pPr>
              <w:ind w:left="740"/>
              <w:spacing w:after="0"/>
              <w:rPr>
                <w:sz w:val="20"/>
                <w:szCs w:val="20"/>
                <w:color w:val="auto"/>
              </w:rPr>
            </w:pPr>
            <w:r>
              <w:rPr>
                <w:rFonts w:ascii="Courier New" w:cs="Courier New" w:eastAsia="Courier New" w:hAnsi="Courier New"/>
                <w:sz w:val="14"/>
                <w:szCs w:val="14"/>
                <w:color w:val="auto"/>
              </w:rPr>
              <w:t>T.K. Maxx</w:t>
            </w:r>
          </w:p>
        </w:tc>
      </w:tr>
      <w:tr>
        <w:trPr>
          <w:trHeight w:val="501"/>
        </w:trPr>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0" w:type="dxa"/>
            <w:vAlign w:val="bottom"/>
          </w:tcPr>
          <w:p>
            <w:pPr>
              <w:ind w:left="2200"/>
              <w:spacing w:after="0"/>
              <w:rPr>
                <w:sz w:val="20"/>
                <w:szCs w:val="20"/>
                <w:color w:val="auto"/>
              </w:rPr>
            </w:pPr>
            <w:r>
              <w:rPr>
                <w:rFonts w:ascii="Courier New" w:cs="Courier New" w:eastAsia="Courier New" w:hAnsi="Courier New"/>
                <w:sz w:val="14"/>
                <w:szCs w:val="14"/>
                <w:color w:val="auto"/>
              </w:rPr>
              <w:t>-1-</w:t>
            </w:r>
          </w:p>
        </w:tc>
        <w:tc>
          <w:tcPr>
            <w:tcW w:w="296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ectPr>
          <w:pgSz w:w="11900" w:h="16838" w:orient="portrait"/>
          <w:cols w:equalWidth="0" w:num="1">
            <w:col w:w="10239"/>
          </w:cols>
          <w:pgMar w:left="220" w:top="308" w:right="1440"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60" w:type="dxa"/>
            <w:vAlign w:val="bottom"/>
          </w:tcPr>
          <w:p>
            <w:pPr>
              <w:ind w:left="2820"/>
              <w:spacing w:after="0"/>
              <w:rPr>
                <w:sz w:val="20"/>
                <w:szCs w:val="20"/>
                <w:color w:val="auto"/>
              </w:rPr>
            </w:pPr>
            <w:r>
              <w:rPr>
                <w:rFonts w:ascii="Courier New" w:cs="Courier New" w:eastAsia="Courier New" w:hAnsi="Courier New"/>
                <w:sz w:val="14"/>
                <w:szCs w:val="14"/>
                <w:color w:val="auto"/>
              </w:rPr>
              <w:t>EXHIBIT 21</w:t>
            </w:r>
          </w:p>
        </w:tc>
        <w:tc>
          <w:tcPr>
            <w:tcW w:w="2120" w:type="dxa"/>
            <w:vAlign w:val="bottom"/>
          </w:tcPr>
          <w:p>
            <w:pPr>
              <w:spacing w:after="0"/>
              <w:rPr>
                <w:sz w:val="14"/>
                <w:szCs w:val="14"/>
                <w:color w:val="auto"/>
              </w:rPr>
            </w:pPr>
          </w:p>
        </w:tc>
      </w:tr>
      <w:tr>
        <w:trPr>
          <w:trHeight w:val="668"/>
        </w:trPr>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STATE OR JURISDICTION</w:t>
            </w:r>
          </w:p>
        </w:tc>
        <w:tc>
          <w:tcPr>
            <w:tcW w:w="2120" w:type="dxa"/>
            <w:vAlign w:val="bottom"/>
          </w:tcPr>
          <w:p>
            <w:pPr>
              <w:ind w:left="560"/>
              <w:spacing w:after="0"/>
              <w:rPr>
                <w:sz w:val="20"/>
                <w:szCs w:val="20"/>
                <w:color w:val="auto"/>
              </w:rPr>
            </w:pPr>
            <w:r>
              <w:rPr>
                <w:rFonts w:ascii="Courier New" w:cs="Courier New" w:eastAsia="Courier New" w:hAnsi="Courier New"/>
                <w:sz w:val="14"/>
                <w:szCs w:val="14"/>
                <w:color w:val="auto"/>
              </w:rPr>
              <w:t>NAME UNDER WHICH</w:t>
            </w:r>
          </w:p>
        </w:tc>
      </w:tr>
      <w:tr>
        <w:trPr>
          <w:trHeight w:val="167"/>
        </w:trPr>
        <w:tc>
          <w:tcPr>
            <w:tcW w:w="8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260" w:type="dxa"/>
            <w:vAlign w:val="bottom"/>
          </w:tcPr>
          <w:p>
            <w:pPr>
              <w:ind w:left="1700"/>
              <w:spacing w:after="0"/>
              <w:rPr>
                <w:sz w:val="20"/>
                <w:szCs w:val="20"/>
                <w:color w:val="auto"/>
              </w:rPr>
            </w:pPr>
            <w:r>
              <w:rPr>
                <w:rFonts w:ascii="Courier New" w:cs="Courier New" w:eastAsia="Courier New" w:hAnsi="Courier New"/>
                <w:sz w:val="14"/>
                <w:szCs w:val="14"/>
                <w:color w:val="auto"/>
              </w:rPr>
              <w:t>OF INCORPORATION</w:t>
            </w:r>
          </w:p>
        </w:tc>
        <w:tc>
          <w:tcPr>
            <w:tcW w:w="2120" w:type="dxa"/>
            <w:vAlign w:val="bottom"/>
          </w:tcPr>
          <w:p>
            <w:pPr>
              <w:ind w:left="640"/>
              <w:spacing w:after="0"/>
              <w:rPr>
                <w:sz w:val="20"/>
                <w:szCs w:val="20"/>
                <w:color w:val="auto"/>
              </w:rPr>
            </w:pPr>
            <w:r>
              <w:rPr>
                <w:rFonts w:ascii="Courier New" w:cs="Courier New" w:eastAsia="Courier New" w:hAnsi="Courier New"/>
                <w:sz w:val="14"/>
                <w:szCs w:val="14"/>
                <w:color w:val="auto"/>
              </w:rPr>
              <w:t>DOES BUSINESS</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c>
          <w:tcPr>
            <w:tcW w:w="4260" w:type="dxa"/>
            <w:vAlign w:val="bottom"/>
          </w:tcPr>
          <w:p>
            <w:pPr>
              <w:ind w:left="1780"/>
              <w:spacing w:after="0"/>
              <w:rPr>
                <w:sz w:val="20"/>
                <w:szCs w:val="20"/>
                <w:color w:val="auto"/>
              </w:rPr>
            </w:pPr>
            <w:r>
              <w:rPr>
                <w:rFonts w:ascii="Courier New" w:cs="Courier New" w:eastAsia="Courier New" w:hAnsi="Courier New"/>
                <w:sz w:val="14"/>
                <w:szCs w:val="14"/>
                <w:color w:val="auto"/>
              </w:rPr>
              <w:t>OR ORGANIZATION</w:t>
            </w:r>
          </w:p>
        </w:tc>
        <w:tc>
          <w:tcPr>
            <w:tcW w:w="2120" w:type="dxa"/>
            <w:vAlign w:val="bottom"/>
          </w:tcPr>
          <w:p>
            <w:pPr>
              <w:ind w:left="640"/>
              <w:spacing w:after="0"/>
              <w:rPr>
                <w:sz w:val="20"/>
                <w:szCs w:val="20"/>
                <w:color w:val="auto"/>
              </w:rPr>
            </w:pPr>
            <w:r>
              <w:rPr>
                <w:rFonts w:ascii="Courier New" w:cs="Courier New" w:eastAsia="Courier New" w:hAnsi="Courier New"/>
                <w:sz w:val="14"/>
                <w:szCs w:val="14"/>
                <w:color w:val="auto"/>
              </w:rPr>
              <w:t>(IF DIFFERENT)</w:t>
            </w: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260" w:type="dxa"/>
            <w:vAlign w:val="bottom"/>
          </w:tcPr>
          <w:p>
            <w:pPr>
              <w:ind w:left="170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ind w:left="640"/>
              <w:spacing w:after="0"/>
              <w:rPr>
                <w:sz w:val="20"/>
                <w:szCs w:val="20"/>
                <w:color w:val="auto"/>
              </w:rPr>
            </w:pPr>
            <w:r>
              <w:rPr>
                <w:rFonts w:ascii="Courier New" w:cs="Courier New" w:eastAsia="Courier New" w:hAnsi="Courier New"/>
                <w:sz w:val="14"/>
                <w:szCs w:val="14"/>
                <w:color w:val="auto"/>
              </w:rPr>
              <w:t>-----------------</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T.K. Maxx</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Ireland</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Ireland</w:t>
            </w:r>
          </w:p>
        </w:tc>
        <w:tc>
          <w:tcPr>
            <w:tcW w:w="2120" w:type="dxa"/>
            <w:vAlign w:val="bottom"/>
          </w:tcPr>
          <w:p>
            <w:pPr>
              <w:spacing w:after="0"/>
              <w:rPr>
                <w:sz w:val="24"/>
                <w:szCs w:val="2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Concord Buying Group, Inc.</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New Hampshire</w:t>
            </w:r>
          </w:p>
        </w:tc>
        <w:tc>
          <w:tcPr>
            <w:tcW w:w="2120" w:type="dxa"/>
            <w:vAlign w:val="bottom"/>
          </w:tcPr>
          <w:p>
            <w:pPr>
              <w:ind w:left="820"/>
              <w:spacing w:after="0"/>
              <w:rPr>
                <w:sz w:val="20"/>
                <w:szCs w:val="20"/>
                <w:color w:val="auto"/>
              </w:rPr>
            </w:pPr>
            <w:r>
              <w:rPr>
                <w:rFonts w:ascii="Courier New" w:cs="Courier New" w:eastAsia="Courier New" w:hAnsi="Courier New"/>
                <w:sz w:val="14"/>
                <w:szCs w:val="14"/>
                <w:color w:val="auto"/>
              </w:rPr>
              <w:t>A.J. Wright</w:t>
            </w: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AJW Merchants Inc.</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Massachusetts</w:t>
            </w:r>
          </w:p>
        </w:tc>
        <w:tc>
          <w:tcPr>
            <w:tcW w:w="2120" w:type="dxa"/>
            <w:vAlign w:val="bottom"/>
          </w:tcPr>
          <w:p>
            <w:pPr>
              <w:ind w:left="820"/>
              <w:spacing w:after="0"/>
              <w:rPr>
                <w:sz w:val="20"/>
                <w:szCs w:val="20"/>
                <w:color w:val="auto"/>
              </w:rPr>
            </w:pPr>
            <w:r>
              <w:rPr>
                <w:rFonts w:ascii="Courier New" w:cs="Courier New" w:eastAsia="Courier New" w:hAnsi="Courier New"/>
                <w:sz w:val="14"/>
                <w:szCs w:val="14"/>
                <w:color w:val="auto"/>
              </w:rPr>
              <w:t>A.J. Wright</w:t>
            </w: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NBC Manager, LLC</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Delaware</w:t>
            </w:r>
          </w:p>
        </w:tc>
        <w:tc>
          <w:tcPr>
            <w:tcW w:w="212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NBC Trust</w:t>
            </w:r>
          </w:p>
        </w:tc>
        <w:tc>
          <w:tcPr>
            <w:tcW w:w="2420" w:type="dxa"/>
            <w:vAlign w:val="bottom"/>
          </w:tcPr>
          <w:p>
            <w:pPr>
              <w:spacing w:after="0"/>
              <w:rPr>
                <w:sz w:val="14"/>
                <w:szCs w:val="14"/>
                <w:color w:val="auto"/>
              </w:rPr>
            </w:pP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Massachusetts</w:t>
            </w:r>
          </w:p>
        </w:tc>
        <w:tc>
          <w:tcPr>
            <w:tcW w:w="212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NBC Operating, LLC</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Delaware</w:t>
            </w:r>
          </w:p>
        </w:tc>
        <w:tc>
          <w:tcPr>
            <w:tcW w:w="212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T.J. Maxx</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of CA, LLC</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Delaware</w:t>
            </w:r>
          </w:p>
        </w:tc>
        <w:tc>
          <w:tcPr>
            <w:tcW w:w="212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T.J. Maxx</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of IL, LLC</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Delaware</w:t>
            </w:r>
          </w:p>
        </w:tc>
        <w:tc>
          <w:tcPr>
            <w:tcW w:w="212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of CA, LLC</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Delaware</w:t>
            </w:r>
          </w:p>
        </w:tc>
        <w:tc>
          <w:tcPr>
            <w:tcW w:w="212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Marshalls</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of IL, LLC</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Delaware</w:t>
            </w:r>
          </w:p>
        </w:tc>
        <w:tc>
          <w:tcPr>
            <w:tcW w:w="212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NYDS, LLC</w:t>
            </w:r>
          </w:p>
        </w:tc>
        <w:tc>
          <w:tcPr>
            <w:tcW w:w="2420" w:type="dxa"/>
            <w:vAlign w:val="bottom"/>
          </w:tcPr>
          <w:p>
            <w:pPr>
              <w:spacing w:after="0"/>
              <w:rPr>
                <w:sz w:val="14"/>
                <w:szCs w:val="14"/>
                <w:color w:val="auto"/>
              </w:rPr>
            </w:pP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Delaware</w:t>
            </w:r>
          </w:p>
        </w:tc>
        <w:tc>
          <w:tcPr>
            <w:tcW w:w="212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AJW South</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Bend Merchants, Inc.</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Indiana</w:t>
            </w:r>
          </w:p>
        </w:tc>
        <w:tc>
          <w:tcPr>
            <w:tcW w:w="212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WMI-1 Holding Company</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Nova Scotia, Canada</w:t>
            </w:r>
          </w:p>
        </w:tc>
        <w:tc>
          <w:tcPr>
            <w:tcW w:w="212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WMI-99 Holding Company</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Nova Scotia, Canada</w:t>
            </w:r>
          </w:p>
        </w:tc>
        <w:tc>
          <w:tcPr>
            <w:tcW w:w="212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Winners Merchants International, L.P.</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Ontaria, Canada</w:t>
            </w:r>
          </w:p>
        </w:tc>
        <w:tc>
          <w:tcPr>
            <w:tcW w:w="212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NBC Holding, Inc.</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Delaware</w:t>
            </w:r>
          </w:p>
        </w:tc>
        <w:tc>
          <w:tcPr>
            <w:tcW w:w="2120" w:type="dxa"/>
            <w:vAlign w:val="bottom"/>
          </w:tcPr>
          <w:p>
            <w:pPr>
              <w:spacing w:after="0"/>
              <w:rPr>
                <w:sz w:val="14"/>
                <w:szCs w:val="14"/>
                <w:color w:val="auto"/>
              </w:rPr>
            </w:pPr>
          </w:p>
        </w:tc>
      </w:tr>
      <w:tr>
        <w:trPr>
          <w:trHeight w:val="501"/>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LEASING SUBSIDIARIES</w:t>
            </w:r>
          </w:p>
        </w:tc>
        <w:tc>
          <w:tcPr>
            <w:tcW w:w="42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34"/>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Cochituate Realty, Inc.</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Massachusetts</w:t>
            </w:r>
          </w:p>
        </w:tc>
        <w:tc>
          <w:tcPr>
            <w:tcW w:w="2120" w:type="dxa"/>
            <w:vAlign w:val="bottom"/>
          </w:tcPr>
          <w:p>
            <w:pPr>
              <w:spacing w:after="0"/>
              <w:rPr>
                <w:sz w:val="24"/>
                <w:szCs w:val="2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NBC First</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Realty Corp.</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Indiana</w:t>
            </w:r>
          </w:p>
        </w:tc>
        <w:tc>
          <w:tcPr>
            <w:tcW w:w="212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NBC Second Realty Corp.</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Massachusetts</w:t>
            </w:r>
          </w:p>
        </w:tc>
        <w:tc>
          <w:tcPr>
            <w:tcW w:w="212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NBC Fourth Realty Corp.</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Nevada</w:t>
            </w:r>
          </w:p>
        </w:tc>
        <w:tc>
          <w:tcPr>
            <w:tcW w:w="212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NBC Fifth</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Realty Corp.</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Illinois</w:t>
            </w:r>
          </w:p>
        </w:tc>
        <w:tc>
          <w:tcPr>
            <w:tcW w:w="212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NBC Sixth</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Realty Corp.</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North Carolina</w:t>
            </w:r>
          </w:p>
        </w:tc>
        <w:tc>
          <w:tcPr>
            <w:tcW w:w="212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NBC Seventh Realty Corp.</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Pennsylvania</w:t>
            </w:r>
          </w:p>
        </w:tc>
        <w:tc>
          <w:tcPr>
            <w:tcW w:w="212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AJW Realty of Fall River, Inc.</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Massachusetts</w:t>
            </w:r>
          </w:p>
        </w:tc>
        <w:tc>
          <w:tcPr>
            <w:tcW w:w="212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H.G. Brownsburg Realty Corp.</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Indiana</w:t>
            </w:r>
          </w:p>
        </w:tc>
        <w:tc>
          <w:tcPr>
            <w:tcW w:w="2120" w:type="dxa"/>
            <w:vAlign w:val="bottom"/>
          </w:tcPr>
          <w:p>
            <w:pPr>
              <w:spacing w:after="0"/>
              <w:rPr>
                <w:sz w:val="14"/>
                <w:szCs w:val="14"/>
                <w:color w:val="auto"/>
              </w:rPr>
            </w:pP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H.G. Conn. Realty Corp.</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Delaware</w:t>
            </w:r>
          </w:p>
        </w:tc>
        <w:tc>
          <w:tcPr>
            <w:tcW w:w="2120" w:type="dxa"/>
            <w:vAlign w:val="bottom"/>
          </w:tcPr>
          <w:p>
            <w:pPr>
              <w:spacing w:after="0"/>
              <w:rPr>
                <w:sz w:val="14"/>
                <w:szCs w:val="14"/>
                <w:color w:val="auto"/>
              </w:rPr>
            </w:pP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AJW South</w:t>
            </w:r>
          </w:p>
        </w:tc>
        <w:tc>
          <w:tcPr>
            <w:tcW w:w="2420" w:type="dxa"/>
            <w:vAlign w:val="bottom"/>
          </w:tcPr>
          <w:p>
            <w:pPr>
              <w:ind w:left="40"/>
              <w:spacing w:after="0"/>
              <w:rPr>
                <w:sz w:val="20"/>
                <w:szCs w:val="20"/>
                <w:color w:val="auto"/>
              </w:rPr>
            </w:pPr>
            <w:r>
              <w:rPr>
                <w:rFonts w:ascii="Courier New" w:cs="Courier New" w:eastAsia="Courier New" w:hAnsi="Courier New"/>
                <w:sz w:val="14"/>
                <w:szCs w:val="14"/>
                <w:color w:val="auto"/>
              </w:rPr>
              <w:t>Bend Realty Corp.</w:t>
            </w:r>
          </w:p>
        </w:tc>
        <w:tc>
          <w:tcPr>
            <w:tcW w:w="4260" w:type="dxa"/>
            <w:vAlign w:val="bottom"/>
          </w:tcPr>
          <w:p>
            <w:pPr>
              <w:ind w:left="1520"/>
              <w:spacing w:after="0"/>
              <w:rPr>
                <w:sz w:val="20"/>
                <w:szCs w:val="20"/>
                <w:color w:val="auto"/>
              </w:rPr>
            </w:pPr>
            <w:r>
              <w:rPr>
                <w:rFonts w:ascii="Courier New" w:cs="Courier New" w:eastAsia="Courier New" w:hAnsi="Courier New"/>
                <w:sz w:val="14"/>
                <w:szCs w:val="14"/>
                <w:color w:val="auto"/>
              </w:rPr>
              <w:t>Indiana</w:t>
            </w:r>
          </w:p>
        </w:tc>
        <w:tc>
          <w:tcPr>
            <w:tcW w:w="2120" w:type="dxa"/>
            <w:vAlign w:val="bottom"/>
          </w:tcPr>
          <w:p>
            <w:pPr>
              <w:spacing w:after="0"/>
              <w:rPr>
                <w:sz w:val="14"/>
                <w:szCs w:val="14"/>
                <w:color w:val="auto"/>
              </w:rPr>
            </w:pPr>
          </w:p>
        </w:tc>
      </w:tr>
      <w:tr>
        <w:trPr>
          <w:trHeight w:val="501"/>
        </w:trPr>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26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212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111" w:name="page112"/>
    <w:bookmarkEnd w:id="111"/>
    <w:p>
      <w:pPr>
        <w:jc w:val="right"/>
        <w:ind w:right="3279"/>
        <w:spacing w:after="0"/>
        <w:rPr>
          <w:sz w:val="20"/>
          <w:szCs w:val="20"/>
          <w:color w:val="auto"/>
        </w:rPr>
      </w:pPr>
      <w:r>
        <w:rPr>
          <w:rFonts w:ascii="Courier New" w:cs="Courier New" w:eastAsia="Courier New" w:hAnsi="Courier New"/>
          <w:sz w:val="14"/>
          <w:szCs w:val="14"/>
          <w:color w:val="auto"/>
        </w:rPr>
        <w:t>EXHIBIT 24</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KNOW ALL MEN BY THESE PRESENTS, that each person whose signature appears below constitutes and appoints Edmond English and Donald G. Campbell and each of them, his or her true and lawful attorneys-in-fact and agents, with full power of substitution and resubstitution, for him or her and in his or her name, place and stead, in any and all capacities, to sign the form 10-K to be filed by The TJX Companies, Inc. for the fiscal year ended January 25, 2003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ectPr>
          <w:pgSz w:w="11900" w:h="16838" w:orient="portrait"/>
          <w:cols w:equalWidth="0" w:num="1">
            <w:col w:w="10239"/>
          </w:cols>
          <w:pgMar w:left="220" w:top="475" w:right="1440" w:bottom="1440" w:gutter="0" w:footer="0" w:header="0"/>
        </w:sectPr>
      </w:pPr>
    </w:p>
    <w:p>
      <w:pPr>
        <w:spacing w:after="0" w:line="163" w:lineRule="exact"/>
        <w:rPr>
          <w:sz w:val="20"/>
          <w:szCs w:val="20"/>
          <w:color w:val="auto"/>
        </w:rPr>
      </w:pPr>
    </w:p>
    <w:p>
      <w:pPr>
        <w:ind w:right="240"/>
        <w:spacing w:after="0" w:line="254" w:lineRule="auto"/>
        <w:rPr>
          <w:sz w:val="20"/>
          <w:szCs w:val="20"/>
          <w:color w:val="auto"/>
        </w:rPr>
      </w:pPr>
      <w:r>
        <w:rPr>
          <w:rFonts w:ascii="Courier New" w:cs="Courier New" w:eastAsia="Courier New" w:hAnsi="Courier New"/>
          <w:sz w:val="14"/>
          <w:szCs w:val="14"/>
          <w:color w:val="auto"/>
        </w:rPr>
        <w:t>/s/ Edmond English ______________________________ Edmond English, President, Principal Executive Officer and Director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Donald G. Campbell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G. Campbell, Executive Vice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President-Finance, Principal Financial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Accounting Officer</w:t>
      </w:r>
    </w:p>
    <w:p>
      <w:pPr>
        <w:spacing w:after="0" w:line="175" w:lineRule="exact"/>
        <w:rPr>
          <w:sz w:val="20"/>
          <w:szCs w:val="20"/>
          <w:color w:val="auto"/>
        </w:rPr>
      </w:pPr>
    </w:p>
    <w:p>
      <w:pPr>
        <w:sectPr>
          <w:pgSz w:w="11900" w:h="16838" w:orient="portrait"/>
          <w:cols w:equalWidth="0" w:num="2">
            <w:col w:w="2940" w:space="720"/>
            <w:col w:w="6579"/>
          </w:cols>
          <w:pgMar w:left="220" w:top="475" w:right="1440" w:bottom="1440" w:gutter="0" w:footer="0" w:header="0"/>
          <w:type w:val="continuous"/>
        </w:sectPr>
      </w:pPr>
    </w:p>
    <w:p>
      <w:pPr>
        <w:ind w:right="320"/>
        <w:spacing w:after="0" w:line="255" w:lineRule="auto"/>
        <w:rPr>
          <w:sz w:val="20"/>
          <w:szCs w:val="20"/>
          <w:color w:val="auto"/>
        </w:rPr>
      </w:pPr>
      <w:r>
        <w:rPr>
          <w:rFonts w:ascii="Courier New" w:cs="Courier New" w:eastAsia="Courier New" w:hAnsi="Courier New"/>
          <w:sz w:val="14"/>
          <w:szCs w:val="14"/>
          <w:color w:val="auto"/>
        </w:rPr>
        <w:t>/s/ David A. Brandon ______________________________ David A. Brandon,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Richard Lesser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Richard Lesser, Director</w:t>
      </w:r>
    </w:p>
    <w:p>
      <w:pPr>
        <w:spacing w:after="0" w:line="175" w:lineRule="exact"/>
        <w:rPr>
          <w:sz w:val="20"/>
          <w:szCs w:val="20"/>
          <w:color w:val="auto"/>
        </w:rPr>
      </w:pPr>
    </w:p>
    <w:p>
      <w:pPr>
        <w:sectPr>
          <w:pgSz w:w="11900" w:h="16838" w:orient="portrait"/>
          <w:cols w:equalWidth="0" w:num="2">
            <w:col w:w="2940" w:space="720"/>
            <w:col w:w="6579"/>
          </w:cols>
          <w:pgMar w:left="220" w:top="475" w:right="1440" w:bottom="1440" w:gutter="0" w:footer="0" w:header="0"/>
          <w:type w:val="continuous"/>
        </w:sectPr>
      </w:pPr>
    </w:p>
    <w:p>
      <w:pPr>
        <w:ind w:right="320"/>
        <w:spacing w:after="0" w:line="255" w:lineRule="auto"/>
        <w:rPr>
          <w:sz w:val="20"/>
          <w:szCs w:val="20"/>
          <w:color w:val="auto"/>
        </w:rPr>
      </w:pPr>
      <w:r>
        <w:rPr>
          <w:rFonts w:ascii="Courier New" w:cs="Courier New" w:eastAsia="Courier New" w:hAnsi="Courier New"/>
          <w:sz w:val="14"/>
          <w:szCs w:val="14"/>
          <w:color w:val="auto"/>
        </w:rPr>
        <w:t>/s/ Bernard Cammarata ______________________________ Bernard Cammarata,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John F. O'Brien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F. O'Brien, Director</w:t>
      </w:r>
    </w:p>
    <w:p>
      <w:pPr>
        <w:spacing w:after="0" w:line="175" w:lineRule="exact"/>
        <w:rPr>
          <w:sz w:val="20"/>
          <w:szCs w:val="20"/>
          <w:color w:val="auto"/>
        </w:rPr>
      </w:pPr>
    </w:p>
    <w:p>
      <w:pPr>
        <w:sectPr>
          <w:pgSz w:w="11900" w:h="16838" w:orient="portrait"/>
          <w:cols w:equalWidth="0" w:num="2">
            <w:col w:w="2940" w:space="720"/>
            <w:col w:w="6579"/>
          </w:cols>
          <w:pgMar w:left="220" w:top="475" w:right="1440" w:bottom="1440" w:gutter="0" w:footer="0" w:header="0"/>
          <w:type w:val="continuous"/>
        </w:sectPr>
      </w:pPr>
    </w:p>
    <w:p>
      <w:pPr>
        <w:ind w:right="320"/>
        <w:spacing w:after="0" w:line="255" w:lineRule="auto"/>
        <w:rPr>
          <w:sz w:val="20"/>
          <w:szCs w:val="20"/>
          <w:color w:val="auto"/>
        </w:rPr>
      </w:pPr>
      <w:r>
        <w:rPr>
          <w:rFonts w:ascii="Courier New" w:cs="Courier New" w:eastAsia="Courier New" w:hAnsi="Courier New"/>
          <w:sz w:val="14"/>
          <w:szCs w:val="14"/>
          <w:color w:val="auto"/>
        </w:rPr>
        <w:t>/s/ Gary Crittenden ______________________________ Gary Crittenden,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Robert F. Shapiro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F. Shapiro, Director</w:t>
      </w:r>
    </w:p>
    <w:p>
      <w:pPr>
        <w:spacing w:after="0" w:line="175" w:lineRule="exact"/>
        <w:rPr>
          <w:sz w:val="20"/>
          <w:szCs w:val="20"/>
          <w:color w:val="auto"/>
        </w:rPr>
      </w:pPr>
    </w:p>
    <w:p>
      <w:pPr>
        <w:sectPr>
          <w:pgSz w:w="11900" w:h="16838" w:orient="portrait"/>
          <w:cols w:equalWidth="0" w:num="2">
            <w:col w:w="2940" w:space="720"/>
            <w:col w:w="6579"/>
          </w:cols>
          <w:pgMar w:left="220" w:top="475" w:right="1440" w:bottom="1440" w:gutter="0" w:footer="0" w:header="0"/>
          <w:type w:val="continuous"/>
        </w:sectPr>
      </w:pPr>
    </w:p>
    <w:p>
      <w:pPr>
        <w:ind w:right="320"/>
        <w:spacing w:after="0" w:line="255" w:lineRule="auto"/>
        <w:rPr>
          <w:sz w:val="20"/>
          <w:szCs w:val="20"/>
          <w:color w:val="auto"/>
        </w:rPr>
      </w:pPr>
      <w:r>
        <w:rPr>
          <w:rFonts w:ascii="Courier New" w:cs="Courier New" w:eastAsia="Courier New" w:hAnsi="Courier New"/>
          <w:sz w:val="14"/>
          <w:szCs w:val="14"/>
          <w:color w:val="auto"/>
        </w:rPr>
        <w:t>/s/ Gail Deegan ______________________________ Gail Deegan,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Willow B. Shire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Willow B. Shire, Director</w:t>
      </w:r>
    </w:p>
    <w:p>
      <w:pPr>
        <w:spacing w:after="0" w:line="175" w:lineRule="exact"/>
        <w:rPr>
          <w:sz w:val="20"/>
          <w:szCs w:val="20"/>
          <w:color w:val="auto"/>
        </w:rPr>
      </w:pPr>
    </w:p>
    <w:p>
      <w:pPr>
        <w:sectPr>
          <w:pgSz w:w="11900" w:h="16838" w:orient="portrait"/>
          <w:cols w:equalWidth="0" w:num="2">
            <w:col w:w="2940" w:space="720"/>
            <w:col w:w="6579"/>
          </w:cols>
          <w:pgMar w:left="220" w:top="475" w:right="1440" w:bottom="1440" w:gutter="0" w:footer="0" w:header="0"/>
          <w:type w:val="continuous"/>
        </w:sectPr>
      </w:pPr>
    </w:p>
    <w:p>
      <w:pPr>
        <w:ind w:right="320"/>
        <w:spacing w:after="0" w:line="255" w:lineRule="auto"/>
        <w:rPr>
          <w:sz w:val="20"/>
          <w:szCs w:val="20"/>
          <w:color w:val="auto"/>
        </w:rPr>
      </w:pPr>
      <w:r>
        <w:rPr>
          <w:rFonts w:ascii="Courier New" w:cs="Courier New" w:eastAsia="Courier New" w:hAnsi="Courier New"/>
          <w:sz w:val="14"/>
          <w:szCs w:val="14"/>
          <w:color w:val="auto"/>
        </w:rPr>
        <w:t>/s/ Dennis F. Hightower ______________________________ Dennis F. Hightower,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 Fletcher H. Wiley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Fletcher H. Wiley, Director</w:t>
      </w:r>
    </w:p>
    <w:p>
      <w:pPr>
        <w:spacing w:after="0" w:line="175" w:lineRule="exact"/>
        <w:rPr>
          <w:sz w:val="20"/>
          <w:szCs w:val="20"/>
          <w:color w:val="auto"/>
        </w:rPr>
      </w:pPr>
    </w:p>
    <w:p>
      <w:pPr>
        <w:sectPr>
          <w:pgSz w:w="11900" w:h="16838" w:orient="portrait"/>
          <w:cols w:equalWidth="0" w:num="2">
            <w:col w:w="2940" w:space="720"/>
            <w:col w:w="6579"/>
          </w:cols>
          <w:pgMar w:left="22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April 8, 2003</w:t>
      </w:r>
    </w:p>
    <w:p>
      <w:pPr>
        <w:sectPr>
          <w:pgSz w:w="11900" w:h="16838" w:orient="portrait"/>
          <w:cols w:equalWidth="0" w:num="2">
            <w:col w:w="520" w:space="280"/>
            <w:col w:w="9439"/>
          </w:cols>
          <w:pgMar w:left="220" w:top="475" w:right="1440" w:bottom="1440" w:gutter="0" w:footer="0" w:header="0"/>
          <w:type w:val="continuous"/>
        </w:sectPr>
      </w:pPr>
    </w:p>
    <w:bookmarkStart w:id="112" w:name="page113"/>
    <w:bookmarkEnd w:id="112"/>
    <w:p>
      <w:pPr>
        <w:jc w:val="right"/>
        <w:ind w:right="3279"/>
        <w:spacing w:after="0"/>
        <w:rPr>
          <w:sz w:val="20"/>
          <w:szCs w:val="20"/>
          <w:color w:val="auto"/>
        </w:rPr>
      </w:pPr>
      <w:r>
        <w:rPr>
          <w:rFonts w:ascii="Courier New" w:cs="Courier New" w:eastAsia="Courier New" w:hAnsi="Courier New"/>
          <w:sz w:val="14"/>
          <w:szCs w:val="14"/>
          <w:color w:val="auto"/>
        </w:rPr>
        <w:t>EXHIBIT 99.1</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CERTIFICATION PURSUANT TO</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SECTION 1350, CHAPTER 63 OF TITLE 18, UNITED STATES CODE,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AS ADOPTED PURSUANT TO</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SECTION 906 OF THE SARBANES-OXLEY ACT OF 2002</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Pursuant to Section 1350, Chapter 63 of Title 18, United States Code, as adopted pursuant to Section 906 of the Sarbanes-Oxley Act of 2002, the undersigned, as President and Chief Executive Officer of The TJX Companies, Inc. (the "Company"), does hereby certify that to my knowledge:</w:t>
      </w:r>
    </w:p>
    <w:p>
      <w:pPr>
        <w:spacing w:after="0" w:line="163" w:lineRule="exact"/>
        <w:rPr>
          <w:sz w:val="20"/>
          <w:szCs w:val="20"/>
          <w:color w:val="auto"/>
        </w:rPr>
      </w:pPr>
    </w:p>
    <w:p>
      <w:pPr>
        <w:ind w:left="1580" w:right="3279" w:hanging="790"/>
        <w:spacing w:after="0" w:line="254" w:lineRule="auto"/>
        <w:tabs>
          <w:tab w:leader="none" w:pos="15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Annual Report on Form 10-K for the fiscal year ended January 25, 2003 fully complies with the requirements of Section 13(a) or 15(d) of the Securities Exchange Act of 1934; and</w:t>
      </w:r>
    </w:p>
    <w:p>
      <w:pPr>
        <w:spacing w:after="0" w:line="163" w:lineRule="exact"/>
        <w:rPr>
          <w:rFonts w:ascii="Courier New" w:cs="Courier New" w:eastAsia="Courier New" w:hAnsi="Courier New"/>
          <w:sz w:val="14"/>
          <w:szCs w:val="14"/>
          <w:color w:val="auto"/>
        </w:rPr>
      </w:pPr>
    </w:p>
    <w:p>
      <w:pPr>
        <w:jc w:val="both"/>
        <w:ind w:left="1580" w:right="3539" w:hanging="790"/>
        <w:spacing w:after="0" w:line="254" w:lineRule="auto"/>
        <w:tabs>
          <w:tab w:leader="none" w:pos="15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Company's Annual Report on Form 10-K for the fiscal year ended January 25, 2003 fairly presents, in all material respects, the financial condition and results of operations of the Company.</w:t>
      </w:r>
    </w:p>
    <w:p>
      <w:pPr>
        <w:spacing w:after="0" w:line="16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 Edmond J. English</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380" w:val="left"/>
        </w:tabs>
        <w:rPr>
          <w:sz w:val="20"/>
          <w:szCs w:val="20"/>
          <w:color w:val="auto"/>
        </w:rPr>
      </w:pPr>
      <w:r>
        <w:rPr>
          <w:rFonts w:ascii="Courier New" w:cs="Courier New" w:eastAsia="Courier New" w:hAnsi="Courier New"/>
          <w:sz w:val="14"/>
          <w:szCs w:val="14"/>
          <w:color w:val="auto"/>
        </w:rPr>
        <w:t>Name:</w:t>
        <w:tab/>
        <w:t>Edmond J. English</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Title: President and Chief Executive Officer</w:t>
      </w:r>
    </w:p>
    <w:p>
      <w:pPr>
        <w:spacing w:after="0" w:line="17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April 25, 2003</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TJX and will be retained by TJX and furnished to the Securities and Exchange Commission or its staff upon request.</w:t>
      </w:r>
    </w:p>
    <w:p>
      <w:pPr>
        <w:sectPr>
          <w:pgSz w:w="11900" w:h="16838" w:orient="portrait"/>
          <w:cols w:equalWidth="0" w:num="1">
            <w:col w:w="10239"/>
          </w:cols>
          <w:pgMar w:left="220" w:top="475" w:right="1440" w:bottom="1440" w:gutter="0" w:footer="0" w:header="0"/>
        </w:sectPr>
      </w:pPr>
    </w:p>
    <w:bookmarkStart w:id="113" w:name="page114"/>
    <w:bookmarkEnd w:id="113"/>
    <w:p>
      <w:pPr>
        <w:jc w:val="right"/>
        <w:ind w:right="3279"/>
        <w:spacing w:after="0"/>
        <w:rPr>
          <w:sz w:val="20"/>
          <w:szCs w:val="20"/>
          <w:color w:val="auto"/>
        </w:rPr>
      </w:pPr>
      <w:r>
        <w:rPr>
          <w:rFonts w:ascii="Courier New" w:cs="Courier New" w:eastAsia="Courier New" w:hAnsi="Courier New"/>
          <w:sz w:val="14"/>
          <w:szCs w:val="14"/>
          <w:color w:val="auto"/>
        </w:rPr>
        <w:t>EXHIBIT 99.2</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CERTIFICATION PURSUANT TO</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SECTION 1350, CHAPTER 63 OF TITLE 18, UNITED STATES CODE,</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AS ADOPTED PURSUANT TO</w:t>
      </w:r>
    </w:p>
    <w:p>
      <w:pPr>
        <w:spacing w:after="0" w:line="8"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SECTION 906 OF THE SARBANES-OXLEY ACT OF 2002</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Pursuant to Section 1350, Chapter 63 of Title 18, United States Code, as adopted pursuant to Section 906 of the Sarbanes-Oxley Act of 2002, the undersigned, as Executive Vice President and Chief Financial Officer of The TJX Companies, Inc. (the "Company"), does hereby certify that to my knowledge:</w:t>
      </w:r>
    </w:p>
    <w:p>
      <w:pPr>
        <w:spacing w:after="0" w:line="163" w:lineRule="exact"/>
        <w:rPr>
          <w:sz w:val="20"/>
          <w:szCs w:val="20"/>
          <w:color w:val="auto"/>
        </w:rPr>
      </w:pPr>
    </w:p>
    <w:p>
      <w:pPr>
        <w:ind w:left="1580" w:right="3279" w:hanging="790"/>
        <w:spacing w:after="0" w:line="254" w:lineRule="auto"/>
        <w:tabs>
          <w:tab w:leader="none" w:pos="15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Annual Report on Form 10-K for the fiscal year ended January 25, 2003 fully complies with the requirements of Section 13(a) or 15(d) of the Securities Exchange Act of 1934; and</w:t>
      </w:r>
    </w:p>
    <w:p>
      <w:pPr>
        <w:spacing w:after="0" w:line="163" w:lineRule="exact"/>
        <w:rPr>
          <w:rFonts w:ascii="Courier New" w:cs="Courier New" w:eastAsia="Courier New" w:hAnsi="Courier New"/>
          <w:sz w:val="14"/>
          <w:szCs w:val="14"/>
          <w:color w:val="auto"/>
        </w:rPr>
      </w:pPr>
    </w:p>
    <w:p>
      <w:pPr>
        <w:jc w:val="both"/>
        <w:ind w:left="1580" w:right="3539" w:hanging="790"/>
        <w:spacing w:after="0" w:line="254" w:lineRule="auto"/>
        <w:tabs>
          <w:tab w:leader="none" w:pos="15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Company's Annual Report on Form 10-K for the fiscal year ended January 25, 2003 fairly presents, in all material respects, the financial condition and results of operations of the Company.</w:t>
      </w:r>
    </w:p>
    <w:p>
      <w:pPr>
        <w:spacing w:after="0" w:line="163" w:lineRule="exact"/>
        <w:rPr>
          <w:sz w:val="20"/>
          <w:szCs w:val="20"/>
          <w:color w:val="auto"/>
        </w:rPr>
      </w:pPr>
    </w:p>
    <w:p>
      <w:pPr>
        <w:ind w:left="3140"/>
        <w:spacing w:after="0"/>
        <w:tabs>
          <w:tab w:leader="none" w:pos="372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Donald G. Campbell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tabs>
          <w:tab w:leader="none" w:pos="3720" w:val="left"/>
        </w:tabs>
        <w:rPr>
          <w:sz w:val="20"/>
          <w:szCs w:val="20"/>
          <w:color w:val="auto"/>
        </w:rPr>
      </w:pPr>
      <w:r>
        <w:rPr>
          <w:rFonts w:ascii="Courier New" w:cs="Courier New" w:eastAsia="Courier New" w:hAnsi="Courier New"/>
          <w:sz w:val="14"/>
          <w:szCs w:val="14"/>
          <w:color w:val="auto"/>
        </w:rPr>
        <w:t>Name:</w:t>
        <w:tab/>
        <w:t>Donald G. Campbell</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Title: Executive Vice President and</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Chief Financial Officer</w:t>
      </w:r>
    </w:p>
    <w:p>
      <w:pPr>
        <w:spacing w:after="0" w:line="17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April 25, 2003</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 signed original of this written statement required by Section 906 has been provided to TJX and will be retained by TJX and furnished to the Securities and Exchange Commission or its staff upon request.</w:t>
      </w:r>
    </w:p>
    <w:sectPr>
      <w:pgSz w:w="11900" w:h="16838" w:orient="portrait"/>
      <w:cols w:equalWidth="0" w:num="1">
        <w:col w:w="10239"/>
      </w:cols>
      <w:pgMar w:left="22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decimal"/>
      <w:start w:val="13"/>
    </w:lvl>
  </w:abstractNum>
  <w:abstractNum w:abstractNumId="6">
    <w:nsid w:val="2D1D5AE9"/>
    <w:multiLevelType w:val="hybridMultilevel"/>
    <w:lvl w:ilvl="0">
      <w:lvlJc w:val="left"/>
      <w:lvlText w:val="%1"/>
      <w:numFmt w:val="decimal"/>
      <w:start w:val="21"/>
    </w:lvl>
  </w:abstractNum>
  <w:abstractNum w:abstractNumId="7">
    <w:nsid w:val="6763845E"/>
    <w:multiLevelType w:val="hybridMultilevel"/>
    <w:lvl w:ilvl="0">
      <w:lvlJc w:val="left"/>
      <w:lvlText w:val="%1"/>
      <w:numFmt w:val="decimal"/>
      <w:start w:val="23"/>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1"/>
    </w:lvl>
    <w:lvl w:ilvl="1">
      <w:lvlJc w:val="left"/>
      <w:lvlText w:val="%2)"/>
      <w:numFmt w:val="lowerLetter"/>
      <w:start w:val="1"/>
    </w:lvl>
  </w:abstractNum>
  <w:abstractNum w:abstractNumId="10">
    <w:nsid w:val="79838CB2"/>
    <w:multiLevelType w:val="hybridMultilevel"/>
    <w:lvl w:ilvl="0">
      <w:lvlJc w:val="left"/>
      <w:lvlText w:val="%1."/>
      <w:numFmt w:val="decimal"/>
      <w:start w:val="1"/>
    </w:lvl>
    <w:lvl w:ilvl="1">
      <w:lvlJc w:val="left"/>
      <w:lvlText w:val="%2)"/>
      <w:numFmt w:val="lowerLetter"/>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1"/>
      <w:numFmt w:val="lowerLetter"/>
      <w:start w:val="1"/>
    </w:lvl>
    <w:lvl w:ilvl="1">
      <w:lvlJc w:val="left"/>
      <w:lvlText w:val="%2."/>
      <w:numFmt w:val="decimal"/>
      <w:start w:val="2"/>
    </w:lvl>
  </w:abstractNum>
  <w:abstractNum w:abstractNumId="15">
    <w:nsid w:val="71F32454"/>
    <w:multiLevelType w:val="hybridMultilevel"/>
    <w:lvl w:ilvl="0">
      <w:lvlJc w:val="left"/>
      <w:lvlText w:val="(%1)"/>
      <w:numFmt w:val="lowerLetter"/>
      <w:start w:val="1"/>
    </w:lvl>
    <w:lvl w:ilvl="1">
      <w:lvlJc w:val="left"/>
      <w:lvlText w:val="%2."/>
      <w:numFmt w:val="decimal"/>
      <w:start w:val="3"/>
    </w:lvl>
  </w:abstractNum>
  <w:abstractNum w:abstractNumId="16">
    <w:nsid w:val="2CA88611"/>
    <w:multiLevelType w:val="hybridMultilevel"/>
    <w:lvl w:ilvl="0">
      <w:lvlJc w:val="left"/>
      <w:lvlText w:val="%1."/>
      <w:numFmt w:val="decimal"/>
      <w:start w:val="6"/>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3"/>
    </w:lvl>
  </w:abstractNum>
  <w:abstractNum w:abstractNumId="19">
    <w:nsid w:val="3A95F874"/>
    <w:multiLevelType w:val="hybridMultilevel"/>
    <w:lvl w:ilvl="0">
      <w:lvlJc w:val="left"/>
      <w:lvlText w:val="%1."/>
      <w:numFmt w:val="decimal"/>
      <w:start w:val="7"/>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4"/>
    </w:lvl>
  </w:abstractNum>
  <w:abstractNum w:abstractNumId="23">
    <w:nsid w:val="737B8DDC"/>
    <w:multiLevelType w:val="hybridMultilevel"/>
    <w:lvl w:ilvl="0">
      <w:lvlJc w:val="left"/>
      <w:lvlText w:val="%1."/>
      <w:numFmt w:val="decimal"/>
      <w:start w:val="9"/>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1."/>
      <w:numFmt w:val="decimal"/>
      <w:start w:val="3"/>
    </w:lvl>
  </w:abstractNum>
  <w:abstractNum w:abstractNumId="26">
    <w:nsid w:val="4516DDE9"/>
    <w:multiLevelType w:val="hybridMultilevel"/>
    <w:lvl w:ilvl="0">
      <w:lvlJc w:val="left"/>
      <w:lvlText w:val="%1."/>
      <w:numFmt w:val="decimal"/>
      <w:start w:val="4"/>
    </w:lvl>
  </w:abstractNum>
  <w:abstractNum w:abstractNumId="27">
    <w:nsid w:val="3006C83E"/>
    <w:multiLevelType w:val="hybridMultilevel"/>
    <w:lvl w:ilvl="0">
      <w:lvlJc w:val="left"/>
      <w:lvlText w:val="%1."/>
      <w:numFmt w:val="decimal"/>
      <w:start w:val="5"/>
    </w:lvl>
  </w:abstractNum>
  <w:abstractNum w:abstractNumId="28">
    <w:nsid w:val="614FD4A1"/>
    <w:multiLevelType w:val="hybridMultilevel"/>
    <w:lvl w:ilvl="0">
      <w:lvlJc w:val="left"/>
      <w:lvlText w:val="%1."/>
      <w:numFmt w:val="decimal"/>
      <w:start w:val="9"/>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upperLetter"/>
      <w:start w:val="1"/>
    </w:lvl>
  </w:abstractNum>
  <w:abstractNum w:abstractNumId="31">
    <w:nsid w:val="440BADFC"/>
    <w:multiLevelType w:val="hybridMultilevel"/>
    <w:lvl w:ilvl="0">
      <w:lvlJc w:val="left"/>
      <w:lvlText w:val="%1."/>
      <w:numFmt w:val="upperLetter"/>
      <w:start w:val="3"/>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508"/>
    </w:lvl>
  </w:abstractNum>
  <w:abstractNum w:abstractNumId="35">
    <w:nsid w:val="7724C67E"/>
    <w:multiLevelType w:val="hybridMultilevel"/>
    <w:lvl w:ilvl="0">
      <w:lvlJc w:val="left"/>
      <w:lvlText w:val="(%1)"/>
      <w:numFmt w:val="decimal"/>
      <w:start w:val="508"/>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2019-12-13T08:42:49Z</dcterms:created>
  <dcterms:modified xsi:type="dcterms:W3CDTF">2019-12-13T08:42:49Z</dcterms:modified>
</cp:coreProperties>
</file>