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WASHINGTON, D. C. 20549</w:t>
      </w:r>
    </w:p>
    <w:p>
      <w:pPr>
        <w:spacing w:after="0" w:line="37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/X/ Quarterly Report Under Section 13 and 15(d)</w:t>
      </w:r>
    </w:p>
    <w:p>
      <w:pPr>
        <w:spacing w:after="0" w:line="2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of the Securities Exchange Act of 1934</w:t>
      </w:r>
    </w:p>
    <w:p>
      <w:pPr>
        <w:ind w:left="3700"/>
        <w:spacing w:after="0" w:line="238" w:lineRule="auto"/>
        <w:rPr>
          <w:sz w:val="20"/>
          <w:szCs w:val="20"/>
          <w:color w:val="auto"/>
        </w:rPr>
      </w:pPr>
      <w:r>
        <w:rPr>
          <w:rFonts w:ascii="Courier New" w:cs="Courier New" w:eastAsia="Courier New" w:hAnsi="Courier New"/>
          <w:sz w:val="18"/>
          <w:szCs w:val="18"/>
          <w:color w:val="auto"/>
        </w:rPr>
        <w:t>or</w:t>
      </w:r>
    </w:p>
    <w:p>
      <w:pPr>
        <w:ind w:left="1800" w:right="3579" w:hanging="844"/>
        <w:spacing w:after="0" w:line="309" w:lineRule="auto"/>
        <w:tabs>
          <w:tab w:leader="none" w:pos="116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and 15(d) of the Securities Exchange Act of 1934</w:t>
      </w:r>
    </w:p>
    <w:p>
      <w:pPr>
        <w:spacing w:after="0" w:line="2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Quarter Ended July 30, 1994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1-4908</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The TJX</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Companies, Inc.</w:t>
            </w:r>
          </w:p>
        </w:tc>
        <w:tc>
          <w:tcPr>
            <w:tcW w:w="0" w:type="dxa"/>
            <w:vAlign w:val="bottom"/>
          </w:tcPr>
          <w:p>
            <w:pPr>
              <w:spacing w:after="0"/>
              <w:rPr>
                <w:sz w:val="1"/>
                <w:szCs w:val="1"/>
                <w:color w:val="auto"/>
              </w:rPr>
            </w:pPr>
          </w:p>
        </w:tc>
      </w:tr>
      <w:tr>
        <w:trPr>
          <w:trHeight w:val="296"/>
        </w:trPr>
        <w:tc>
          <w:tcPr>
            <w:tcW w:w="6740" w:type="dxa"/>
            <w:vAlign w:val="bottom"/>
            <w:gridSpan w:val="3"/>
          </w:tcPr>
          <w:p>
            <w:pPr>
              <w:ind w:left="960"/>
              <w:spacing w:after="0"/>
              <w:rPr>
                <w:sz w:val="20"/>
                <w:szCs w:val="20"/>
                <w:color w:val="auto"/>
              </w:rPr>
            </w:pPr>
            <w:r>
              <w:rPr>
                <w:rFonts w:ascii="Courier New" w:cs="Courier New" w:eastAsia="Courier New" w:hAnsi="Courier New"/>
                <w:sz w:val="18"/>
                <w:szCs w:val="18"/>
                <w:color w:val="auto"/>
                <w:w w:val="98"/>
              </w:rPr>
              <w:t>(Exact name of registrant as specified in its charter)</w:t>
            </w:r>
          </w:p>
        </w:tc>
        <w:tc>
          <w:tcPr>
            <w:tcW w:w="0" w:type="dxa"/>
            <w:vAlign w:val="bottom"/>
          </w:tcPr>
          <w:p>
            <w:pPr>
              <w:spacing w:after="0"/>
              <w:rPr>
                <w:sz w:val="1"/>
                <w:szCs w:val="1"/>
                <w:color w:val="auto"/>
              </w:rPr>
            </w:pPr>
          </w:p>
        </w:tc>
      </w:tr>
      <w:tr>
        <w:trPr>
          <w:trHeight w:val="514"/>
        </w:trPr>
        <w:tc>
          <w:tcPr>
            <w:tcW w:w="33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DELAWARE</w:t>
            </w:r>
          </w:p>
        </w:tc>
        <w:tc>
          <w:tcPr>
            <w:tcW w:w="1160" w:type="dxa"/>
            <w:vAlign w:val="bottom"/>
          </w:tcPr>
          <w:p>
            <w:pPr>
              <w:spacing w:after="0"/>
              <w:rPr>
                <w:sz w:val="24"/>
                <w:szCs w:val="24"/>
                <w:color w:val="auto"/>
              </w:rPr>
            </w:pPr>
          </w:p>
        </w:tc>
        <w:tc>
          <w:tcPr>
            <w:tcW w:w="22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04-2207613</w:t>
            </w:r>
          </w:p>
        </w:tc>
        <w:tc>
          <w:tcPr>
            <w:tcW w:w="0" w:type="dxa"/>
            <w:vAlign w:val="bottom"/>
          </w:tcPr>
          <w:p>
            <w:pPr>
              <w:spacing w:after="0"/>
              <w:rPr>
                <w:sz w:val="1"/>
                <w:szCs w:val="1"/>
                <w:color w:val="auto"/>
              </w:rPr>
            </w:pP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1160" w:type="dxa"/>
            <w:vAlign w:val="bottom"/>
          </w:tcPr>
          <w:p>
            <w:pPr>
              <w:spacing w:after="0"/>
              <w:rPr>
                <w:sz w:val="17"/>
                <w:szCs w:val="17"/>
                <w:color w:val="auto"/>
              </w:rPr>
            </w:pPr>
          </w:p>
        </w:tc>
        <w:tc>
          <w:tcPr>
            <w:tcW w:w="226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incorporation or organization)</w:t>
            </w:r>
          </w:p>
        </w:tc>
        <w:tc>
          <w:tcPr>
            <w:tcW w:w="1160" w:type="dxa"/>
            <w:vAlign w:val="bottom"/>
          </w:tcPr>
          <w:p>
            <w:pPr>
              <w:spacing w:after="0"/>
              <w:rPr>
                <w:sz w:val="24"/>
                <w:szCs w:val="24"/>
                <w:color w:val="auto"/>
              </w:rPr>
            </w:pPr>
          </w:p>
        </w:tc>
        <w:tc>
          <w:tcPr>
            <w:tcW w:w="22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Identification No.)</w:t>
            </w:r>
          </w:p>
        </w:tc>
        <w:tc>
          <w:tcPr>
            <w:tcW w:w="0" w:type="dxa"/>
            <w:vAlign w:val="bottom"/>
          </w:tcPr>
          <w:p>
            <w:pPr>
              <w:spacing w:after="0"/>
              <w:rPr>
                <w:sz w:val="1"/>
                <w:szCs w:val="1"/>
                <w:color w:val="auto"/>
              </w:rPr>
            </w:pPr>
          </w:p>
        </w:tc>
      </w:tr>
      <w:tr>
        <w:trPr>
          <w:trHeight w:val="514"/>
        </w:trPr>
        <w:tc>
          <w:tcPr>
            <w:tcW w:w="332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770 Cochituate Road</w:t>
            </w:r>
          </w:p>
        </w:tc>
        <w:tc>
          <w:tcPr>
            <w:tcW w:w="1160" w:type="dxa"/>
            <w:vAlign w:val="bottom"/>
          </w:tcPr>
          <w:p>
            <w:pPr>
              <w:spacing w:after="0"/>
              <w:rPr>
                <w:sz w:val="24"/>
                <w:szCs w:val="24"/>
                <w:color w:val="auto"/>
              </w:rPr>
            </w:pPr>
          </w:p>
        </w:tc>
        <w:tc>
          <w:tcPr>
            <w:tcW w:w="226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rPr>
              <w:t>01701</w:t>
            </w:r>
          </w:p>
        </w:tc>
        <w:tc>
          <w:tcPr>
            <w:tcW w:w="0" w:type="dxa"/>
            <w:vAlign w:val="bottom"/>
          </w:tcPr>
          <w:p>
            <w:pPr>
              <w:spacing w:after="0"/>
              <w:rPr>
                <w:sz w:val="1"/>
                <w:szCs w:val="1"/>
                <w:color w:val="auto"/>
              </w:rPr>
            </w:pPr>
          </w:p>
        </w:tc>
      </w:tr>
      <w:tr>
        <w:trPr>
          <w:trHeight w:val="203"/>
        </w:trPr>
        <w:tc>
          <w:tcPr>
            <w:tcW w:w="3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Framingham, Massachusetts</w:t>
            </w: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offices)</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w w:val="97"/>
              </w:rPr>
              <w:t>(Address of principal executive</w:t>
            </w:r>
          </w:p>
        </w:tc>
        <w:tc>
          <w:tcPr>
            <w:tcW w:w="1160" w:type="dxa"/>
            <w:vAlign w:val="bottom"/>
            <w:vMerge w:val="continue"/>
          </w:tcPr>
          <w:p>
            <w:pPr>
              <w:spacing w:after="0"/>
              <w:rPr>
                <w:sz w:val="24"/>
                <w:szCs w:val="24"/>
                <w:color w:val="auto"/>
              </w:rPr>
            </w:pPr>
          </w:p>
        </w:tc>
        <w:tc>
          <w:tcPr>
            <w:tcW w:w="22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(508)390-1000</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2" w:lineRule="exact"/>
        <w:rPr>
          <w:sz w:val="24"/>
          <w:szCs w:val="24"/>
          <w:color w:val="auto"/>
        </w:rPr>
      </w:pPr>
    </w:p>
    <w:p>
      <w:pPr>
        <w:ind w:right="2619"/>
        <w:spacing w:after="0" w:line="30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 No .</w:t>
      </w:r>
    </w:p>
    <w:p>
      <w:pPr>
        <w:spacing w:after="0" w:line="60" w:lineRule="exact"/>
        <w:rPr>
          <w:sz w:val="24"/>
          <w:szCs w:val="24"/>
          <w:color w:val="auto"/>
        </w:rPr>
      </w:pPr>
    </w:p>
    <w:p>
      <w:pPr>
        <w:ind w:right="3159"/>
        <w:spacing w:after="0" w:line="347" w:lineRule="auto"/>
        <w:rPr>
          <w:sz w:val="20"/>
          <w:szCs w:val="20"/>
          <w:color w:val="auto"/>
        </w:rPr>
      </w:pPr>
      <w:r>
        <w:rPr>
          <w:rFonts w:ascii="Courier New" w:cs="Courier New" w:eastAsia="Courier New" w:hAnsi="Courier New"/>
          <w:sz w:val="18"/>
          <w:szCs w:val="18"/>
          <w:color w:val="auto"/>
        </w:rPr>
        <w:t>The number of shares of Registrant's common stock outstanding as of August 27, 1994: 73,466,277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PAGE 2</w:t>
      </w:r>
    </w:p>
    <w:p>
      <w:pPr>
        <w:spacing w:after="0" w:line="2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PART I FINANCIAL INFORMATION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THE TJX COMPANIES, INC. AND CONSOLIDATED SUBSIDIARIES</w:t>
      </w:r>
    </w:p>
    <w:p>
      <w:pPr>
        <w:ind w:left="2960"/>
        <w:spacing w:after="0"/>
        <w:rPr>
          <w:sz w:val="20"/>
          <w:szCs w:val="20"/>
          <w:color w:val="auto"/>
        </w:rPr>
      </w:pPr>
      <w:r>
        <w:rPr>
          <w:rFonts w:ascii="Courier New" w:cs="Courier New" w:eastAsia="Courier New" w:hAnsi="Courier New"/>
          <w:sz w:val="18"/>
          <w:szCs w:val="18"/>
          <w:color w:val="auto"/>
        </w:rPr>
        <w:t>STATEMENTS OF INCOME</w:t>
      </w:r>
    </w:p>
    <w:p>
      <w:pPr>
        <w:ind w:left="3480"/>
        <w:spacing w:after="0" w:line="238" w:lineRule="auto"/>
        <w:rPr>
          <w:sz w:val="20"/>
          <w:szCs w:val="20"/>
          <w:color w:val="auto"/>
        </w:rPr>
      </w:pPr>
      <w:r>
        <w:rPr>
          <w:rFonts w:ascii="Courier New" w:cs="Courier New" w:eastAsia="Courier New" w:hAnsi="Courier New"/>
          <w:sz w:val="18"/>
          <w:szCs w:val="18"/>
          <w:color w:val="auto"/>
        </w:rPr>
        <w:t>(UNAUDITED)</w:t>
      </w:r>
    </w:p>
    <w:p>
      <w:pPr>
        <w:ind w:left="1700"/>
        <w:spacing w:after="0"/>
        <w:rPr>
          <w:sz w:val="20"/>
          <w:szCs w:val="20"/>
          <w:color w:val="auto"/>
        </w:rPr>
      </w:pPr>
      <w:r>
        <w:rPr>
          <w:rFonts w:ascii="Courier New" w:cs="Courier New" w:eastAsia="Courier New" w:hAnsi="Courier New"/>
          <w:sz w:val="18"/>
          <w:szCs w:val="18"/>
          <w:color w:val="auto"/>
        </w:rPr>
        <w:t>DOLLARS IN THOUSANDS EXCEPT PER SHARE AMOUNTS</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Thirteen Weeks Ended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July 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90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$866,689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$841,054</w:t>
            </w:r>
          </w:p>
        </w:tc>
        <w:tc>
          <w:tcPr>
            <w:tcW w:w="0" w:type="dxa"/>
            <w:vAlign w:val="bottom"/>
          </w:tcPr>
          <w:p>
            <w:pPr>
              <w:spacing w:after="0"/>
              <w:rPr>
                <w:sz w:val="1"/>
                <w:szCs w:val="1"/>
                <w:color w:val="auto"/>
              </w:rPr>
            </w:pPr>
          </w:p>
        </w:tc>
      </w:tr>
      <w:tr>
        <w:trPr>
          <w:trHeight w:val="311"/>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 including buying and</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656,589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636,504</w:t>
            </w:r>
          </w:p>
        </w:tc>
        <w:tc>
          <w:tcPr>
            <w:tcW w:w="0" w:type="dxa"/>
            <w:vAlign w:val="bottom"/>
          </w:tcPr>
          <w:p>
            <w:pPr>
              <w:spacing w:after="0"/>
              <w:rPr>
                <w:sz w:val="1"/>
                <w:szCs w:val="1"/>
                <w:color w:val="auto"/>
              </w:rPr>
            </w:pPr>
          </w:p>
        </w:tc>
      </w:tr>
      <w:tr>
        <w:trPr>
          <w:trHeight w:val="296"/>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rPr>
              <w:t>occupancy costs</w:t>
            </w:r>
          </w:p>
        </w:tc>
        <w:tc>
          <w:tcPr>
            <w:tcW w:w="29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Selling, general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administrative expenses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172,005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156,088</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Interest on debt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capital leases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5,724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5,035</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Income before income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taxes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32,371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43,427</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Provision for income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taxes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13,575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17,442</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90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18,796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25,985</w:t>
            </w:r>
          </w:p>
        </w:tc>
        <w:tc>
          <w:tcPr>
            <w:tcW w:w="0" w:type="dxa"/>
            <w:vAlign w:val="bottom"/>
          </w:tcPr>
          <w:p>
            <w:pPr>
              <w:spacing w:after="0"/>
              <w:rPr>
                <w:sz w:val="1"/>
                <w:szCs w:val="1"/>
                <w:color w:val="auto"/>
              </w:rPr>
            </w:pPr>
          </w:p>
        </w:tc>
      </w:tr>
    </w:tbl>
    <w:p>
      <w:pPr>
        <w:sectPr>
          <w:pgSz w:w="11900" w:h="16921" w:orient="portrait"/>
          <w:cols w:equalWidth="0" w:num="1">
            <w:col w:w="10219"/>
          </w:cols>
          <w:pgMar w:left="240" w:top="623"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Preferred stock dividends</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1,789</w:t>
            </w:r>
          </w:p>
        </w:tc>
        <w:tc>
          <w:tcPr>
            <w:tcW w:w="6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1,789</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Net income available to common shareholders</w:t>
            </w:r>
          </w:p>
        </w:tc>
        <w:tc>
          <w:tcPr>
            <w:tcW w:w="1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4"/>
              </w:rPr>
              <w:t>$ 17,007</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$ 24,196</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Primary and fully diluted</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earnings per common share: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2700" w:type="dxa"/>
            <w:vAlign w:val="bottom"/>
          </w:tcPr>
          <w:p>
            <w:pPr>
              <w:ind w:left="320"/>
              <w:spacing w:after="0"/>
              <w:rPr>
                <w:sz w:val="20"/>
                <w:szCs w:val="20"/>
                <w:color w:val="auto"/>
              </w:rPr>
            </w:pPr>
            <w:r>
              <w:rPr>
                <w:rFonts w:ascii="Courier New" w:cs="Courier New" w:eastAsia="Courier New" w:hAnsi="Courier New"/>
                <w:sz w:val="18"/>
                <w:szCs w:val="18"/>
                <w:color w:val="auto"/>
              </w:rPr>
              <w:t>Net income</w:t>
            </w:r>
          </w:p>
        </w:tc>
        <w:tc>
          <w:tcPr>
            <w:tcW w:w="2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Cash dividends per common</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.125</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PAGE 3</w:t>
      </w:r>
    </w:p>
    <w:p>
      <w:pPr>
        <w:spacing w:after="0" w:line="2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PART I FINANCIAL INFORMATION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THE TJX COMPANIES, INC. AND CONSOLIDATED SUBSIDIARIES</w:t>
      </w:r>
    </w:p>
    <w:p>
      <w:pPr>
        <w:ind w:left="2960"/>
        <w:spacing w:after="0"/>
        <w:rPr>
          <w:sz w:val="20"/>
          <w:szCs w:val="20"/>
          <w:color w:val="auto"/>
        </w:rPr>
      </w:pPr>
      <w:r>
        <w:rPr>
          <w:rFonts w:ascii="Courier New" w:cs="Courier New" w:eastAsia="Courier New" w:hAnsi="Courier New"/>
          <w:sz w:val="18"/>
          <w:szCs w:val="18"/>
          <w:color w:val="auto"/>
        </w:rPr>
        <w:t>STATEMENTS OF INCOME</w:t>
      </w:r>
    </w:p>
    <w:p>
      <w:pPr>
        <w:ind w:left="3480"/>
        <w:spacing w:after="0" w:line="238" w:lineRule="auto"/>
        <w:rPr>
          <w:sz w:val="20"/>
          <w:szCs w:val="20"/>
          <w:color w:val="auto"/>
        </w:rPr>
      </w:pPr>
      <w:r>
        <w:rPr>
          <w:rFonts w:ascii="Courier New" w:cs="Courier New" w:eastAsia="Courier New" w:hAnsi="Courier New"/>
          <w:sz w:val="18"/>
          <w:szCs w:val="18"/>
          <w:color w:val="auto"/>
        </w:rPr>
        <w:t>(UNAUDITED)</w:t>
      </w:r>
    </w:p>
    <w:p>
      <w:pPr>
        <w:ind w:left="1700"/>
        <w:spacing w:after="0"/>
        <w:rPr>
          <w:sz w:val="20"/>
          <w:szCs w:val="20"/>
          <w:color w:val="auto"/>
        </w:rPr>
      </w:pPr>
      <w:r>
        <w:rPr>
          <w:rFonts w:ascii="Courier New" w:cs="Courier New" w:eastAsia="Courier New" w:hAnsi="Courier New"/>
          <w:sz w:val="18"/>
          <w:szCs w:val="18"/>
          <w:color w:val="auto"/>
        </w:rPr>
        <w:t>DOLLARS IN THOUSANDS EXCEPT PER SHARE AMOUNTS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Twenty-Six Weeks Ended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July 30,</w:t>
            </w:r>
          </w:p>
        </w:tc>
        <w:tc>
          <w:tcPr>
            <w:tcW w:w="4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96"/>
        </w:trPr>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1,718,425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1,626,691</w:t>
            </w: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0"/>
                <w:szCs w:val="20"/>
                <w:color w:val="auto"/>
              </w:rPr>
            </w:pPr>
            <w:r>
              <w:rPr>
                <w:rFonts w:ascii="Courier New" w:cs="Courier New" w:eastAsia="Courier New" w:hAnsi="Courier New"/>
                <w:sz w:val="18"/>
                <w:szCs w:val="18"/>
                <w:color w:val="auto"/>
              </w:rPr>
              <w:t>Cost of sales, including buying and</w:t>
            </w:r>
          </w:p>
        </w:tc>
        <w:tc>
          <w:tcPr>
            <w:tcW w:w="460" w:type="dxa"/>
            <w:vAlign w:val="bottom"/>
          </w:tcPr>
          <w:p>
            <w:pPr>
              <w:spacing w:after="0"/>
              <w:rPr>
                <w:sz w:val="24"/>
                <w:szCs w:val="24"/>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1,292,303</w:t>
            </w:r>
          </w:p>
        </w:tc>
        <w:tc>
          <w:tcPr>
            <w:tcW w:w="42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1,221,910</w:t>
            </w:r>
          </w:p>
        </w:tc>
        <w:tc>
          <w:tcPr>
            <w:tcW w:w="0" w:type="dxa"/>
            <w:vAlign w:val="bottom"/>
          </w:tcPr>
          <w:p>
            <w:pPr>
              <w:spacing w:after="0"/>
              <w:rPr>
                <w:sz w:val="1"/>
                <w:szCs w:val="1"/>
                <w:color w:val="auto"/>
              </w:rPr>
            </w:pPr>
          </w:p>
        </w:tc>
      </w:tr>
      <w:tr>
        <w:trPr>
          <w:trHeight w:val="296"/>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occupancy costs</w:t>
            </w:r>
          </w:p>
        </w:tc>
        <w:tc>
          <w:tcPr>
            <w:tcW w:w="4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460" w:type="dxa"/>
            <w:vAlign w:val="bottom"/>
          </w:tcPr>
          <w:p>
            <w:pPr>
              <w:spacing w:after="0"/>
              <w:rPr>
                <w:sz w:val="24"/>
                <w:szCs w:val="24"/>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349,614</w:t>
            </w:r>
          </w:p>
        </w:tc>
        <w:tc>
          <w:tcPr>
            <w:tcW w:w="42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314,019</w:t>
            </w:r>
          </w:p>
        </w:tc>
        <w:tc>
          <w:tcPr>
            <w:tcW w:w="0" w:type="dxa"/>
            <w:vAlign w:val="bottom"/>
          </w:tcPr>
          <w:p>
            <w:pPr>
              <w:spacing w:after="0"/>
              <w:rPr>
                <w:sz w:val="1"/>
                <w:szCs w:val="1"/>
                <w:color w:val="auto"/>
              </w:rPr>
            </w:pPr>
          </w:p>
        </w:tc>
      </w:tr>
      <w:tr>
        <w:trPr>
          <w:trHeight w:val="296"/>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expenses</w:t>
            </w:r>
          </w:p>
        </w:tc>
        <w:tc>
          <w:tcPr>
            <w:tcW w:w="4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Interest on debt and capital leases</w:t>
            </w:r>
          </w:p>
        </w:tc>
        <w:tc>
          <w:tcPr>
            <w:tcW w:w="4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11,203</w:t>
            </w:r>
          </w:p>
        </w:tc>
        <w:tc>
          <w:tcPr>
            <w:tcW w:w="4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9,781</w:t>
            </w: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before income taxes and cumulative</w:t>
            </w:r>
          </w:p>
        </w:tc>
        <w:tc>
          <w:tcPr>
            <w:tcW w:w="460" w:type="dxa"/>
            <w:vAlign w:val="bottom"/>
          </w:tcPr>
          <w:p>
            <w:pPr>
              <w:spacing w:after="0"/>
              <w:rPr>
                <w:sz w:val="24"/>
                <w:szCs w:val="24"/>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65,305</w:t>
            </w:r>
          </w:p>
        </w:tc>
        <w:tc>
          <w:tcPr>
            <w:tcW w:w="42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80,981</w:t>
            </w:r>
          </w:p>
        </w:tc>
        <w:tc>
          <w:tcPr>
            <w:tcW w:w="0" w:type="dxa"/>
            <w:vAlign w:val="bottom"/>
          </w:tcPr>
          <w:p>
            <w:pPr>
              <w:spacing w:after="0"/>
              <w:rPr>
                <w:sz w:val="1"/>
                <w:szCs w:val="1"/>
                <w:color w:val="auto"/>
              </w:rPr>
            </w:pPr>
          </w:p>
        </w:tc>
      </w:tr>
      <w:tr>
        <w:trPr>
          <w:trHeight w:val="296"/>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effect of accounting changes</w:t>
            </w:r>
          </w:p>
        </w:tc>
        <w:tc>
          <w:tcPr>
            <w:tcW w:w="4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27,140</w:t>
            </w:r>
          </w:p>
        </w:tc>
        <w:tc>
          <w:tcPr>
            <w:tcW w:w="4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32,339</w:t>
            </w: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before cumulative effect of</w:t>
            </w:r>
          </w:p>
        </w:tc>
        <w:tc>
          <w:tcPr>
            <w:tcW w:w="460" w:type="dxa"/>
            <w:vAlign w:val="bottom"/>
          </w:tcPr>
          <w:p>
            <w:pPr>
              <w:spacing w:after="0"/>
              <w:rPr>
                <w:sz w:val="24"/>
                <w:szCs w:val="24"/>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38,165</w:t>
            </w:r>
          </w:p>
        </w:tc>
        <w:tc>
          <w:tcPr>
            <w:tcW w:w="42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48,642</w:t>
            </w:r>
          </w:p>
        </w:tc>
        <w:tc>
          <w:tcPr>
            <w:tcW w:w="0" w:type="dxa"/>
            <w:vAlign w:val="bottom"/>
          </w:tcPr>
          <w:p>
            <w:pPr>
              <w:spacing w:after="0"/>
              <w:rPr>
                <w:sz w:val="1"/>
                <w:szCs w:val="1"/>
                <w:color w:val="auto"/>
              </w:rPr>
            </w:pPr>
          </w:p>
        </w:tc>
      </w:tr>
      <w:tr>
        <w:trPr>
          <w:trHeight w:val="296"/>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accounting changes</w:t>
            </w:r>
          </w:p>
        </w:tc>
        <w:tc>
          <w:tcPr>
            <w:tcW w:w="4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Cumulative effect of accounting changes</w:t>
            </w:r>
          </w:p>
        </w:tc>
        <w:tc>
          <w:tcPr>
            <w:tcW w:w="4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(2,667)</w:t>
            </w: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38,165</w:t>
            </w:r>
          </w:p>
        </w:tc>
        <w:tc>
          <w:tcPr>
            <w:tcW w:w="4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45,975</w:t>
            </w: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Preferred stock dividends</w:t>
            </w:r>
          </w:p>
        </w:tc>
        <w:tc>
          <w:tcPr>
            <w:tcW w:w="4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3,578</w:t>
            </w:r>
          </w:p>
        </w:tc>
        <w:tc>
          <w:tcPr>
            <w:tcW w:w="4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3,578</w:t>
            </w: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income available to common</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34,587</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42,397</w:t>
            </w:r>
          </w:p>
        </w:tc>
        <w:tc>
          <w:tcPr>
            <w:tcW w:w="0" w:type="dxa"/>
            <w:vAlign w:val="bottom"/>
          </w:tcPr>
          <w:p>
            <w:pPr>
              <w:spacing w:after="0"/>
              <w:rPr>
                <w:sz w:val="1"/>
                <w:szCs w:val="1"/>
                <w:color w:val="auto"/>
              </w:rPr>
            </w:pPr>
          </w:p>
        </w:tc>
      </w:tr>
      <w:tr>
        <w:trPr>
          <w:trHeight w:val="296"/>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shareholders</w:t>
            </w:r>
          </w:p>
        </w:tc>
        <w:tc>
          <w:tcPr>
            <w:tcW w:w="46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and fully diluted earnings per common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w w:val="99"/>
              </w:rPr>
              <w:t>Income before</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cumulative effect</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.47</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03"/>
        </w:trPr>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accounting</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changes</w:t>
            </w:r>
          </w:p>
        </w:tc>
        <w:tc>
          <w:tcPr>
            <w:tcW w:w="1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changes</w:t>
            </w:r>
          </w:p>
        </w:tc>
        <w:tc>
          <w:tcPr>
            <w:tcW w:w="7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Cumulative effect of accounting</w:t>
            </w:r>
          </w:p>
        </w:tc>
        <w:tc>
          <w:tcPr>
            <w:tcW w:w="1380" w:type="dxa"/>
            <w:vAlign w:val="bottom"/>
            <w:vMerge w:val="continue"/>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(.04)</w:t>
            </w:r>
          </w:p>
        </w:tc>
        <w:tc>
          <w:tcPr>
            <w:tcW w:w="0" w:type="dxa"/>
            <w:vAlign w:val="bottom"/>
          </w:tcPr>
          <w:p>
            <w:pPr>
              <w:spacing w:after="0"/>
              <w:rPr>
                <w:sz w:val="1"/>
                <w:szCs w:val="1"/>
                <w:color w:val="auto"/>
              </w:rPr>
            </w:pPr>
          </w:p>
        </w:tc>
      </w:tr>
      <w:tr>
        <w:trPr>
          <w:trHeight w:val="296"/>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Net income</w:t>
            </w: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.47</w:t>
            </w:r>
          </w:p>
        </w:tc>
        <w:tc>
          <w:tcPr>
            <w:tcW w:w="680" w:type="dxa"/>
            <w:vAlign w:val="bottom"/>
            <w:vMerge w:val="continue"/>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Cash dividends per common share</w:t>
            </w:r>
          </w:p>
        </w:tc>
        <w:tc>
          <w:tcPr>
            <w:tcW w:w="1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ectPr>
          <w:pgSz w:w="11900" w:h="16838" w:orient="portrait"/>
          <w:cols w:equalWidth="0" w:num="1">
            <w:col w:w="10219"/>
          </w:cols>
          <w:pgMar w:left="240" w:top="312" w:right="1440" w:bottom="0" w:gutter="0" w:footer="0" w:header="0"/>
        </w:sectPr>
      </w:pPr>
    </w:p>
    <w:bookmarkStart w:id="2" w:name="page3"/>
    <w:bookmarkEnd w:id="2"/>
    <w:p>
      <w:pPr>
        <w:jc w:val="center"/>
        <w:ind w:right="2199"/>
        <w:spacing w:after="0"/>
        <w:rPr>
          <w:sz w:val="20"/>
          <w:szCs w:val="20"/>
          <w:color w:val="auto"/>
        </w:rPr>
      </w:pPr>
      <w:r>
        <w:rPr>
          <w:rFonts w:ascii="Courier New" w:cs="Courier New" w:eastAsia="Courier New" w:hAnsi="Courier New"/>
          <w:sz w:val="18"/>
          <w:szCs w:val="18"/>
          <w:color w:val="auto"/>
        </w:rPr>
        <w:t>PAGE 4</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TJX COMPANIES, INC. AND CONSOLIDATED SUBSIDIARIES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BALANCE SHEETS</w:t>
      </w:r>
    </w:p>
    <w:tbl>
      <w:tblPr>
        <w:tblLayout w:type="fixed"/>
        <w:tblInd w:w="0" w:type="dxa"/>
        <w:tblCellMar>
          <w:top w:w="0" w:type="dxa"/>
          <w:left w:w="0" w:type="dxa"/>
          <w:bottom w:w="0" w:type="dxa"/>
          <w:right w:w="0" w:type="dxa"/>
        </w:tblCellMar>
      </w:tblPr>
      <w:tr>
        <w:trPr>
          <w:trHeight w:val="171"/>
        </w:trPr>
        <w:tc>
          <w:tcPr>
            <w:tcW w:w="5280" w:type="dxa"/>
            <w:vAlign w:val="bottom"/>
            <w:gridSpan w:val="3"/>
          </w:tcPr>
          <w:p>
            <w:pPr>
              <w:jc w:val="right"/>
              <w:ind w:right="552"/>
              <w:spacing w:after="0" w:line="171"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528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July 30,</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January 29,</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96"/>
        </w:trPr>
        <w:tc>
          <w:tcPr>
            <w:tcW w:w="3900" w:type="dxa"/>
            <w:vAlign w:val="bottom"/>
            <w:vMerge w:val="restart"/>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109"/>
        </w:trPr>
        <w:tc>
          <w:tcPr>
            <w:tcW w:w="3900" w:type="dxa"/>
            <w:vAlign w:val="bottom"/>
            <w:vMerge w:val="continue"/>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20,605</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58,102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17,792</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38,505</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30,639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32,001</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Merchandise inventories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963,343</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772,324</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911,948</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22,675</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20,791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21,656</w:t>
            </w:r>
          </w:p>
        </w:tc>
        <w:tc>
          <w:tcPr>
            <w:tcW w:w="0" w:type="dxa"/>
            <w:vAlign w:val="bottom"/>
          </w:tcPr>
          <w:p>
            <w:pPr>
              <w:spacing w:after="0"/>
              <w:rPr>
                <w:sz w:val="1"/>
                <w:szCs w:val="1"/>
                <w:color w:val="auto"/>
              </w:rPr>
            </w:pPr>
          </w:p>
        </w:tc>
      </w:tr>
      <w:tr>
        <w:trPr>
          <w:trHeight w:val="296"/>
        </w:trPr>
        <w:tc>
          <w:tcPr>
            <w:tcW w:w="3900" w:type="dxa"/>
            <w:vAlign w:val="bottom"/>
          </w:tcPr>
          <w:p>
            <w:pPr>
              <w:ind w:left="640"/>
              <w:spacing w:after="0"/>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1,045,128</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881,856</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983,397</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Property, at cost:</w:t>
            </w:r>
          </w:p>
        </w:tc>
        <w:tc>
          <w:tcPr>
            <w:tcW w:w="320" w:type="dxa"/>
            <w:vAlign w:val="bottom"/>
          </w:tcPr>
          <w:p>
            <w:pPr>
              <w:spacing w:after="0"/>
              <w:rPr>
                <w:sz w:val="24"/>
                <w:szCs w:val="24"/>
                <w:color w:val="auto"/>
              </w:rPr>
            </w:pP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113,774</w:t>
            </w:r>
          </w:p>
        </w:tc>
        <w:tc>
          <w:tcPr>
            <w:tcW w:w="320" w:type="dxa"/>
            <w:vAlign w:val="bottom"/>
          </w:tcPr>
          <w:p>
            <w:pPr>
              <w:spacing w:after="0"/>
              <w:rPr>
                <w:sz w:val="24"/>
                <w:szCs w:val="24"/>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110,793</w:t>
            </w: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103,201</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costs and improvements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277,888</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256,929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237,373</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Furniture, fixtures and equipment</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422,359</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398,106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369,484</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Less accumulated depreciation</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814,021</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765,828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710,058</w:t>
            </w:r>
          </w:p>
        </w:tc>
        <w:tc>
          <w:tcPr>
            <w:tcW w:w="0" w:type="dxa"/>
            <w:vAlign w:val="bottom"/>
          </w:tcPr>
          <w:p>
            <w:pPr>
              <w:spacing w:after="0"/>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356,056</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326,685</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307,316</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457,965</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439,143</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402,742</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13,872</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13,744</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9,641</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amortization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91,224</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92,627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94,001</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320" w:type="dxa"/>
            <w:vAlign w:val="bottom"/>
            <w:vMerge w:val="continue"/>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1,608,189</w:t>
            </w:r>
          </w:p>
        </w:tc>
        <w:tc>
          <w:tcPr>
            <w:tcW w:w="320" w:type="dxa"/>
            <w:vAlign w:val="bottom"/>
            <w:vMerge w:val="continue"/>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1,427,370</w:t>
            </w:r>
          </w:p>
        </w:tc>
        <w:tc>
          <w:tcPr>
            <w:tcW w:w="22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1,489,781</w:t>
            </w: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94,000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97,000</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debt</w:t>
            </w: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installments of</w:t>
            </w:r>
          </w:p>
        </w:tc>
        <w:tc>
          <w:tcPr>
            <w:tcW w:w="320" w:type="dxa"/>
            <w:vAlign w:val="bottom"/>
          </w:tcPr>
          <w:p>
            <w:pPr>
              <w:spacing w:after="0"/>
              <w:rPr>
                <w:sz w:val="17"/>
                <w:szCs w:val="17"/>
                <w:color w:val="auto"/>
              </w:rPr>
            </w:pP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6,119</w:t>
            </w:r>
          </w:p>
        </w:tc>
        <w:tc>
          <w:tcPr>
            <w:tcW w:w="3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5,936</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5,403</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423,818</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340,578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409,755</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320" w:type="dxa"/>
            <w:vAlign w:val="bottom"/>
          </w:tcPr>
          <w:p>
            <w:pPr>
              <w:spacing w:after="0"/>
              <w:rPr>
                <w:sz w:val="17"/>
                <w:szCs w:val="17"/>
                <w:color w:val="auto"/>
              </w:rPr>
            </w:pP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241,755</w:t>
            </w:r>
          </w:p>
        </w:tc>
        <w:tc>
          <w:tcPr>
            <w:tcW w:w="3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245,139</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233,029</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00" w:type="dxa"/>
            <w:vAlign w:val="bottom"/>
          </w:tcPr>
          <w:p>
            <w:pPr>
              <w:ind w:left="640"/>
              <w:spacing w:after="0"/>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765,692</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591,653</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745,187</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Long-term debt exclusive of current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installments:</w:t>
            </w:r>
          </w:p>
        </w:tc>
        <w:tc>
          <w:tcPr>
            <w:tcW w:w="320" w:type="dxa"/>
            <w:vAlign w:val="bottom"/>
          </w:tcPr>
          <w:p>
            <w:pPr>
              <w:spacing w:after="0"/>
              <w:rPr>
                <w:sz w:val="17"/>
                <w:szCs w:val="17"/>
                <w:color w:val="auto"/>
              </w:rPr>
            </w:pP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40,446</w:t>
            </w:r>
          </w:p>
        </w:tc>
        <w:tc>
          <w:tcPr>
            <w:tcW w:w="3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42,823</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45,089</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mortgages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notes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5,303</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6,776</w:t>
            </w:r>
          </w:p>
        </w:tc>
        <w:tc>
          <w:tcPr>
            <w:tcW w:w="0" w:type="dxa"/>
            <w:vAlign w:val="bottom"/>
          </w:tcPr>
          <w:p>
            <w:pPr>
              <w:spacing w:after="0"/>
              <w:rPr>
                <w:sz w:val="1"/>
                <w:szCs w:val="1"/>
                <w:color w:val="auto"/>
              </w:rPr>
            </w:pPr>
          </w:p>
        </w:tc>
      </w:tr>
      <w:tr>
        <w:trPr>
          <w:trHeight w:val="296"/>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General corporate debt</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161,830</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162,000</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125,000</w:t>
            </w: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29,985</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33,963</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36,411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at face value,</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5,000,000 shares, par</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 $1, issued and outstanding</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convertible stock of:</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25,000</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25,000</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25,000</w:t>
            </w: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- 250,000 shares of 8% Series A</w:t>
            </w:r>
          </w:p>
        </w:tc>
        <w:tc>
          <w:tcPr>
            <w:tcW w:w="1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- 1,650,000 shares of 6.25% Series C</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82,500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82,500</w:t>
            </w: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par value $1, authorized</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150,000,000 shares, issued and</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73,459,528, 73,430,615</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73,460</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73,431</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73,367</w:t>
            </w:r>
          </w:p>
        </w:tc>
        <w:tc>
          <w:tcPr>
            <w:tcW w:w="0" w:type="dxa"/>
            <w:vAlign w:val="bottom"/>
          </w:tcPr>
          <w:p>
            <w:pPr>
              <w:spacing w:after="0"/>
              <w:rPr>
                <w:sz w:val="1"/>
                <w:szCs w:val="1"/>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73,367,055 shares</w:t>
            </w:r>
          </w:p>
        </w:tc>
        <w:tc>
          <w:tcPr>
            <w:tcW w:w="1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285,463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284,744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281,719</w:t>
            </w: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138,510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125,225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68,732</w:t>
            </w:r>
          </w:p>
        </w:tc>
        <w:tc>
          <w:tcPr>
            <w:tcW w:w="0" w:type="dxa"/>
            <w:vAlign w:val="bottom"/>
          </w:tcPr>
          <w:p>
            <w:pPr>
              <w:spacing w:after="0"/>
              <w:rPr>
                <w:sz w:val="1"/>
                <w:szCs w:val="1"/>
                <w:color w:val="auto"/>
              </w:rPr>
            </w:pPr>
          </w:p>
        </w:tc>
      </w:tr>
      <w:tr>
        <w:trPr>
          <w:trHeight w:val="296"/>
        </w:trPr>
        <w:tc>
          <w:tcPr>
            <w:tcW w:w="4060" w:type="dxa"/>
            <w:vAlign w:val="bottom"/>
          </w:tcPr>
          <w:p>
            <w:pPr>
              <w:ind w:left="640"/>
              <w:spacing w:after="0"/>
              <w:rPr>
                <w:sz w:val="20"/>
                <w:szCs w:val="20"/>
                <w:color w:val="auto"/>
              </w:rPr>
            </w:pPr>
            <w:r>
              <w:rPr>
                <w:rFonts w:ascii="Courier New" w:cs="Courier New" w:eastAsia="Courier New" w:hAnsi="Courier New"/>
                <w:sz w:val="18"/>
                <w:szCs w:val="18"/>
                <w:color w:val="auto"/>
              </w:rPr>
              <w:t>Total shareholders' equity</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604,933</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590,900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531,318</w:t>
            </w:r>
          </w:p>
        </w:tc>
        <w:tc>
          <w:tcPr>
            <w:tcW w:w="0" w:type="dxa"/>
            <w:vAlign w:val="bottom"/>
          </w:tcPr>
          <w:p>
            <w:pPr>
              <w:spacing w:after="0"/>
              <w:rPr>
                <w:sz w:val="1"/>
                <w:szCs w:val="1"/>
                <w:color w:val="auto"/>
              </w:rPr>
            </w:pPr>
          </w:p>
        </w:tc>
      </w:tr>
      <w:tr>
        <w:trPr>
          <w:trHeight w:val="311"/>
        </w:trPr>
        <w:tc>
          <w:tcPr>
            <w:tcW w:w="4060" w:type="dxa"/>
            <w:vAlign w:val="bottom"/>
          </w:tcPr>
          <w:p>
            <w:pPr>
              <w:spacing w:after="0"/>
              <w:rPr>
                <w:sz w:val="20"/>
                <w:szCs w:val="20"/>
                <w:color w:val="auto"/>
              </w:rPr>
            </w:pPr>
            <w:r>
              <w:rPr>
                <w:rFonts w:ascii="Courier New" w:cs="Courier New" w:eastAsia="Courier New" w:hAnsi="Courier New"/>
                <w:sz w:val="18"/>
                <w:szCs w:val="18"/>
                <w:color w:val="auto"/>
              </w:rPr>
              <w:t>TOTAL LIABILITIES AND</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$1,608,189</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$1,427,370</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$1,489,781</w:t>
            </w:r>
          </w:p>
        </w:tc>
        <w:tc>
          <w:tcPr>
            <w:tcW w:w="0" w:type="dxa"/>
            <w:vAlign w:val="bottom"/>
          </w:tcPr>
          <w:p>
            <w:pPr>
              <w:spacing w:after="0"/>
              <w:rPr>
                <w:sz w:val="1"/>
                <w:szCs w:val="1"/>
                <w:color w:val="auto"/>
              </w:rPr>
            </w:pPr>
          </w:p>
        </w:tc>
      </w:tr>
      <w:tr>
        <w:trPr>
          <w:trHeight w:val="296"/>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SHAREHOLDERS' EQUITY</w:t>
            </w:r>
          </w:p>
        </w:tc>
        <w:tc>
          <w:tcPr>
            <w:tcW w:w="12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ectPr>
          <w:pgSz w:w="11900" w:h="16838" w:orient="portrait"/>
          <w:cols w:equalWidth="0" w:num="1">
            <w:col w:w="10219"/>
          </w:cols>
          <w:pgMar w:left="240" w:top="920" w:right="1440" w:bottom="0" w:gutter="0" w:footer="0" w:header="0"/>
        </w:sectPr>
      </w:pPr>
    </w:p>
    <w:bookmarkStart w:id="3" w:name="page4"/>
    <w:bookmarkEnd w:id="3"/>
    <w:p>
      <w:pPr>
        <w:jc w:val="center"/>
        <w:ind w:right="2199"/>
        <w:spacing w:after="0"/>
        <w:rPr>
          <w:sz w:val="20"/>
          <w:szCs w:val="20"/>
          <w:color w:val="auto"/>
        </w:rPr>
      </w:pPr>
      <w:r>
        <w:rPr>
          <w:rFonts w:ascii="Courier New" w:cs="Courier New" w:eastAsia="Courier New" w:hAnsi="Courier New"/>
          <w:sz w:val="18"/>
          <w:szCs w:val="18"/>
          <w:color w:val="auto"/>
        </w:rPr>
        <w:t>PAGE 5</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TJX COMPANIES, INC. AND CONSOLIDATED SUBSIDIARIES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STATEMENTS OF CASH FLOWS</w:t>
      </w:r>
    </w:p>
    <w:tbl>
      <w:tblPr>
        <w:tblLayout w:type="fixed"/>
        <w:tblInd w:w="0" w:type="dxa"/>
        <w:tblCellMar>
          <w:top w:w="0" w:type="dxa"/>
          <w:left w:w="0" w:type="dxa"/>
          <w:bottom w:w="0" w:type="dxa"/>
          <w:right w:w="0" w:type="dxa"/>
        </w:tblCellMar>
      </w:tblPr>
      <w:tr>
        <w:trPr>
          <w:trHeight w:val="171"/>
        </w:trPr>
        <w:tc>
          <w:tcPr>
            <w:tcW w:w="5220" w:type="dxa"/>
            <w:vAlign w:val="bottom"/>
          </w:tcPr>
          <w:p>
            <w:pPr>
              <w:jc w:val="right"/>
              <w:ind w:right="492"/>
              <w:spacing w:after="0" w:line="171"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5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4"/>
                <w:szCs w:val="24"/>
                <w:color w:val="auto"/>
              </w:rPr>
            </w:pPr>
          </w:p>
        </w:tc>
        <w:tc>
          <w:tcPr>
            <w:tcW w:w="2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Twenty-Six Weeks Ended</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July 30,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96"/>
        </w:trPr>
        <w:tc>
          <w:tcPr>
            <w:tcW w:w="522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109"/>
        </w:trPr>
        <w:tc>
          <w:tcPr>
            <w:tcW w:w="522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$ 38,165</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$ 48,642</w:t>
            </w:r>
          </w:p>
        </w:tc>
        <w:tc>
          <w:tcPr>
            <w:tcW w:w="0" w:type="dxa"/>
            <w:vAlign w:val="bottom"/>
          </w:tcPr>
          <w:p>
            <w:pPr>
              <w:spacing w:after="0"/>
              <w:rPr>
                <w:sz w:val="1"/>
                <w:szCs w:val="1"/>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changes</w:t>
            </w:r>
          </w:p>
        </w:tc>
        <w:tc>
          <w:tcPr>
            <w:tcW w:w="1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income before</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 accounting changes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net cash (used in) operating activities:</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36,575</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32,725</w:t>
            </w:r>
          </w:p>
        </w:tc>
        <w:tc>
          <w:tcPr>
            <w:tcW w:w="0" w:type="dxa"/>
            <w:vAlign w:val="bottom"/>
          </w:tcPr>
          <w:p>
            <w:pPr>
              <w:spacing w:after="0"/>
              <w:rPr>
                <w:sz w:val="1"/>
                <w:szCs w:val="1"/>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on property disposals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3,207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w:t>
            </w:r>
          </w:p>
        </w:tc>
        <w:tc>
          <w:tcPr>
            <w:tcW w:w="0" w:type="dxa"/>
            <w:vAlign w:val="bottom"/>
          </w:tcPr>
          <w:p>
            <w:pPr>
              <w:spacing w:after="0"/>
              <w:rPr>
                <w:sz w:val="1"/>
                <w:szCs w:val="1"/>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w:t>
            </w:r>
          </w:p>
        </w:tc>
        <w:tc>
          <w:tcPr>
            <w:tcW w:w="0" w:type="dxa"/>
            <w:vAlign w:val="bottom"/>
          </w:tcPr>
          <w:p>
            <w:pPr>
              <w:spacing w:after="0"/>
              <w:rPr>
                <w:sz w:val="1"/>
                <w:szCs w:val="1"/>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(7,866)</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(7,880)</w:t>
            </w:r>
          </w:p>
        </w:tc>
        <w:tc>
          <w:tcPr>
            <w:tcW w:w="0" w:type="dxa"/>
            <w:vAlign w:val="bottom"/>
          </w:tcPr>
          <w:p>
            <w:pPr>
              <w:spacing w:after="0"/>
              <w:rPr>
                <w:sz w:val="1"/>
                <w:szCs w:val="1"/>
                <w:color w:val="auto"/>
              </w:rPr>
            </w:pPr>
          </w:p>
        </w:tc>
      </w:tr>
      <w:tr>
        <w:trPr>
          <w:trHeight w:val="203"/>
        </w:trPr>
        <w:tc>
          <w:tcPr>
            <w:tcW w:w="5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accounts receivable</w:t>
            </w:r>
          </w:p>
        </w:tc>
        <w:tc>
          <w:tcPr>
            <w:tcW w:w="1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merchandise inventories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(191,019)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(239,594)</w:t>
            </w:r>
          </w:p>
        </w:tc>
        <w:tc>
          <w:tcPr>
            <w:tcW w:w="0" w:type="dxa"/>
            <w:vAlign w:val="bottom"/>
          </w:tcPr>
          <w:p>
            <w:pPr>
              <w:spacing w:after="0"/>
              <w:rPr>
                <w:sz w:val="1"/>
                <w:szCs w:val="1"/>
                <w:color w:val="auto"/>
              </w:rPr>
            </w:pPr>
          </w:p>
        </w:tc>
      </w:tr>
      <w:tr>
        <w:trPr>
          <w:trHeight w:val="203"/>
        </w:trPr>
        <w:tc>
          <w:tcPr>
            <w:tcW w:w="5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prepaid expenses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(3,763)</w:t>
            </w:r>
          </w:p>
        </w:tc>
        <w:tc>
          <w:tcPr>
            <w:tcW w:w="0" w:type="dxa"/>
            <w:vAlign w:val="bottom"/>
          </w:tcPr>
          <w:p>
            <w:pPr>
              <w:spacing w:after="0"/>
              <w:rPr>
                <w:sz w:val="1"/>
                <w:szCs w:val="1"/>
                <w:color w:val="auto"/>
              </w:rPr>
            </w:pPr>
          </w:p>
        </w:tc>
      </w:tr>
      <w:tr>
        <w:trPr>
          <w:trHeight w:val="203"/>
        </w:trPr>
        <w:tc>
          <w:tcPr>
            <w:tcW w:w="5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accounts payable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83,240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83,977</w:t>
            </w:r>
          </w:p>
        </w:tc>
        <w:tc>
          <w:tcPr>
            <w:tcW w:w="0" w:type="dxa"/>
            <w:vAlign w:val="bottom"/>
          </w:tcPr>
          <w:p>
            <w:pPr>
              <w:spacing w:after="0"/>
              <w:rPr>
                <w:sz w:val="1"/>
                <w:szCs w:val="1"/>
                <w:color w:val="auto"/>
              </w:rPr>
            </w:pPr>
          </w:p>
        </w:tc>
      </w:tr>
      <w:tr>
        <w:trPr>
          <w:trHeight w:val="203"/>
        </w:trPr>
        <w:tc>
          <w:tcPr>
            <w:tcW w:w="5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accrued expenses and</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(3,384)</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(22,818)</w:t>
            </w:r>
          </w:p>
        </w:tc>
        <w:tc>
          <w:tcPr>
            <w:tcW w:w="0" w:type="dxa"/>
            <w:vAlign w:val="bottom"/>
          </w:tcPr>
          <w:p>
            <w:pPr>
              <w:spacing w:after="0"/>
              <w:rPr>
                <w:sz w:val="1"/>
                <w:szCs w:val="1"/>
                <w:color w:val="auto"/>
              </w:rPr>
            </w:pPr>
          </w:p>
        </w:tc>
      </w:tr>
      <w:tr>
        <w:trPr>
          <w:trHeight w:val="203"/>
        </w:trPr>
        <w:tc>
          <w:tcPr>
            <w:tcW w:w="5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20" w:type="dxa"/>
            <w:vAlign w:val="bottom"/>
          </w:tcPr>
          <w:p>
            <w:pPr>
              <w:ind w:left="640"/>
              <w:spacing w:after="0"/>
              <w:rPr>
                <w:sz w:val="20"/>
                <w:szCs w:val="20"/>
                <w:color w:val="auto"/>
              </w:rPr>
            </w:pPr>
            <w:r>
              <w:rPr>
                <w:rFonts w:ascii="Courier New" w:cs="Courier New" w:eastAsia="Courier New" w:hAnsi="Courier New"/>
                <w:sz w:val="18"/>
                <w:szCs w:val="18"/>
                <w:color w:val="auto"/>
              </w:rPr>
              <w:t>(Decrease) in deferred income taxes</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(3,978)</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(552)</w:t>
            </w:r>
          </w:p>
        </w:tc>
        <w:tc>
          <w:tcPr>
            <w:tcW w:w="0" w:type="dxa"/>
            <w:vAlign w:val="bottom"/>
          </w:tcPr>
          <w:p>
            <w:pPr>
              <w:spacing w:after="0"/>
              <w:rPr>
                <w:sz w:val="1"/>
                <w:szCs w:val="1"/>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cash (used in) operating activities</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(47,140)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(109,421)</w:t>
            </w: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(56,936)</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(55,171)</w:t>
            </w:r>
          </w:p>
        </w:tc>
        <w:tc>
          <w:tcPr>
            <w:tcW w:w="0" w:type="dxa"/>
            <w:vAlign w:val="bottom"/>
          </w:tcPr>
          <w:p>
            <w:pPr>
              <w:spacing w:after="0"/>
              <w:rPr>
                <w:sz w:val="1"/>
                <w:szCs w:val="1"/>
                <w:color w:val="auto"/>
              </w:rPr>
            </w:pPr>
          </w:p>
        </w:tc>
      </w:tr>
      <w:tr>
        <w:trPr>
          <w:trHeight w:val="296"/>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Property additions</w:t>
            </w:r>
          </w:p>
        </w:tc>
        <w:tc>
          <w:tcPr>
            <w:tcW w:w="14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94,000</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97,000</w:t>
            </w:r>
          </w:p>
        </w:tc>
        <w:tc>
          <w:tcPr>
            <w:tcW w:w="0" w:type="dxa"/>
            <w:vAlign w:val="bottom"/>
          </w:tcPr>
          <w:p>
            <w:pPr>
              <w:spacing w:after="0"/>
              <w:rPr>
                <w:sz w:val="1"/>
                <w:szCs w:val="1"/>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 of short-term debt</w:t>
            </w:r>
          </w:p>
        </w:tc>
        <w:tc>
          <w:tcPr>
            <w:tcW w:w="1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(3,092)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(1,723)</w:t>
            </w:r>
          </w:p>
        </w:tc>
        <w:tc>
          <w:tcPr>
            <w:tcW w:w="0" w:type="dxa"/>
            <w:vAlign w:val="bottom"/>
          </w:tcPr>
          <w:p>
            <w:pPr>
              <w:spacing w:after="0"/>
              <w:rPr>
                <w:sz w:val="1"/>
                <w:szCs w:val="1"/>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and issuance of common</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551</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2,321</w:t>
            </w:r>
          </w:p>
        </w:tc>
        <w:tc>
          <w:tcPr>
            <w:tcW w:w="0" w:type="dxa"/>
            <w:vAlign w:val="bottom"/>
          </w:tcPr>
          <w:p>
            <w:pPr>
              <w:spacing w:after="0"/>
              <w:rPr>
                <w:sz w:val="1"/>
                <w:szCs w:val="1"/>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net</w:t>
            </w:r>
          </w:p>
        </w:tc>
        <w:tc>
          <w:tcPr>
            <w:tcW w:w="1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(24,880)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(21,905)</w:t>
            </w: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cash provided by financing activities</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66,579</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75,693</w:t>
            </w: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(37,497)</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(88,899)</w:t>
            </w: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 year</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58,102</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106,691</w:t>
            </w:r>
          </w:p>
        </w:tc>
        <w:tc>
          <w:tcPr>
            <w:tcW w:w="0" w:type="dxa"/>
            <w:vAlign w:val="bottom"/>
          </w:tcPr>
          <w:p>
            <w:pPr>
              <w:spacing w:after="0"/>
              <w:rPr>
                <w:sz w:val="1"/>
                <w:szCs w:val="1"/>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$ 20,605</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$ 17,792</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2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PAGE 6</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MANAGEMENT'S DISCUSSION AND ANALYSIS OF RESULTS</w:t>
      </w:r>
    </w:p>
    <w:p>
      <w:pPr>
        <w:spacing w:after="0" w:line="3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OF OPERATIONS AND FINANCIAL CONDITION</w:t>
      </w:r>
    </w:p>
    <w:p>
      <w:pPr>
        <w:spacing w:after="0" w:line="16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Thirteen Weeks (Second Quarter) and Twenty-Six Weeks Ended July 30, 1994</w:t>
      </w:r>
    </w:p>
    <w:p>
      <w:pPr>
        <w:spacing w:after="0" w:line="3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Versus Thirteen Weeks and Twenty-Six Weeks Ended July 31, 1993</w:t>
      </w:r>
    </w:p>
    <w:p>
      <w:pPr>
        <w:spacing w:after="0" w:line="169" w:lineRule="exact"/>
        <w:rPr>
          <w:sz w:val="20"/>
          <w:szCs w:val="20"/>
          <w:color w:val="auto"/>
        </w:rPr>
      </w:pPr>
    </w:p>
    <w:p>
      <w:pPr>
        <w:ind w:right="2319"/>
        <w:spacing w:after="0" w:line="280" w:lineRule="auto"/>
        <w:rPr>
          <w:sz w:val="20"/>
          <w:szCs w:val="20"/>
          <w:color w:val="auto"/>
        </w:rPr>
      </w:pPr>
      <w:r>
        <w:rPr>
          <w:rFonts w:ascii="Courier New" w:cs="Courier New" w:eastAsia="Courier New" w:hAnsi="Courier New"/>
          <w:sz w:val="16"/>
          <w:szCs w:val="16"/>
          <w:color w:val="auto"/>
        </w:rPr>
        <w:t>Net sales for the second quarter increased 3% to $866.7 million up from $841.1 million last year. For the six months, net sales increased 6% to $1,718.4 million up from $1,626.7 million for the same period last year. The increase in sales for both periods is attributable to new stores. Same store sales for the second quarter decreased by 1% and 9% for T.J. Maxx and Hit or Miss, respectively, and increased by 10% for Winners. For the six months, same store sales were flat for T.J. Maxx, decreased 5% for Hit or Miss and increased 11% for Winners. In general, sales comparisons are impacted by a general softness, industrywide, in apparel sales. Chadwick's sales decreased by 10% and 2% for the second quarter and six months, respectively. During the second quarter, demand for certain items in the summer catalog exceeded expectations and, therefore, Chadwick's was unable to achieve its desired fulfillment rates. Chadwick's year-to-date results also reflect a poor performance by the spring catalog.</w:t>
      </w:r>
    </w:p>
    <w:p>
      <w:pPr>
        <w:spacing w:after="0" w:line="290" w:lineRule="exact"/>
        <w:rPr>
          <w:sz w:val="20"/>
          <w:szCs w:val="20"/>
          <w:color w:val="auto"/>
        </w:rPr>
      </w:pPr>
    </w:p>
    <w:p>
      <w:pPr>
        <w:ind w:right="2419"/>
        <w:spacing w:after="0" w:line="256" w:lineRule="auto"/>
        <w:rPr>
          <w:sz w:val="20"/>
          <w:szCs w:val="20"/>
          <w:color w:val="auto"/>
        </w:rPr>
      </w:pPr>
      <w:r>
        <w:rPr>
          <w:rFonts w:ascii="Courier New" w:cs="Courier New" w:eastAsia="Courier New" w:hAnsi="Courier New"/>
          <w:sz w:val="18"/>
          <w:szCs w:val="18"/>
          <w:color w:val="auto"/>
        </w:rPr>
        <w:t>Net income for the second quarter was $18.8 million, or $.23 per common share versus last year's $26.0 million, or $.33 per common share. For the six months, net income was $38.2 million, or $.47 per common share versus $48.6 million, or $.61 per common share before the cumulative effect of accounting changes of $2.7 million recorded in that period. Net income in the prior period, after the one-time charge for accounting changes, was $46.0 million, or $.57 per common share.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sets forth operating results expressed as a percentage</w:t>
      </w:r>
    </w:p>
    <w:p>
      <w:pPr>
        <w:sectPr>
          <w:pgSz w:w="11900" w:h="16838" w:orient="portrait"/>
          <w:cols w:equalWidth="0" w:num="1">
            <w:col w:w="10219"/>
          </w:cols>
          <w:pgMar w:left="24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of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w:t>
      </w:r>
    </w:p>
    <w:p>
      <w:pPr>
        <w:spacing w:after="0" w:line="31" w:lineRule="exact"/>
        <w:rPr>
          <w:sz w:val="20"/>
          <w:szCs w:val="20"/>
          <w:color w:val="auto"/>
        </w:rPr>
      </w:pPr>
    </w:p>
    <w:p>
      <w:pPr>
        <w:ind w:left="220" w:right="420" w:hanging="210"/>
        <w:spacing w:after="0" w:line="238" w:lineRule="auto"/>
        <w:rPr>
          <w:sz w:val="20"/>
          <w:szCs w:val="20"/>
          <w:color w:val="auto"/>
        </w:rPr>
      </w:pPr>
      <w:r>
        <w:rPr>
          <w:rFonts w:ascii="Courier New" w:cs="Courier New" w:eastAsia="Courier New" w:hAnsi="Courier New"/>
          <w:sz w:val="18"/>
          <w:szCs w:val="18"/>
          <w:color w:val="auto"/>
        </w:rPr>
        <w:t>Cost of sales, including buying and occupancy costs</w:t>
      </w:r>
    </w:p>
    <w:p>
      <w:pPr>
        <w:spacing w:after="0" w:line="1" w:lineRule="exact"/>
        <w:rPr>
          <w:sz w:val="20"/>
          <w:szCs w:val="20"/>
          <w:color w:val="auto"/>
        </w:rPr>
      </w:pPr>
    </w:p>
    <w:p>
      <w:pPr>
        <w:ind w:left="220" w:hanging="210"/>
        <w:spacing w:after="0" w:line="238" w:lineRule="auto"/>
        <w:rPr>
          <w:sz w:val="20"/>
          <w:szCs w:val="20"/>
          <w:color w:val="auto"/>
        </w:rPr>
      </w:pPr>
      <w:r>
        <w:rPr>
          <w:rFonts w:ascii="Courier New" w:cs="Courier New" w:eastAsia="Courier New" w:hAnsi="Courier New"/>
          <w:sz w:val="18"/>
          <w:szCs w:val="18"/>
          <w:color w:val="auto"/>
        </w:rPr>
        <w:t>Selling, general and administrative expenses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on debt and capital leases</w:t>
      </w:r>
    </w:p>
    <w:p>
      <w:pPr>
        <w:spacing w:after="0" w:line="192" w:lineRule="exact"/>
        <w:rPr>
          <w:sz w:val="20"/>
          <w:szCs w:val="20"/>
          <w:color w:val="auto"/>
        </w:rPr>
      </w:pPr>
    </w:p>
    <w:p>
      <w:pPr>
        <w:jc w:val="both"/>
        <w:ind w:left="220" w:right="960" w:hanging="210"/>
        <w:spacing w:after="0" w:line="344" w:lineRule="auto"/>
        <w:rPr>
          <w:sz w:val="20"/>
          <w:szCs w:val="20"/>
          <w:color w:val="auto"/>
        </w:rPr>
      </w:pPr>
      <w:r>
        <w:rPr>
          <w:rFonts w:ascii="Courier New" w:cs="Courier New" w:eastAsia="Courier New" w:hAnsi="Courier New"/>
          <w:sz w:val="16"/>
          <w:szCs w:val="16"/>
          <w:color w:val="auto"/>
        </w:rPr>
        <w:t>Income before income taxes and cumulative effect of accounting changes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Percentage of Net Sales</w:t>
      </w:r>
    </w:p>
    <w:tbl>
      <w:tblPr>
        <w:tblLayout w:type="fixed"/>
        <w:tblInd w:w="0" w:type="dxa"/>
        <w:tblCellMar>
          <w:top w:w="0" w:type="dxa"/>
          <w:left w:w="0" w:type="dxa"/>
          <w:bottom w:w="0" w:type="dxa"/>
          <w:right w:w="0" w:type="dxa"/>
        </w:tblCellMar>
      </w:tblPr>
      <w:tr>
        <w:trPr>
          <w:trHeight w:val="201"/>
        </w:trPr>
        <w:tc>
          <w:tcPr>
            <w:tcW w:w="1780" w:type="dxa"/>
            <w:vAlign w:val="bottom"/>
            <w:gridSpan w:val="2"/>
          </w:tcPr>
          <w:p>
            <w:pPr>
              <w:jc w:val="right"/>
              <w:ind w:right="112"/>
              <w:spacing w:after="0" w:line="201" w:lineRule="exact"/>
              <w:rPr>
                <w:sz w:val="20"/>
                <w:szCs w:val="20"/>
                <w:color w:val="auto"/>
              </w:rPr>
            </w:pPr>
            <w:r>
              <w:rPr>
                <w:rFonts w:ascii="Courier New" w:cs="Courier New" w:eastAsia="Courier New" w:hAnsi="Courier New"/>
                <w:sz w:val="18"/>
                <w:szCs w:val="18"/>
                <w:color w:val="auto"/>
              </w:rPr>
              <w:t>13 Weeks Ended</w:t>
            </w:r>
          </w:p>
        </w:tc>
        <w:tc>
          <w:tcPr>
            <w:tcW w:w="1800" w:type="dxa"/>
            <w:vAlign w:val="bottom"/>
            <w:gridSpan w:val="2"/>
          </w:tcPr>
          <w:p>
            <w:pPr>
              <w:jc w:val="right"/>
              <w:ind w:right="12"/>
              <w:spacing w:after="0" w:line="201" w:lineRule="exact"/>
              <w:rPr>
                <w:sz w:val="20"/>
                <w:szCs w:val="20"/>
                <w:color w:val="auto"/>
              </w:rPr>
            </w:pPr>
            <w:r>
              <w:rPr>
                <w:rFonts w:ascii="Courier New" w:cs="Courier New" w:eastAsia="Courier New" w:hAnsi="Courier New"/>
                <w:sz w:val="18"/>
                <w:szCs w:val="18"/>
                <w:color w:val="auto"/>
              </w:rPr>
              <w:t>26 Weeks Ended</w:t>
            </w:r>
          </w:p>
        </w:tc>
      </w:tr>
      <w:tr>
        <w:trPr>
          <w:trHeight w:val="296"/>
        </w:trPr>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7/30/94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7/31/93</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7/30/94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7/31/93</w:t>
            </w:r>
          </w:p>
        </w:tc>
      </w:tr>
      <w:tr>
        <w:trPr>
          <w:trHeight w:val="405"/>
        </w:trPr>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75.8</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75.7</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75.2</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75.1</w:t>
            </w:r>
          </w:p>
        </w:tc>
      </w:tr>
      <w:tr>
        <w:trPr>
          <w:trHeight w:val="311"/>
        </w:trPr>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18.5</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w:t>
            </w:r>
          </w:p>
        </w:tc>
      </w:tr>
      <w:tr>
        <w:trPr>
          <w:trHeight w:val="296"/>
        </w:trPr>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r>
        <w:trPr>
          <w:trHeight w:val="810"/>
        </w:trPr>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bl>
    <w:p>
      <w:pPr>
        <w:spacing w:after="0" w:line="277" w:lineRule="exact"/>
        <w:rPr>
          <w:sz w:val="20"/>
          <w:szCs w:val="20"/>
          <w:color w:val="auto"/>
        </w:rPr>
      </w:pPr>
    </w:p>
    <w:p>
      <w:pPr>
        <w:sectPr>
          <w:pgSz w:w="11900" w:h="16838" w:orient="portrait"/>
          <w:cols w:equalWidth="0" w:num="2">
            <w:col w:w="3700" w:space="420"/>
            <w:col w:w="6099"/>
          </w:cols>
          <w:pgMar w:left="240" w:top="110" w:right="1440" w:bottom="62" w:gutter="0" w:footer="0" w:header="0"/>
        </w:sectPr>
      </w:pPr>
    </w:p>
    <w:p>
      <w:pPr>
        <w:spacing w:after="0" w:line="34" w:lineRule="exact"/>
        <w:rPr>
          <w:sz w:val="20"/>
          <w:szCs w:val="20"/>
          <w:color w:val="auto"/>
        </w:rPr>
      </w:pPr>
    </w:p>
    <w:p>
      <w:pPr>
        <w:ind w:right="2839"/>
        <w:spacing w:after="0" w:line="292" w:lineRule="auto"/>
        <w:rPr>
          <w:sz w:val="20"/>
          <w:szCs w:val="20"/>
          <w:color w:val="auto"/>
        </w:rPr>
      </w:pPr>
      <w:r>
        <w:rPr>
          <w:rFonts w:ascii="Courier New" w:cs="Courier New" w:eastAsia="Courier New" w:hAnsi="Courier New"/>
          <w:sz w:val="18"/>
          <w:szCs w:val="18"/>
          <w:color w:val="auto"/>
        </w:rPr>
        <w:t>Consolidated cost of sales, including buying and occupancy costs, as a percentage of net sales remained fairly constant in both periods as compared to last year.</w:t>
      </w:r>
    </w:p>
    <w:p>
      <w:pPr>
        <w:spacing w:after="0" w:line="66" w:lineRule="exact"/>
        <w:rPr>
          <w:sz w:val="20"/>
          <w:szCs w:val="20"/>
          <w:color w:val="auto"/>
        </w:rPr>
      </w:pPr>
    </w:p>
    <w:p>
      <w:pPr>
        <w:ind w:right="2319"/>
        <w:spacing w:after="0" w:line="265" w:lineRule="auto"/>
        <w:rPr>
          <w:sz w:val="20"/>
          <w:szCs w:val="20"/>
          <w:color w:val="auto"/>
        </w:rPr>
      </w:pPr>
      <w:r>
        <w:rPr>
          <w:rFonts w:ascii="Courier New" w:cs="Courier New" w:eastAsia="Courier New" w:hAnsi="Courier New"/>
          <w:sz w:val="18"/>
          <w:szCs w:val="18"/>
          <w:color w:val="auto"/>
        </w:rPr>
        <w:t>Selling, general and administrative expenses as a percentage of net sales increased in both periods, which reflects the weak sales performance of apparel in the U.S. divisions. In addition, this percentage is impacted by the net operating results of T.K. Maxx, the Company's start-up United Kingdom venture.</w:t>
      </w:r>
    </w:p>
    <w:p>
      <w:pPr>
        <w:spacing w:after="0" w:line="29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PAGE 7</w:t>
      </w:r>
    </w:p>
    <w:p>
      <w:pPr>
        <w:spacing w:after="0" w:line="201" w:lineRule="exact"/>
        <w:rPr>
          <w:sz w:val="20"/>
          <w:szCs w:val="20"/>
          <w:color w:val="auto"/>
        </w:rPr>
      </w:pPr>
    </w:p>
    <w:p>
      <w:pPr>
        <w:ind w:right="2319"/>
        <w:spacing w:after="0" w:line="257" w:lineRule="auto"/>
        <w:rPr>
          <w:sz w:val="20"/>
          <w:szCs w:val="20"/>
          <w:color w:val="auto"/>
        </w:rPr>
      </w:pPr>
      <w:r>
        <w:rPr>
          <w:rFonts w:ascii="Courier New" w:cs="Courier New" w:eastAsia="Courier New" w:hAnsi="Courier New"/>
          <w:sz w:val="18"/>
          <w:szCs w:val="18"/>
          <w:color w:val="auto"/>
        </w:rPr>
        <w:t>The following table sets forth the operating results of the Company's major business segments: (unaudited)</w:t>
      </w:r>
    </w:p>
    <w:tbl>
      <w:tblPr>
        <w:tblLayout w:type="fixed"/>
        <w:tblInd w:w="0" w:type="dxa"/>
        <w:tblCellMar>
          <w:top w:w="0" w:type="dxa"/>
          <w:left w:w="0" w:type="dxa"/>
          <w:bottom w:w="0" w:type="dxa"/>
          <w:right w:w="0" w:type="dxa"/>
        </w:tblCellMar>
      </w:tblPr>
      <w:tr>
        <w:trPr>
          <w:trHeight w:val="296"/>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(In Thousands)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960" w:type="dxa"/>
            <w:vAlign w:val="bottom"/>
          </w:tcPr>
          <w:p>
            <w:pPr>
              <w:spacing w:after="0"/>
              <w:rPr>
                <w:sz w:val="24"/>
                <w:szCs w:val="24"/>
                <w:color w:val="auto"/>
              </w:rPr>
            </w:pPr>
          </w:p>
        </w:tc>
        <w:tc>
          <w:tcPr>
            <w:tcW w:w="242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Thirteen Weeks Ended</w:t>
            </w:r>
          </w:p>
        </w:tc>
        <w:tc>
          <w:tcPr>
            <w:tcW w:w="242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6"/>
              </w:rPr>
              <w:t>Twenty-Six Weeks Ended</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July 30,</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July 31,</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July 30,</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96"/>
        </w:trPr>
        <w:tc>
          <w:tcPr>
            <w:tcW w:w="2960" w:type="dxa"/>
            <w:vAlign w:val="bottom"/>
            <w:vMerge w:val="restart"/>
          </w:tcPr>
          <w:p>
            <w:pPr>
              <w:spacing w:after="0"/>
              <w:rPr>
                <w:sz w:val="20"/>
                <w:szCs w:val="20"/>
                <w:color w:val="auto"/>
              </w:rPr>
            </w:pPr>
            <w:r>
              <w:rPr>
                <w:rFonts w:ascii="Courier New" w:cs="Courier New" w:eastAsia="Courier New" w:hAnsi="Courier New"/>
                <w:sz w:val="18"/>
                <w:szCs w:val="18"/>
                <w:color w:val="auto"/>
              </w:rPr>
              <w:t>Net sales:</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109"/>
        </w:trPr>
        <w:tc>
          <w:tcPr>
            <w:tcW w:w="29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Off-price family</w:t>
            </w:r>
          </w:p>
        </w:tc>
        <w:tc>
          <w:tcPr>
            <w:tcW w:w="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689,849</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649,423</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4"/>
              </w:rPr>
              <w:t>1,343,277</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1,243,163</w:t>
            </w:r>
          </w:p>
        </w:tc>
        <w:tc>
          <w:tcPr>
            <w:tcW w:w="0" w:type="dxa"/>
            <w:vAlign w:val="bottom"/>
          </w:tcPr>
          <w:p>
            <w:pPr>
              <w:spacing w:after="0"/>
              <w:rPr>
                <w:sz w:val="1"/>
                <w:szCs w:val="1"/>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apparel stores</w:t>
            </w: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Off-price women's</w:t>
            </w:r>
          </w:p>
        </w:tc>
        <w:tc>
          <w:tcPr>
            <w:tcW w:w="320" w:type="dxa"/>
            <w:vAlign w:val="bottom"/>
          </w:tcPr>
          <w:p>
            <w:pPr>
              <w:spacing w:after="0"/>
              <w:rPr>
                <w:sz w:val="17"/>
                <w:szCs w:val="17"/>
                <w:color w:val="auto"/>
              </w:rPr>
            </w:pP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91,449</w:t>
            </w:r>
          </w:p>
        </w:tc>
        <w:tc>
          <w:tcPr>
            <w:tcW w:w="2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96,493</w:t>
            </w:r>
          </w:p>
        </w:tc>
        <w:tc>
          <w:tcPr>
            <w:tcW w:w="2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180,925</w:t>
            </w: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184,789</w:t>
            </w:r>
          </w:p>
        </w:tc>
        <w:tc>
          <w:tcPr>
            <w:tcW w:w="0" w:type="dxa"/>
            <w:vAlign w:val="bottom"/>
          </w:tcPr>
          <w:p>
            <w:pPr>
              <w:spacing w:after="0"/>
              <w:rPr>
                <w:sz w:val="1"/>
                <w:szCs w:val="1"/>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specialty stores</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Off-price catalog</w:t>
            </w:r>
          </w:p>
        </w:tc>
        <w:tc>
          <w:tcPr>
            <w:tcW w:w="320" w:type="dxa"/>
            <w:vAlign w:val="bottom"/>
          </w:tcPr>
          <w:p>
            <w:pPr>
              <w:spacing w:after="0"/>
              <w:rPr>
                <w:sz w:val="17"/>
                <w:szCs w:val="17"/>
                <w:color w:val="auto"/>
              </w:rPr>
            </w:pP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85,391</w:t>
            </w:r>
          </w:p>
        </w:tc>
        <w:tc>
          <w:tcPr>
            <w:tcW w:w="2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95,138</w:t>
            </w:r>
          </w:p>
        </w:tc>
        <w:tc>
          <w:tcPr>
            <w:tcW w:w="2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194,223</w:t>
            </w: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198,739</w:t>
            </w:r>
          </w:p>
        </w:tc>
        <w:tc>
          <w:tcPr>
            <w:tcW w:w="0" w:type="dxa"/>
            <w:vAlign w:val="bottom"/>
          </w:tcPr>
          <w:p>
            <w:pPr>
              <w:spacing w:after="0"/>
              <w:rPr>
                <w:sz w:val="1"/>
                <w:szCs w:val="1"/>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operation</w:t>
            </w:r>
          </w:p>
        </w:tc>
        <w:tc>
          <w:tcPr>
            <w:tcW w:w="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continue"/>
          </w:tcPr>
          <w:p>
            <w:pPr>
              <w:spacing w:after="0"/>
              <w:rPr>
                <w:sz w:val="17"/>
                <w:szCs w:val="17"/>
                <w:color w:val="auto"/>
              </w:rPr>
            </w:pP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continue"/>
          </w:tcPr>
          <w:p>
            <w:pPr>
              <w:spacing w:after="0"/>
              <w:rPr>
                <w:sz w:val="17"/>
                <w:szCs w:val="17"/>
                <w:color w:val="auto"/>
              </w:rPr>
            </w:pP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866,689</w:t>
            </w:r>
          </w:p>
        </w:tc>
        <w:tc>
          <w:tcPr>
            <w:tcW w:w="260" w:type="dxa"/>
            <w:vAlign w:val="bottom"/>
            <w:vMerge w:val="continue"/>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841,054</w:t>
            </w:r>
          </w:p>
        </w:tc>
        <w:tc>
          <w:tcPr>
            <w:tcW w:w="220" w:type="dxa"/>
            <w:vAlign w:val="bottom"/>
            <w:vMerge w:val="continue"/>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1,718,425</w:t>
            </w:r>
          </w:p>
        </w:tc>
        <w:tc>
          <w:tcPr>
            <w:tcW w:w="16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1,626,691</w:t>
            </w: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Off-price family</w:t>
            </w:r>
          </w:p>
        </w:tc>
        <w:tc>
          <w:tcPr>
            <w:tcW w:w="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46,924</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45,451</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93,603</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88,198</w:t>
            </w:r>
          </w:p>
        </w:tc>
        <w:tc>
          <w:tcPr>
            <w:tcW w:w="0" w:type="dxa"/>
            <w:vAlign w:val="bottom"/>
          </w:tcPr>
          <w:p>
            <w:pPr>
              <w:spacing w:after="0"/>
              <w:rPr>
                <w:sz w:val="1"/>
                <w:szCs w:val="1"/>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apparel stores</w:t>
            </w: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Off-price women's</w:t>
            </w:r>
          </w:p>
        </w:tc>
        <w:tc>
          <w:tcPr>
            <w:tcW w:w="320" w:type="dxa"/>
            <w:vAlign w:val="bottom"/>
          </w:tcPr>
          <w:p>
            <w:pPr>
              <w:spacing w:after="0"/>
              <w:rPr>
                <w:sz w:val="17"/>
                <w:szCs w:val="17"/>
                <w:color w:val="auto"/>
              </w:rPr>
            </w:pP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(1,171)</w:t>
            </w:r>
          </w:p>
        </w:tc>
        <w:tc>
          <w:tcPr>
            <w:tcW w:w="2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3,603</w:t>
            </w:r>
          </w:p>
        </w:tc>
        <w:tc>
          <w:tcPr>
            <w:tcW w:w="2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(928)</w:t>
            </w: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3,726</w:t>
            </w:r>
          </w:p>
        </w:tc>
        <w:tc>
          <w:tcPr>
            <w:tcW w:w="0" w:type="dxa"/>
            <w:vAlign w:val="bottom"/>
          </w:tcPr>
          <w:p>
            <w:pPr>
              <w:spacing w:after="0"/>
              <w:rPr>
                <w:sz w:val="1"/>
                <w:szCs w:val="1"/>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specialty stores</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Off-price catalog</w:t>
            </w:r>
          </w:p>
        </w:tc>
        <w:tc>
          <w:tcPr>
            <w:tcW w:w="320" w:type="dxa"/>
            <w:vAlign w:val="bottom"/>
          </w:tcPr>
          <w:p>
            <w:pPr>
              <w:spacing w:after="0"/>
              <w:rPr>
                <w:sz w:val="17"/>
                <w:szCs w:val="17"/>
                <w:color w:val="auto"/>
              </w:rPr>
            </w:pP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4,111</w:t>
            </w:r>
          </w:p>
        </w:tc>
        <w:tc>
          <w:tcPr>
            <w:tcW w:w="2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7,112</w:t>
            </w:r>
          </w:p>
        </w:tc>
        <w:tc>
          <w:tcPr>
            <w:tcW w:w="2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5,083</w:t>
            </w: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13,595</w:t>
            </w:r>
          </w:p>
        </w:tc>
        <w:tc>
          <w:tcPr>
            <w:tcW w:w="0" w:type="dxa"/>
            <w:vAlign w:val="bottom"/>
          </w:tcPr>
          <w:p>
            <w:pPr>
              <w:spacing w:after="0"/>
              <w:rPr>
                <w:sz w:val="1"/>
                <w:szCs w:val="1"/>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operation</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49,864</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56,166</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97,758</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105,519</w:t>
            </w: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General corporate expense*</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11,115</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7,050</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19,943</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13,448</w:t>
            </w:r>
          </w:p>
        </w:tc>
        <w:tc>
          <w:tcPr>
            <w:tcW w:w="0" w:type="dxa"/>
            <w:vAlign w:val="bottom"/>
          </w:tcPr>
          <w:p>
            <w:pPr>
              <w:spacing w:after="0"/>
              <w:rPr>
                <w:sz w:val="1"/>
                <w:szCs w:val="1"/>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654</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654</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1,307</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5,724</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5,035</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11,203</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9,781</w:t>
            </w: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cumulative effect of</w:t>
            </w:r>
          </w:p>
        </w:tc>
        <w:tc>
          <w:tcPr>
            <w:tcW w:w="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32,371</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43,427</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65,305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80,981</w:t>
            </w:r>
          </w:p>
        </w:tc>
        <w:tc>
          <w:tcPr>
            <w:tcW w:w="0" w:type="dxa"/>
            <w:vAlign w:val="bottom"/>
          </w:tcPr>
          <w:p>
            <w:pPr>
              <w:spacing w:after="0"/>
              <w:rPr>
                <w:sz w:val="1"/>
                <w:szCs w:val="1"/>
                <w:color w:val="auto"/>
              </w:rPr>
            </w:pPr>
          </w:p>
        </w:tc>
      </w:tr>
      <w:tr>
        <w:trPr>
          <w:trHeight w:val="296"/>
        </w:trPr>
        <w:tc>
          <w:tcPr>
            <w:tcW w:w="2960" w:type="dxa"/>
            <w:vAlign w:val="bottom"/>
          </w:tcPr>
          <w:p>
            <w:pPr>
              <w:ind w:left="220"/>
              <w:spacing w:after="0"/>
              <w:rPr>
                <w:sz w:val="20"/>
                <w:szCs w:val="20"/>
                <w:color w:val="auto"/>
              </w:rPr>
            </w:pPr>
            <w:r>
              <w:rPr>
                <w:rFonts w:ascii="Courier New" w:cs="Courier New" w:eastAsia="Courier New" w:hAnsi="Courier New"/>
                <w:sz w:val="18"/>
                <w:szCs w:val="18"/>
                <w:color w:val="auto"/>
              </w:rPr>
              <w:t>accounting changes</w:t>
            </w:r>
          </w:p>
        </w:tc>
        <w:tc>
          <w:tcPr>
            <w:tcW w:w="32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right="2419" w:hanging="212"/>
        <w:spacing w:after="0" w:line="265"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periods ended July 31, 1993 include the net operating results of HomeGoods and Value Mart. The periods ended July 30, 1994 include the operating results of HomeGoods and T.K. Maxx. In addition, the 26 weeks ended July 30, 1994 include a reserve for the closing of the Value Mart operation.</w:t>
      </w:r>
    </w:p>
    <w:p>
      <w:pPr>
        <w:spacing w:after="0" w:line="90"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8"/>
          <w:szCs w:val="18"/>
          <w:color w:val="auto"/>
        </w:rPr>
        <w:t>The off-price family apparel stores segment, T.J. Maxx and Winners, recorded an increase of 3% and 6% in operating profit in the second quarter and six months, respectively. Hit or Miss, which has a narrower merchandise mix, was more directly impacted by the softness in apparel sales and recorded a decrease in operating profit in both periods. Chadwick's of Boston experienced a decrease in operating income for both periods. Demand for certain items in the summer catalog outpaced expectations, impacting desired fulfillment rates and ultimately second quarter operating income. In addition, the year-to-date results reflect a poor performance of the spring catalogs.</w:t>
      </w:r>
    </w:p>
    <w:p>
      <w:pPr>
        <w:sectPr>
          <w:pgSz w:w="11900" w:h="16838" w:orient="portrait"/>
          <w:cols w:equalWidth="0" w:num="1">
            <w:col w:w="10219"/>
          </w:cols>
          <w:pgMar w:left="240" w:top="110" w:right="1440" w:bottom="62" w:gutter="0" w:footer="0" w:header="0"/>
          <w:type w:val="continuous"/>
        </w:sectPr>
      </w:pPr>
    </w:p>
    <w:bookmarkStart w:id="5" w:name="page6"/>
    <w:bookmarkEnd w:id="5"/>
    <w:p>
      <w:pPr>
        <w:spacing w:after="0" w:line="8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Stores in operation at the end of the period are as follows: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96"/>
        </w:trPr>
        <w:tc>
          <w:tcPr>
            <w:tcW w:w="2000" w:type="dxa"/>
            <w:vAlign w:val="bottom"/>
          </w:tcPr>
          <w:p>
            <w:pPr>
              <w:spacing w:after="0"/>
              <w:rPr>
                <w:sz w:val="24"/>
                <w:szCs w:val="24"/>
                <w:color w:val="auto"/>
              </w:rPr>
            </w:pPr>
          </w:p>
        </w:tc>
        <w:tc>
          <w:tcPr>
            <w:tcW w:w="2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July 30, 1994</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July 31, 1993</w:t>
            </w: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T.J. Maxx</w:t>
            </w:r>
          </w:p>
        </w:tc>
        <w:tc>
          <w:tcPr>
            <w:tcW w:w="2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520</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489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Hit or Miss</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504</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496</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Winners</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29</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HomeGoods</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T.K. Maxx</w:t>
            </w:r>
          </w:p>
        </w:tc>
        <w:tc>
          <w:tcPr>
            <w:tcW w:w="2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right="2319"/>
        <w:spacing w:after="0" w:line="260" w:lineRule="auto"/>
        <w:rPr>
          <w:sz w:val="20"/>
          <w:szCs w:val="20"/>
          <w:color w:val="auto"/>
        </w:rPr>
      </w:pPr>
      <w:r>
        <w:rPr>
          <w:rFonts w:ascii="Courier New" w:cs="Courier New" w:eastAsia="Courier New" w:hAnsi="Courier New"/>
          <w:sz w:val="18"/>
          <w:szCs w:val="18"/>
          <w:color w:val="auto"/>
        </w:rPr>
        <w:t>Cash flows from operating and financing activities for the six months reflect increases in inventory, accounts payable, and short-term borrowings, which are primarily due to normal seasonal requirements. In addition for the period ended July 31, 1993, cash flows were impacted by an increase in income taxes paid due to the Ames cash settlement received in December 1992.</w:t>
      </w:r>
    </w:p>
    <w:p>
      <w:pPr>
        <w:spacing w:after="0" w:line="93" w:lineRule="exact"/>
        <w:rPr>
          <w:sz w:val="20"/>
          <w:szCs w:val="20"/>
          <w:color w:val="auto"/>
        </w:rPr>
      </w:pPr>
    </w:p>
    <w:p>
      <w:pPr>
        <w:ind w:right="2619"/>
        <w:spacing w:after="0" w:line="282" w:lineRule="auto"/>
        <w:rPr>
          <w:sz w:val="20"/>
          <w:szCs w:val="20"/>
          <w:color w:val="auto"/>
        </w:rPr>
      </w:pPr>
      <w:r>
        <w:rPr>
          <w:rFonts w:ascii="Courier New" w:cs="Courier New" w:eastAsia="Courier New" w:hAnsi="Courier New"/>
          <w:sz w:val="16"/>
          <w:szCs w:val="16"/>
          <w:color w:val="auto"/>
        </w:rPr>
        <w:t>During the second quarter, the Company increased its unsecured committed short-term credit lines to $300 million. These lines, when needed, are drawn upon or used as backup to the Company's commercial paper program.</w:t>
      </w:r>
    </w:p>
    <w:p>
      <w:pPr>
        <w:spacing w:after="0" w:line="1" w:lineRule="exact"/>
        <w:rPr>
          <w:sz w:val="20"/>
          <w:szCs w:val="20"/>
          <w:color w:val="auto"/>
        </w:rPr>
      </w:pPr>
    </w:p>
    <w:p>
      <w:pPr>
        <w:ind w:right="2319"/>
        <w:spacing w:after="0" w:line="309" w:lineRule="auto"/>
        <w:rPr>
          <w:sz w:val="20"/>
          <w:szCs w:val="20"/>
          <w:color w:val="auto"/>
        </w:rPr>
      </w:pPr>
      <w:r>
        <w:rPr>
          <w:rFonts w:ascii="Courier New" w:cs="Courier New" w:eastAsia="Courier New" w:hAnsi="Courier New"/>
          <w:sz w:val="18"/>
          <w:szCs w:val="18"/>
          <w:color w:val="auto"/>
        </w:rPr>
        <w:t>The Company believes that internally generated funds along with its ability to access external financing sources, will meet its needs.</w:t>
      </w:r>
    </w:p>
    <w:p>
      <w:pPr>
        <w:spacing w:after="0" w:line="51" w:lineRule="exact"/>
        <w:rPr>
          <w:sz w:val="20"/>
          <w:szCs w:val="20"/>
          <w:color w:val="auto"/>
        </w:rPr>
      </w:pPr>
    </w:p>
    <w:p>
      <w:pPr>
        <w:ind w:right="2619"/>
        <w:spacing w:after="0" w:line="256" w:lineRule="auto"/>
        <w:rPr>
          <w:sz w:val="20"/>
          <w:szCs w:val="20"/>
          <w:color w:val="auto"/>
        </w:rPr>
      </w:pPr>
      <w:r>
        <w:rPr>
          <w:rFonts w:ascii="Courier New" w:cs="Courier New" w:eastAsia="Courier New" w:hAnsi="Courier New"/>
          <w:sz w:val="18"/>
          <w:szCs w:val="18"/>
          <w:color w:val="auto"/>
        </w:rPr>
        <w:t>The Company has available reserves for lease and other contingent liabilities associated with the 1988 sale of the Company's former Zayre Stores division to Ames Department Stores, Inc. and the Company believes that these reserves should be adequate to cover all reasonably expected liabilities that it may incur as a result of the Ames bankruptcy. On December 30, 1992, Ames emerged from bankruptcy pursuant to a plan of reorganization.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August 16, 1994, the Company announced a repurchase program of up to</w:t>
      </w:r>
    </w:p>
    <w:p>
      <w:pPr>
        <w:spacing w:after="0" w:line="31" w:lineRule="exact"/>
        <w:rPr>
          <w:sz w:val="20"/>
          <w:szCs w:val="20"/>
          <w:color w:val="auto"/>
        </w:rPr>
      </w:pPr>
    </w:p>
    <w:p>
      <w:pPr>
        <w:ind w:right="2319"/>
        <w:spacing w:after="0" w:line="262" w:lineRule="auto"/>
        <w:rPr>
          <w:sz w:val="20"/>
          <w:szCs w:val="20"/>
          <w:color w:val="auto"/>
        </w:rPr>
      </w:pPr>
      <w:r>
        <w:rPr>
          <w:rFonts w:ascii="Courier New" w:cs="Courier New" w:eastAsia="Courier New" w:hAnsi="Courier New"/>
          <w:sz w:val="18"/>
          <w:szCs w:val="18"/>
          <w:color w:val="auto"/>
        </w:rPr>
        <w:t>$100 million of the Company's common stock. At current market prices, this would represent approximately 6-7% of the Company's outstanding common stock. The repurchase of these shares would be accomplished over time through open market purchases or through other transactions.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PAGE 9</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320" w:right="2519" w:hanging="312"/>
        <w:spacing w:after="0" w:line="26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for the first six months are not necessarily indicative of results for the full fiscal year, because the Company's business, in common with the businesses of retailers generally, is subject to seasonal influences, with higher levels of sales and income generally realized in the second half of the year.</w:t>
      </w:r>
    </w:p>
    <w:p>
      <w:pPr>
        <w:spacing w:after="0" w:line="89" w:lineRule="exact"/>
        <w:rPr>
          <w:rFonts w:ascii="Courier New" w:cs="Courier New" w:eastAsia="Courier New" w:hAnsi="Courier New"/>
          <w:sz w:val="18"/>
          <w:szCs w:val="18"/>
          <w:color w:val="auto"/>
        </w:rPr>
      </w:pPr>
    </w:p>
    <w:p>
      <w:pPr>
        <w:ind w:left="320" w:right="2319" w:hanging="312"/>
        <w:spacing w:after="0" w:line="25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preceding data are unaudited and reflect all normal recurring adjustments, the use of retail statistics, and accruals and deferrals among periods required to match costs properly with the related revenue or activity, considered necessary by the Company for a fair presentation of its financial statements for the periods reported, all in accordance with generally accepted accounting principles and practices consistently applied.</w:t>
      </w:r>
    </w:p>
    <w:p>
      <w:pPr>
        <w:spacing w:after="0" w:line="98" w:lineRule="exact"/>
        <w:rPr>
          <w:rFonts w:ascii="Courier New" w:cs="Courier New" w:eastAsia="Courier New" w:hAnsi="Courier New"/>
          <w:sz w:val="18"/>
          <w:szCs w:val="18"/>
          <w:color w:val="auto"/>
        </w:rPr>
      </w:pPr>
    </w:p>
    <w:p>
      <w:pPr>
        <w:ind w:left="320" w:right="2319" w:hanging="312"/>
        <w:spacing w:after="0" w:line="25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available reserves for lease and other contingent liabilities associated with the 1988 sale of the Company's former Zayre Stores division to Ames Department Stores, Inc. and the Company believes that these reserves should be adequate to cover all reasonably expected liabilities that it may incur as a result of the Ames bankruptcy. On December 30, 1992, Ames emerged from bankruptcy pursuant to a plan of reorganization.</w:t>
      </w:r>
    </w:p>
    <w:p>
      <w:pPr>
        <w:spacing w:after="0" w:line="98" w:lineRule="exact"/>
        <w:rPr>
          <w:rFonts w:ascii="Courier New" w:cs="Courier New" w:eastAsia="Courier New" w:hAnsi="Courier New"/>
          <w:sz w:val="18"/>
          <w:szCs w:val="18"/>
          <w:color w:val="auto"/>
        </w:rPr>
      </w:pPr>
    </w:p>
    <w:p>
      <w:pPr>
        <w:ind w:left="320" w:right="2319" w:hanging="312"/>
        <w:spacing w:after="0" w:line="257"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cash payments for interest expense and income taxes are as follows: (in thousands)</w:t>
      </w:r>
    </w:p>
    <w:p>
      <w:pPr>
        <w:ind w:left="4960"/>
        <w:spacing w:after="0"/>
        <w:rPr>
          <w:sz w:val="20"/>
          <w:szCs w:val="20"/>
          <w:color w:val="auto"/>
        </w:rPr>
      </w:pPr>
      <w:r>
        <w:rPr>
          <w:rFonts w:ascii="Courier New" w:cs="Courier New" w:eastAsia="Courier New" w:hAnsi="Courier New"/>
          <w:sz w:val="18"/>
          <w:szCs w:val="18"/>
          <w:color w:val="auto"/>
        </w:rPr>
        <w:t>Twenty-Six Weeks Ended</w:t>
      </w:r>
    </w:p>
    <w:p>
      <w:pPr>
        <w:ind w:left="5060"/>
        <w:spacing w:after="0"/>
        <w:tabs>
          <w:tab w:leader="none" w:pos="6420" w:val="left"/>
        </w:tabs>
        <w:rPr>
          <w:sz w:val="20"/>
          <w:szCs w:val="20"/>
          <w:color w:val="auto"/>
        </w:rPr>
      </w:pPr>
      <w:r>
        <w:rPr>
          <w:rFonts w:ascii="Courier New" w:cs="Courier New" w:eastAsia="Courier New" w:hAnsi="Courier New"/>
          <w:sz w:val="18"/>
          <w:szCs w:val="18"/>
          <w:color w:val="auto"/>
        </w:rPr>
        <w:t>July 30,</w:t>
      </w:r>
      <w:r>
        <w:rPr>
          <w:sz w:val="20"/>
          <w:szCs w:val="20"/>
          <w:color w:val="auto"/>
        </w:rPr>
        <w:tab/>
      </w:r>
      <w:r>
        <w:rPr>
          <w:rFonts w:ascii="Courier New" w:cs="Courier New" w:eastAsia="Courier New" w:hAnsi="Courier New"/>
          <w:sz w:val="16"/>
          <w:szCs w:val="16"/>
          <w:color w:val="auto"/>
        </w:rPr>
        <w:t>July 31,</w:t>
      </w:r>
    </w:p>
    <w:p>
      <w:pPr>
        <w:sectPr>
          <w:pgSz w:w="11900" w:h="16838" w:orient="portrait"/>
          <w:cols w:equalWidth="0" w:num="1">
            <w:col w:w="10219"/>
          </w:cols>
          <w:pgMar w:left="240" w:top="1440" w:right="1440" w:bottom="0" w:gutter="0" w:footer="0" w:header="0"/>
        </w:sectPr>
      </w:pPr>
    </w:p>
    <w:bookmarkStart w:id="6" w:name="page7"/>
    <w:bookmarkEnd w:id="6"/>
    <w:tbl>
      <w:tblPr>
        <w:tblLayout w:type="fixed"/>
        <w:tblInd w:w="540" w:type="dxa"/>
        <w:tblCellMar>
          <w:top w:w="0" w:type="dxa"/>
          <w:left w:w="0" w:type="dxa"/>
          <w:bottom w:w="0" w:type="dxa"/>
          <w:right w:w="0" w:type="dxa"/>
        </w:tblCellMar>
      </w:tblPr>
      <w:tr>
        <w:trPr>
          <w:trHeight w:val="296"/>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Cash paid</w:t>
            </w:r>
          </w:p>
        </w:tc>
        <w:tc>
          <w:tcPr>
            <w:tcW w:w="33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for:</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109"/>
        </w:trPr>
        <w:tc>
          <w:tcPr>
            <w:tcW w:w="1000" w:type="dxa"/>
            <w:vAlign w:val="bottom"/>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$11,229</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$ 9,340</w:t>
            </w:r>
          </w:p>
        </w:tc>
        <w:tc>
          <w:tcPr>
            <w:tcW w:w="0" w:type="dxa"/>
            <w:vAlign w:val="bottom"/>
          </w:tcPr>
          <w:p>
            <w:pPr>
              <w:spacing w:after="0"/>
              <w:rPr>
                <w:sz w:val="1"/>
                <w:szCs w:val="1"/>
                <w:color w:val="auto"/>
              </w:rPr>
            </w:pPr>
          </w:p>
        </w:tc>
      </w:tr>
      <w:tr>
        <w:trPr>
          <w:trHeight w:val="203"/>
        </w:trPr>
        <w:tc>
          <w:tcPr>
            <w:tcW w:w="4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on debt and capital leases</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Income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taxes</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33,882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44,951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0" w:right="2519" w:hanging="312"/>
        <w:spacing w:after="0" w:line="289" w:lineRule="auto"/>
        <w:tabs>
          <w:tab w:leader="none" w:pos="3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31, 1993, the Company adopted the provisions of Statement of Financial Accounting Standards No. 109, "Accounting for Income Taxes" (SFAS No. 109). SFAS No. 109 requires the adjustment of deferred tax assets and liabilities to reflect the effect of enacted changes in tax laws or rates. In connection with the adoption of SFAS No. 109, the Company recorded as a cumulative effect of an accounting change, a gain of $3,478,000, or $.05 per share, which represents the net decrease to the net deferred tax liability as of January 31, 1993.</w:t>
      </w:r>
    </w:p>
    <w:p>
      <w:pPr>
        <w:spacing w:after="0" w:line="77" w:lineRule="exact"/>
        <w:rPr>
          <w:rFonts w:ascii="Courier New" w:cs="Courier New" w:eastAsia="Courier New" w:hAnsi="Courier New"/>
          <w:sz w:val="16"/>
          <w:szCs w:val="16"/>
          <w:color w:val="auto"/>
        </w:rPr>
      </w:pPr>
    </w:p>
    <w:p>
      <w:pPr>
        <w:ind w:left="320" w:right="2319" w:hanging="312"/>
        <w:spacing w:after="0" w:line="25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31, 1993, the Company also adopted the Statement of Financial Accounting Standards No. 106 "Employers' Accounting for Postretirement Benefits Other Than Pensions." This standard requires accrual for the cost of postretirement health care and life insurance benefits during the years that an employee provides services to the Company. The Company has elected to recognize the transition obligation in full as of January 31, 1993, and accordingly has recorded a one-time implementation charge of $6,145,000, net of a tax benefit of $3,937,000, as a cumulative effect of an accounting change. The Company's cash flows are not impacted by the new accounting.</w:t>
      </w:r>
    </w:p>
    <w:p>
      <w:pPr>
        <w:spacing w:after="0" w:line="104" w:lineRule="exact"/>
        <w:rPr>
          <w:rFonts w:ascii="Courier New" w:cs="Courier New" w:eastAsia="Courier New" w:hAnsi="Courier New"/>
          <w:sz w:val="18"/>
          <w:szCs w:val="18"/>
          <w:color w:val="auto"/>
        </w:rPr>
      </w:pPr>
    </w:p>
    <w:p>
      <w:pPr>
        <w:ind w:left="320" w:right="2419" w:hanging="312"/>
        <w:spacing w:after="0" w:line="278" w:lineRule="auto"/>
        <w:tabs>
          <w:tab w:leader="none" w:pos="3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16, 1994, the Company authorized the repurchase of up to $100 million of TJX common stock. At current prices, this would represent approximately 6-7% of the Company's outstanding common stock. The repurchase of these shares would be accomplished over time through open</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market purchases or through other transactions.</w:t>
      </w:r>
    </w:p>
    <w:p>
      <w:pPr>
        <w:ind w:left="3580"/>
        <w:spacing w:after="0"/>
        <w:rPr>
          <w:sz w:val="20"/>
          <w:szCs w:val="20"/>
          <w:color w:val="auto"/>
        </w:rPr>
      </w:pPr>
      <w:r>
        <w:rPr>
          <w:rFonts w:ascii="Courier New" w:cs="Courier New" w:eastAsia="Courier New" w:hAnsi="Courier New"/>
          <w:sz w:val="18"/>
          <w:szCs w:val="18"/>
          <w:color w:val="auto"/>
        </w:rPr>
        <w:t>PAGE 10</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160" w:right="2619"/>
        <w:spacing w:after="0" w:line="265" w:lineRule="auto"/>
        <w:rPr>
          <w:sz w:val="20"/>
          <w:szCs w:val="20"/>
          <w:color w:val="auto"/>
        </w:rPr>
      </w:pPr>
      <w:r>
        <w:rPr>
          <w:rFonts w:ascii="Courier New" w:cs="Courier New" w:eastAsia="Courier New" w:hAnsi="Courier New"/>
          <w:sz w:val="18"/>
          <w:szCs w:val="18"/>
          <w:color w:val="auto"/>
        </w:rPr>
        <w:t>Information with respect to matters voted on at the Company's Annual Meeting of Stockholders on June 7, 1994 (during the period covered by this report) was provided in the Company's Quarterly Report on Form 10-Q for the quarter ended April 30, 1994.</w:t>
      </w:r>
    </w:p>
    <w:p>
      <w:pPr>
        <w:spacing w:after="0" w:line="9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413"/>
        <w:spacing w:after="0"/>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11 - Statement re Computation of Per Share Earnings</w:t>
      </w:r>
    </w:p>
    <w:p>
      <w:pPr>
        <w:spacing w:after="0" w:line="223" w:lineRule="exact"/>
        <w:rPr>
          <w:rFonts w:ascii="Courier New" w:cs="Courier New" w:eastAsia="Courier New" w:hAnsi="Courier New"/>
          <w:sz w:val="16"/>
          <w:szCs w:val="16"/>
          <w:color w:val="auto"/>
        </w:rPr>
      </w:pPr>
    </w:p>
    <w:p>
      <w:pPr>
        <w:ind w:left="1580" w:right="2419" w:hanging="413"/>
        <w:spacing w:after="0" w:line="289"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reports on Form 8-K with the Securities and Exchange Commission during the quarter ended</w:t>
      </w:r>
    </w:p>
    <w:p>
      <w:pPr>
        <w:ind w:left="1580"/>
        <w:spacing w:after="0"/>
        <w:rPr>
          <w:sz w:val="20"/>
          <w:szCs w:val="20"/>
          <w:color w:val="auto"/>
        </w:rPr>
      </w:pPr>
      <w:r>
        <w:rPr>
          <w:rFonts w:ascii="Courier New" w:cs="Courier New" w:eastAsia="Courier New" w:hAnsi="Courier New"/>
          <w:sz w:val="18"/>
          <w:szCs w:val="18"/>
          <w:color w:val="auto"/>
        </w:rPr>
        <w:t>July 30, 1994.</w:t>
      </w:r>
    </w:p>
    <w:p>
      <w:pPr>
        <w:ind w:left="3580"/>
        <w:spacing w:after="0"/>
        <w:rPr>
          <w:sz w:val="20"/>
          <w:szCs w:val="20"/>
          <w:color w:val="auto"/>
        </w:rPr>
      </w:pPr>
      <w:r>
        <w:rPr>
          <w:rFonts w:ascii="Courier New" w:cs="Courier New" w:eastAsia="Courier New" w:hAnsi="Courier New"/>
          <w:sz w:val="18"/>
          <w:szCs w:val="18"/>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right="3039"/>
        <w:spacing w:after="0" w:line="344"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TJX COMPANIES, INC.</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 August 31, 1994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Donald G. Campbell</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Donald G. Campbell, Senior Vice</w:t>
      </w:r>
    </w:p>
    <w:p>
      <w:pPr>
        <w:ind w:left="3160"/>
        <w:spacing w:after="0" w:line="238" w:lineRule="auto"/>
        <w:rPr>
          <w:sz w:val="20"/>
          <w:szCs w:val="20"/>
          <w:color w:val="auto"/>
        </w:rPr>
      </w:pPr>
      <w:r>
        <w:rPr>
          <w:rFonts w:ascii="Courier New" w:cs="Courier New" w:eastAsia="Courier New" w:hAnsi="Courier New"/>
          <w:sz w:val="18"/>
          <w:szCs w:val="18"/>
          <w:color w:val="auto"/>
        </w:rPr>
        <w:t>President - Finance, on behalf</w:t>
      </w:r>
    </w:p>
    <w:p>
      <w:pPr>
        <w:ind w:left="3160"/>
        <w:spacing w:after="0"/>
        <w:rPr>
          <w:sz w:val="20"/>
          <w:szCs w:val="20"/>
          <w:color w:val="auto"/>
        </w:rPr>
      </w:pPr>
      <w:r>
        <w:rPr>
          <w:rFonts w:ascii="Courier New" w:cs="Courier New" w:eastAsia="Courier New" w:hAnsi="Courier New"/>
          <w:sz w:val="18"/>
          <w:szCs w:val="18"/>
          <w:color w:val="auto"/>
        </w:rPr>
        <w:t>of The TJX Companies, Inc. and as</w:t>
      </w:r>
    </w:p>
    <w:p>
      <w:pPr>
        <w:ind w:left="3160"/>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ind w:left="3160"/>
        <w:spacing w:after="0"/>
        <w:rPr>
          <w:sz w:val="20"/>
          <w:szCs w:val="20"/>
          <w:color w:val="auto"/>
        </w:rPr>
      </w:pPr>
      <w:r>
        <w:rPr>
          <w:rFonts w:ascii="Courier New" w:cs="Courier New" w:eastAsia="Courier New" w:hAnsi="Courier New"/>
          <w:sz w:val="18"/>
          <w:szCs w:val="18"/>
          <w:color w:val="auto"/>
        </w:rPr>
        <w:t>Officer of The TJX Companies, Inc.</w:t>
      </w:r>
    </w:p>
    <w:p>
      <w:pPr>
        <w:sectPr>
          <w:pgSz w:w="11900" w:h="16838" w:orient="portrait"/>
          <w:cols w:equalWidth="0" w:num="1">
            <w:col w:w="10219"/>
          </w:cols>
          <w:pgMar w:left="240" w:top="110" w:right="1440" w:bottom="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6860"/>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PAGE 1</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COMPUTATION OF NET INCOME PER COMMON SHARE</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(UNAUDITED)</w:t>
      </w: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2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Thirteen Weeks Ended</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Twenty-Six Weeks Ended</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July 30,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July 31,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July 30,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The computation of net income</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 and adjusted</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shares outstanding follows:</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$18,796</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$25,985</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$38,165</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$45,975</w:t>
            </w:r>
          </w:p>
        </w:tc>
        <w:tc>
          <w:tcPr>
            <w:tcW w:w="0" w:type="dxa"/>
            <w:vAlign w:val="bottom"/>
          </w:tcPr>
          <w:p>
            <w:pPr>
              <w:spacing w:after="0"/>
              <w:rPr>
                <w:sz w:val="1"/>
                <w:szCs w:val="1"/>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Less:</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(1,789)</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(1,789)</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(3,578)</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(3,578)</w:t>
            </w:r>
          </w:p>
        </w:tc>
        <w:tc>
          <w:tcPr>
            <w:tcW w:w="0" w:type="dxa"/>
            <w:vAlign w:val="bottom"/>
          </w:tcPr>
          <w:p>
            <w:pPr>
              <w:spacing w:after="0"/>
              <w:rPr>
                <w:sz w:val="1"/>
                <w:szCs w:val="1"/>
                <w:color w:val="auto"/>
              </w:rPr>
            </w:pPr>
          </w:p>
        </w:tc>
      </w:tr>
      <w:tr>
        <w:trPr>
          <w:trHeight w:val="296"/>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Preferred stock dividends</w:t>
            </w:r>
          </w:p>
        </w:tc>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 used for primary</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fully diluted</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$17,007</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$24,196</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$34,587</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$42,397</w:t>
            </w:r>
          </w:p>
        </w:tc>
        <w:tc>
          <w:tcPr>
            <w:tcW w:w="0" w:type="dxa"/>
            <w:vAlign w:val="bottom"/>
          </w:tcPr>
          <w:p>
            <w:pPr>
              <w:spacing w:after="0"/>
              <w:rPr>
                <w:sz w:val="1"/>
                <w:szCs w:val="1"/>
                <w:color w:val="auto"/>
              </w:rPr>
            </w:pPr>
          </w:p>
        </w:tc>
      </w:tr>
      <w:tr>
        <w:trPr>
          <w:trHeight w:val="296"/>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computation</w:t>
            </w:r>
          </w:p>
        </w:tc>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06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73,459,548</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73,367,069</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73,462,483</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9"/>
              </w:rPr>
              <w:t>73,372,883</w:t>
            </w:r>
          </w:p>
        </w:tc>
        <w:tc>
          <w:tcPr>
            <w:tcW w:w="0" w:type="dxa"/>
            <w:vAlign w:val="bottom"/>
          </w:tcPr>
          <w:p>
            <w:pPr>
              <w:spacing w:after="0"/>
              <w:rPr>
                <w:sz w:val="1"/>
                <w:szCs w:val="1"/>
                <w:color w:val="auto"/>
              </w:rPr>
            </w:pPr>
          </w:p>
        </w:tc>
      </w:tr>
      <w:tr>
        <w:trPr>
          <w:trHeight w:val="296"/>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common shares outstanding</w:t>
            </w:r>
          </w:p>
        </w:tc>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Add (where dilutive):</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Assumed exercise of those</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 that are common</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equivalents, net of</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shares deemed to</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404,980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789,045</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497,179</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770,064</w:t>
            </w:r>
          </w:p>
        </w:tc>
        <w:tc>
          <w:tcPr>
            <w:tcW w:w="0" w:type="dxa"/>
            <w:vAlign w:val="bottom"/>
          </w:tcPr>
          <w:p>
            <w:pPr>
              <w:spacing w:after="0"/>
              <w:rPr>
                <w:sz w:val="1"/>
                <w:szCs w:val="1"/>
                <w:color w:val="auto"/>
              </w:rPr>
            </w:pPr>
          </w:p>
        </w:tc>
      </w:tr>
      <w:tr>
        <w:trPr>
          <w:trHeight w:val="296"/>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have been repurchased</w:t>
            </w:r>
          </w:p>
        </w:tc>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Adjusted shares outstanding,</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for primary and</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73,864,528</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74,156,114</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73,959,662</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9"/>
              </w:rPr>
              <w:t>74,142,947</w:t>
            </w:r>
          </w:p>
        </w:tc>
        <w:tc>
          <w:tcPr>
            <w:tcW w:w="0" w:type="dxa"/>
            <w:vAlign w:val="bottom"/>
          </w:tcPr>
          <w:p>
            <w:pPr>
              <w:spacing w:after="0"/>
              <w:rPr>
                <w:sz w:val="1"/>
                <w:szCs w:val="1"/>
                <w:color w:val="auto"/>
              </w:rPr>
            </w:pPr>
          </w:p>
        </w:tc>
      </w:tr>
      <w:tr>
        <w:trPr>
          <w:trHeight w:val="296"/>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fully diluted computation</w:t>
            </w:r>
          </w:p>
        </w:tc>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2019-12-12T06:17:55Z</dcterms:created>
  <dcterms:modified xsi:type="dcterms:W3CDTF">2019-12-12T06:17:55Z</dcterms:modified>
</cp:coreProperties>
</file>