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9, 2026</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THE TJX COMPANIES,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1-4908</w:t>
            </w:r>
          </w:p>
        </w:tc>
        <w:tc>
          <w:tcPr>
            <w:tcW w:w="52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04-2207613</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520" w:type="dxa"/>
            <w:vAlign w:val="bottom"/>
          </w:tcPr>
          <w:p>
            <w:pPr>
              <w:spacing w:after="0"/>
              <w:rPr>
                <w:sz w:val="20"/>
                <w:szCs w:val="20"/>
                <w:color w:val="auto"/>
              </w:rPr>
            </w:pPr>
          </w:p>
        </w:tc>
        <w:tc>
          <w:tcPr>
            <w:tcW w:w="3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35"/>
        </w:trPr>
        <w:tc>
          <w:tcPr>
            <w:tcW w:w="3380" w:type="dxa"/>
            <w:vAlign w:val="bottom"/>
          </w:tcPr>
          <w:p>
            <w:pPr>
              <w:spacing w:after="0"/>
              <w:rPr>
                <w:sz w:val="24"/>
                <w:szCs w:val="24"/>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770 Cochituate Road, Framingham, MA 01701</w:t>
            </w: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380" w:type="dxa"/>
            <w:vAlign w:val="bottom"/>
          </w:tcPr>
          <w:p>
            <w:pPr>
              <w:spacing w:after="0"/>
              <w:rPr>
                <w:sz w:val="20"/>
                <w:szCs w:val="20"/>
                <w:color w:val="auto"/>
              </w:rPr>
            </w:pPr>
          </w:p>
        </w:tc>
      </w:tr>
      <w:tr>
        <w:trPr>
          <w:trHeight w:val="441"/>
        </w:trPr>
        <w:tc>
          <w:tcPr>
            <w:tcW w:w="3380" w:type="dxa"/>
            <w:vAlign w:val="bottom"/>
          </w:tcPr>
          <w:p>
            <w:pPr>
              <w:spacing w:after="0"/>
              <w:rPr>
                <w:sz w:val="24"/>
                <w:szCs w:val="24"/>
                <w:color w:val="auto"/>
              </w:rPr>
            </w:pP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(508) 390-1000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8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929292"/>
              <w:left w:val="single" w:sz="8" w:color="929292"/>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top w:val="single" w:sz="8" w:color="929292"/>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929292"/>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60" w:type="dxa"/>
            <w:vAlign w:val="bottom"/>
            <w:tcBorders>
              <w:left w:val="single" w:sz="8" w:color="929292"/>
              <w:bottom w:val="single" w:sz="8" w:color="929292"/>
              <w:right w:val="single" w:sz="8" w:color="929292"/>
            </w:tcBorders>
          </w:tcPr>
          <w:p>
            <w:pPr>
              <w:spacing w:after="0"/>
              <w:rPr>
                <w:sz w:val="2"/>
                <w:szCs w:val="2"/>
                <w:color w:val="auto"/>
              </w:rPr>
            </w:pPr>
          </w:p>
        </w:tc>
        <w:tc>
          <w:tcPr>
            <w:tcW w:w="2220" w:type="dxa"/>
            <w:vAlign w:val="bottom"/>
            <w:tcBorders>
              <w:bottom w:val="single" w:sz="8" w:color="929292"/>
              <w:right w:val="single" w:sz="8" w:color="929292"/>
            </w:tcBorders>
          </w:tcPr>
          <w:p>
            <w:pPr>
              <w:spacing w:after="0"/>
              <w:rPr>
                <w:sz w:val="2"/>
                <w:szCs w:val="2"/>
                <w:color w:val="auto"/>
              </w:rPr>
            </w:pPr>
          </w:p>
        </w:tc>
        <w:tc>
          <w:tcPr>
            <w:tcW w:w="4480" w:type="dxa"/>
            <w:vAlign w:val="bottom"/>
            <w:tcBorders>
              <w:bottom w:val="single" w:sz="8" w:color="929292"/>
              <w:right w:val="single" w:sz="8" w:color="929292"/>
            </w:tcBorders>
          </w:tcPr>
          <w:p>
            <w:pPr>
              <w:spacing w:after="0"/>
              <w:rPr>
                <w:sz w:val="2"/>
                <w:szCs w:val="2"/>
                <w:color w:val="auto"/>
              </w:rPr>
            </w:pPr>
          </w:p>
        </w:tc>
      </w:tr>
      <w:tr>
        <w:trPr>
          <w:trHeight w:val="237"/>
        </w:trPr>
        <w:tc>
          <w:tcPr>
            <w:tcW w:w="4560" w:type="dxa"/>
            <w:vAlign w:val="bottom"/>
            <w:tcBorders>
              <w:left w:val="single" w:sz="8" w:color="929292"/>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20" w:type="dxa"/>
            <w:vAlign w:val="bottom"/>
            <w:tcBorders>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rPr>
              <w:t>TJX</w:t>
            </w:r>
          </w:p>
        </w:tc>
        <w:tc>
          <w:tcPr>
            <w:tcW w:w="4480" w:type="dxa"/>
            <w:vAlign w:val="bottom"/>
            <w:tcBorders>
              <w:right w:val="single" w:sz="8" w:color="929292"/>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560" w:type="dxa"/>
            <w:vAlign w:val="bottom"/>
            <w:tcBorders>
              <w:left w:val="single" w:sz="8" w:color="929292"/>
              <w:bottom w:val="single" w:sz="8" w:color="929292"/>
              <w:right w:val="single" w:sz="8" w:color="929292"/>
            </w:tcBorders>
          </w:tcPr>
          <w:p>
            <w:pPr>
              <w:spacing w:after="0"/>
              <w:rPr>
                <w:sz w:val="2"/>
                <w:szCs w:val="2"/>
                <w:color w:val="auto"/>
              </w:rPr>
            </w:pPr>
          </w:p>
        </w:tc>
        <w:tc>
          <w:tcPr>
            <w:tcW w:w="2220" w:type="dxa"/>
            <w:vAlign w:val="bottom"/>
            <w:tcBorders>
              <w:bottom w:val="single" w:sz="8" w:color="929292"/>
              <w:right w:val="single" w:sz="8" w:color="929292"/>
            </w:tcBorders>
          </w:tcPr>
          <w:p>
            <w:pPr>
              <w:spacing w:after="0"/>
              <w:rPr>
                <w:sz w:val="2"/>
                <w:szCs w:val="2"/>
                <w:color w:val="auto"/>
              </w:rPr>
            </w:pPr>
          </w:p>
        </w:tc>
        <w:tc>
          <w:tcPr>
            <w:tcW w:w="4480" w:type="dxa"/>
            <w:vAlign w:val="bottom"/>
            <w:tcBorders>
              <w:bottom w:val="single" w:sz="8" w:color="929292"/>
              <w:right w:val="single" w:sz="8" w:color="929292"/>
            </w:tcBorders>
          </w:tcPr>
          <w:p>
            <w:pPr>
              <w:spacing w:after="0"/>
              <w:rPr>
                <w:sz w:val="2"/>
                <w:szCs w:val="2"/>
                <w:color w:val="auto"/>
              </w:rPr>
            </w:pPr>
          </w:p>
        </w:tc>
      </w:tr>
    </w:tbl>
    <w:p>
      <w:pPr>
        <w:spacing w:after="0" w:line="90" w:lineRule="exact"/>
        <w:rPr>
          <w:sz w:val="24"/>
          <w:szCs w:val="24"/>
          <w:color w:val="auto"/>
        </w:rPr>
      </w:pPr>
    </w:p>
    <w:p>
      <w:pPr>
        <w:ind w:right="54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The TJX Companies, Inc. (the “Company”) was held on June 9, 2026. The final voting results of the annual meeting are as follows:</w:t>
      </w:r>
    </w:p>
    <w:p>
      <w:pPr>
        <w:spacing w:after="0" w:line="2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Each nominee for director was elected, each to serve until the next annual meeting of shareholders and until his or her successor is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Abstaining</w:t>
            </w:r>
          </w:p>
        </w:tc>
        <w:tc>
          <w:tcPr>
            <w:tcW w:w="1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José B. Alvarez</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906,606,065</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18,085,317</w:t>
            </w:r>
          </w:p>
        </w:tc>
        <w:tc>
          <w:tcPr>
            <w:tcW w:w="1920" w:type="dxa"/>
            <w:vAlign w:val="bottom"/>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99"/>
              </w:rPr>
              <w:t>1,065,434</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Alan M. Bennett</w:t>
            </w:r>
          </w:p>
        </w:tc>
        <w:tc>
          <w:tcPr>
            <w:tcW w:w="2500" w:type="dxa"/>
            <w:vAlign w:val="bottom"/>
          </w:tcPr>
          <w:p>
            <w:pPr>
              <w:jc w:val="center"/>
              <w:ind w:left="330"/>
              <w:spacing w:after="0" w:line="202" w:lineRule="exact"/>
              <w:rPr>
                <w:sz w:val="20"/>
                <w:szCs w:val="20"/>
                <w:color w:val="auto"/>
              </w:rPr>
            </w:pPr>
            <w:r>
              <w:rPr>
                <w:rFonts w:ascii="Times New Roman" w:cs="Times New Roman" w:eastAsia="Times New Roman" w:hAnsi="Times New Roman"/>
                <w:sz w:val="18"/>
                <w:szCs w:val="18"/>
                <w:color w:val="auto"/>
                <w:w w:val="97"/>
              </w:rPr>
              <w:t>873,119,178</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52,061,926</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575,712</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Rosemary T. Berkery</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900,228,100</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25,046,784</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481,932</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David T. Ching</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867,068,382</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57,921,052</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767,382</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 Kim Goodwin</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909,108,913</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16,173,173</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474,730</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Ernie Herrman</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909,050,759</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16,219,170</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486,887</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Amy B. Lane</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857,916,237</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67,365,661</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474,918</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Carol Meyrowitz</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878,303,217</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46,904,816</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548,783</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Jackwyn L. Nemerov</w:t>
            </w:r>
          </w:p>
        </w:tc>
        <w:tc>
          <w:tcPr>
            <w:tcW w:w="2500" w:type="dxa"/>
            <w:vAlign w:val="bottom"/>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9"/>
              </w:rPr>
              <w:t>845,465,150</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79,752,990</w:t>
            </w:r>
          </w:p>
        </w:tc>
        <w:tc>
          <w:tcPr>
            <w:tcW w:w="192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538,676</w:t>
            </w:r>
          </w:p>
        </w:tc>
        <w:tc>
          <w:tcPr>
            <w:tcW w:w="1840" w:type="dxa"/>
            <w:vAlign w:val="bottom"/>
          </w:tcPr>
          <w:p>
            <w:pPr>
              <w:jc w:val="center"/>
              <w:ind w:left="370"/>
              <w:spacing w:after="0" w:line="202" w:lineRule="exact"/>
              <w:rPr>
                <w:sz w:val="20"/>
                <w:szCs w:val="20"/>
                <w:color w:val="auto"/>
              </w:rPr>
            </w:pPr>
            <w:r>
              <w:rPr>
                <w:rFonts w:ascii="Times New Roman" w:cs="Times New Roman" w:eastAsia="Times New Roman" w:hAnsi="Times New Roman"/>
                <w:sz w:val="18"/>
                <w:szCs w:val="18"/>
                <w:color w:val="auto"/>
              </w:rPr>
              <w:t>66,730,582</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Charles F. Wagner, Jr.</w:t>
            </w:r>
          </w:p>
        </w:tc>
        <w:tc>
          <w:tcPr>
            <w:tcW w:w="25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913,260,429</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12,000,227</w:t>
            </w:r>
          </w:p>
        </w:tc>
        <w:tc>
          <w:tcPr>
            <w:tcW w:w="1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496,160</w:t>
            </w:r>
          </w:p>
        </w:tc>
        <w:tc>
          <w:tcPr>
            <w:tcW w:w="1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66,730,582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The appointment of PricewaterhouseCoopers LLP as the Company’s independent registered public accounting firm for fiscal 2027 was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0" w:type="dxa"/>
            <w:vAlign w:val="bottom"/>
          </w:tcPr>
          <w:p>
            <w:pPr>
              <w:spacing w:after="0"/>
              <w:rPr>
                <w:sz w:val="1"/>
                <w:szCs w:val="1"/>
                <w:color w:val="auto"/>
              </w:rPr>
            </w:pPr>
          </w:p>
        </w:tc>
      </w:tr>
      <w:tr>
        <w:trPr>
          <w:trHeight w:val="234"/>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ratified.</w:t>
            </w:r>
          </w:p>
        </w:tc>
        <w:tc>
          <w:tcPr>
            <w:tcW w:w="1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908,173,518</w:t>
            </w:r>
          </w:p>
        </w:tc>
        <w:tc>
          <w:tcPr>
            <w:tcW w:w="2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83,369,312</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944,568</w:t>
            </w:r>
          </w:p>
        </w:tc>
        <w:tc>
          <w:tcPr>
            <w:tcW w:w="0" w:type="dxa"/>
            <w:vAlign w:val="bottom"/>
          </w:tcPr>
          <w:p>
            <w:pPr>
              <w:spacing w:after="0"/>
              <w:rPr>
                <w:sz w:val="1"/>
                <w:szCs w:val="1"/>
                <w:color w:val="auto"/>
              </w:rPr>
            </w:pPr>
          </w:p>
        </w:tc>
      </w:tr>
      <w:tr>
        <w:trPr>
          <w:trHeight w:val="95"/>
        </w:trPr>
        <w:tc>
          <w:tcPr>
            <w:tcW w:w="86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On an advisory basis, the compensation paid to the Company’s named executive officers, as disclosed pursuant to the compensation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of the Securities and Exchange Commission, including the Compensation Discussion and Analysis, compensation tables, and narrative discussion (the say-on-pay vote), was approved.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41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853,523,642</w:t>
            </w: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66,163,161</w:t>
            </w:r>
          </w:p>
        </w:tc>
        <w:tc>
          <w:tcPr>
            <w:tcW w:w="25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6,070,013</w:t>
            </w:r>
          </w:p>
        </w:tc>
        <w:tc>
          <w:tcPr>
            <w:tcW w:w="41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66,730,582</w:t>
            </w:r>
          </w:p>
        </w:tc>
      </w:tr>
      <w:tr>
        <w:trPr>
          <w:trHeight w:val="2302"/>
        </w:trPr>
        <w:tc>
          <w:tcPr>
            <w:tcW w:w="2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Alicia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-7620</wp:posOffset>
            </wp:positionV>
            <wp:extent cx="1202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2690"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Alicia C. Kelly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Executive Vice President, Secretary and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sectPr>
      <w:pgSz w:w="11900" w:h="16838" w:orient="portrait"/>
      <w:cols w:equalWidth="0" w:num="1">
        <w:col w:w="11200"/>
      </w:cols>
      <w:pgMar w:left="320" w:top="122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2026-06-11T09:52:12Z</dcterms:created>
  <dcterms:modified xsi:type="dcterms:W3CDTF">2026-06-11T09:52:12Z</dcterms:modified>
</cp:coreProperties>
</file>