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9" w:lineRule="exact"/>
        <w:rPr>
          <w:sz w:val="24"/>
          <w:szCs w:val="24"/>
          <w:color w:val="auto"/>
        </w:rPr>
      </w:pPr>
    </w:p>
    <w:p>
      <w:pPr>
        <w:ind w:left="1060" w:hanging="451"/>
        <w:spacing w:after="0"/>
        <w:tabs>
          <w:tab w:leader="none" w:pos="10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1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fiscal year ended February 3, 2024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3" w:lineRule="exact"/>
        <w:rPr>
          <w:sz w:val="24"/>
          <w:szCs w:val="24"/>
          <w:color w:val="auto"/>
        </w:rPr>
      </w:pPr>
    </w:p>
    <w:p>
      <w:pPr>
        <w:ind w:left="1020" w:hanging="391"/>
        <w:spacing w:after="0"/>
        <w:tabs>
          <w:tab w:leader="none" w:pos="10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99"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 to _______</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1-4908</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The TJX Companies, Inc.</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6" w:lineRule="exact"/>
        <w:rPr>
          <w:sz w:val="24"/>
          <w:szCs w:val="24"/>
          <w:color w:val="auto"/>
        </w:rPr>
      </w:pPr>
    </w:p>
    <w:tbl>
      <w:tblPr>
        <w:tblLayout w:type="fixed"/>
        <w:tblInd w:w="1140" w:type="dxa"/>
        <w:tblCellMar>
          <w:top w:w="0" w:type="dxa"/>
          <w:left w:w="0" w:type="dxa"/>
          <w:bottom w:w="0" w:type="dxa"/>
          <w:right w:w="0" w:type="dxa"/>
        </w:tblCellMar>
      </w:tblPr>
      <w:tr>
        <w:trPr>
          <w:trHeight w:val="227"/>
        </w:trPr>
        <w:tc>
          <w:tcPr>
            <w:tcW w:w="5160" w:type="dxa"/>
            <w:vAlign w:val="bottom"/>
          </w:tcPr>
          <w:p>
            <w:pPr>
              <w:jc w:val="center"/>
              <w:ind w:right="11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500" w:type="dxa"/>
            <w:vAlign w:val="bottom"/>
          </w:tcPr>
          <w:p>
            <w:pPr>
              <w:jc w:val="right"/>
              <w:ind w:right="579"/>
              <w:spacing w:after="0"/>
              <w:rPr>
                <w:sz w:val="20"/>
                <w:szCs w:val="20"/>
                <w:color w:val="auto"/>
              </w:rPr>
            </w:pPr>
            <w:r>
              <w:rPr>
                <w:rFonts w:ascii="Times New Roman" w:cs="Times New Roman" w:eastAsia="Times New Roman" w:hAnsi="Times New Roman"/>
                <w:sz w:val="18"/>
                <w:szCs w:val="18"/>
                <w:b w:val="1"/>
                <w:bCs w:val="1"/>
                <w:color w:val="auto"/>
              </w:rPr>
              <w:t>04-2207613</w:t>
            </w:r>
          </w:p>
        </w:tc>
      </w:tr>
      <w:tr>
        <w:trPr>
          <w:trHeight w:val="190"/>
        </w:trPr>
        <w:tc>
          <w:tcPr>
            <w:tcW w:w="5160" w:type="dxa"/>
            <w:vAlign w:val="bottom"/>
          </w:tcPr>
          <w:p>
            <w:pPr>
              <w:jc w:val="center"/>
              <w:ind w:right="1199"/>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3500" w:type="dxa"/>
            <w:vAlign w:val="bottom"/>
          </w:tcPr>
          <w:p>
            <w:pPr>
              <w:jc w:val="center"/>
              <w:ind w:left="1219"/>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242"/>
        </w:trPr>
        <w:tc>
          <w:tcPr>
            <w:tcW w:w="5160" w:type="dxa"/>
            <w:vAlign w:val="bottom"/>
          </w:tcPr>
          <w:p>
            <w:pPr>
              <w:jc w:val="center"/>
              <w:ind w:right="1199"/>
              <w:spacing w:after="0"/>
              <w:rPr>
                <w:sz w:val="20"/>
                <w:szCs w:val="20"/>
                <w:color w:val="auto"/>
              </w:rPr>
            </w:pPr>
            <w:r>
              <w:rPr>
                <w:rFonts w:ascii="Times New Roman" w:cs="Times New Roman" w:eastAsia="Times New Roman" w:hAnsi="Times New Roman"/>
                <w:sz w:val="18"/>
                <w:szCs w:val="18"/>
                <w:b w:val="1"/>
                <w:bCs w:val="1"/>
                <w:color w:val="auto"/>
              </w:rPr>
              <w:t>770 Cochituate Road Framingham, Massachusetts</w:t>
            </w:r>
          </w:p>
        </w:tc>
        <w:tc>
          <w:tcPr>
            <w:tcW w:w="3500" w:type="dxa"/>
            <w:vAlign w:val="bottom"/>
          </w:tcPr>
          <w:p>
            <w:pPr>
              <w:jc w:val="right"/>
              <w:ind w:right="799"/>
              <w:spacing w:after="0"/>
              <w:rPr>
                <w:sz w:val="20"/>
                <w:szCs w:val="20"/>
                <w:color w:val="auto"/>
              </w:rPr>
            </w:pPr>
            <w:r>
              <w:rPr>
                <w:rFonts w:ascii="Times New Roman" w:cs="Times New Roman" w:eastAsia="Times New Roman" w:hAnsi="Times New Roman"/>
                <w:sz w:val="18"/>
                <w:szCs w:val="18"/>
                <w:b w:val="1"/>
                <w:bCs w:val="1"/>
                <w:color w:val="auto"/>
              </w:rPr>
              <w:t>01701</w:t>
            </w:r>
          </w:p>
        </w:tc>
      </w:tr>
      <w:tr>
        <w:trPr>
          <w:trHeight w:val="190"/>
        </w:trPr>
        <w:tc>
          <w:tcPr>
            <w:tcW w:w="5160" w:type="dxa"/>
            <w:vAlign w:val="bottom"/>
          </w:tcPr>
          <w:p>
            <w:pPr>
              <w:jc w:val="center"/>
              <w:ind w:right="11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500" w:type="dxa"/>
            <w:vAlign w:val="bottom"/>
          </w:tcPr>
          <w:p>
            <w:pPr>
              <w:jc w:val="center"/>
              <w:ind w:left="1199"/>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96"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14"/>
          <w:szCs w:val="14"/>
          <w:b w:val="1"/>
          <w:bCs w:val="1"/>
          <w:color w:val="auto"/>
        </w:rPr>
        <w:t xml:space="preserve">Registrant’s telephone number, including area code: </w:t>
      </w:r>
      <w:r>
        <w:rPr>
          <w:rFonts w:ascii="Times New Roman" w:cs="Times New Roman" w:eastAsia="Times New Roman" w:hAnsi="Times New Roman"/>
          <w:sz w:val="17"/>
          <w:szCs w:val="17"/>
          <w:b w:val="1"/>
          <w:bCs w:val="1"/>
          <w:color w:val="auto"/>
        </w:rPr>
        <w:t>(508) 390-1000</w:t>
      </w:r>
    </w:p>
    <w:p>
      <w:pPr>
        <w:spacing w:after="0" w:line="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4"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3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4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4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$1.00 per share</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TJX</w:t>
            </w:r>
          </w:p>
        </w:tc>
        <w:tc>
          <w:tcPr>
            <w:tcW w:w="4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27" w:lineRule="exact"/>
        <w:rPr>
          <w:sz w:val="24"/>
          <w:szCs w:val="24"/>
          <w:color w:val="auto"/>
        </w:rPr>
      </w:pPr>
    </w:p>
    <w:p>
      <w:pPr>
        <w:ind w:right="1600"/>
        <w:spacing w:after="0" w:line="284"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9"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ind w:right="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9" w:lineRule="exact"/>
        <w:rPr>
          <w:sz w:val="24"/>
          <w:szCs w:val="24"/>
          <w:color w:val="auto"/>
        </w:rPr>
      </w:pPr>
    </w:p>
    <w:p>
      <w:pPr>
        <w:ind w:right="32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11"/>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2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476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Accelerated filer</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2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476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92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476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line="102"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 w:lineRule="exact"/>
        <w:rPr>
          <w:sz w:val="24"/>
          <w:szCs w:val="24"/>
          <w:color w:val="auto"/>
        </w:rPr>
      </w:pPr>
    </w:p>
    <w:p>
      <w:pPr>
        <w:ind w:right="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MS PGothic" w:cs="MS PGothic" w:eastAsia="MS PGothic" w:hAnsi="MS PGothic"/>
          <w:sz w:val="18"/>
          <w:szCs w:val="18"/>
          <w:color w:val="auto"/>
        </w:rPr>
        <w:t>☒</w:t>
      </w:r>
    </w:p>
    <w:p>
      <w:pPr>
        <w:spacing w:after="0" w:line="9"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8" w:lineRule="exact"/>
        <w:rPr>
          <w:sz w:val="24"/>
          <w:szCs w:val="24"/>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1" w:lineRule="exact"/>
        <w:rPr>
          <w:sz w:val="24"/>
          <w:szCs w:val="24"/>
          <w:color w:val="auto"/>
        </w:rPr>
      </w:pPr>
    </w:p>
    <w:p>
      <w:pPr>
        <w:ind w:right="280"/>
        <w:spacing w:after="0" w:line="298" w:lineRule="auto"/>
        <w:rPr>
          <w:sz w:val="20"/>
          <w:szCs w:val="20"/>
          <w:color w:val="auto"/>
        </w:rPr>
      </w:pPr>
      <w:r>
        <w:rPr>
          <w:rFonts w:ascii="Times New Roman" w:cs="Times New Roman" w:eastAsia="Times New Roman" w:hAnsi="Times New Roman"/>
          <w:sz w:val="17"/>
          <w:szCs w:val="17"/>
          <w:color w:val="auto"/>
        </w:rPr>
        <w:t>The aggregate market value of the voting common stock held by non-affiliates of the registrant on July 29, 2023, the last business day of the registrant’s most recently completed second fiscal quarter, was $99 billion based on the closing sale price as reported on the New York Stock Exchange.</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There were 1,132,973,879 shares of the registrant’s common stock, $1.00 par value, outstanding as of March 22,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518795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DOCUMENTS INCORPORATED BY REFERENCE</w:t>
      </w:r>
    </w:p>
    <w:p>
      <w:pPr>
        <w:spacing w:after="0" w:line="6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Portions of the Proxy Statement to be filed with the Securities and Exchange Commission in connection with the Annual Meeting of Shareholders to be held on June 4, 2024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478790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877" w:right="6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b w:val="1"/>
          <w:bCs w:val="1"/>
          <w:color w:val="auto"/>
        </w:rPr>
        <w:t>CAUTIONARY NOTE REGARDING FORWARD-LOOKING STATEMENTS</w:t>
      </w:r>
    </w:p>
    <w:p>
      <w:pPr>
        <w:spacing w:after="0" w:line="26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Form 10-K and our 2023 Annual Report to Shareholders contain “forward-looking statements”. These forward-looking statements generally can be identified by the use of words such as “aim,” “anticipate,” “believe,” “continue,” “could,” “estimate,” “expect,” “forecast,” “goal,” “intend,” “may,” “plan,” “potential,” “project,” “seek,” “should,” “strive,” “target,” “will,” and “would,” or any variations of these words or other words with similar meanings. These forward-looking statements address various matters that we intend, expect or believe may occur in the future, including, among others, some of the statements in this Form 10-K under Item 1, “Business,” Item 1A, “Risk Factors,” Item 7, “Management’s Discussion and Analysis of Financial Condition and Results of Operations,” and Item 8, “Financial Statements and Supplementary Data,” relating to, among other things: the availability of merchandise, execution of our business model, payment of dividends, plans for future stock repurchases, future use and availability of cash and cash equivalents, expected capital expenditures, trends in demand for our products, the impact of foreign exchange rates, expectations with respect to future store openings, and the impact of fuel resources and supply chain on our inventory flow and financial performance. Each forward-looking statement contained in this Form 10-K and our Annual Report to Shareholders is inherently subject to risks, uncertainties and potentially inaccurate assumptions that could cause actual results to differ materially from those expressed or implied by such statement.</w:t>
      </w:r>
    </w:p>
    <w:p>
      <w:pPr>
        <w:spacing w:after="0" w:line="21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cannot guarantee that the results and other expectations expressed, anticipated or implied in any forward-looking statement will be realized. Applicable risks and uncertainties include, among others: execution of buying strategy and inventory management; customer trends and preferences; competition; various marketing efforts; operational and business expansion; management of large size and scale; merchandise sourcing and transport; data security and maintenance and development of information technology systems; labor costs and workforce challenges; personnel recruitment, training and retention; corporate and retail banner reputation; evolving corporate governance and public disclosure regulations and expectations with respect to environmental, social and governance matters; expanding international operations; fluctuations in quarterly operating results and market expectations; inventory or asset loss; cash flow; mergers, acquisitions, or business investments and divestitures, closings or business consolidations; real estate activities; economic conditions and consumer spending; market instability; severe weather, serious disruptions or catastrophic events; disproportionate impact of disruptions during this fiscal year; commodity availability and pricing; fluctuations in currency exchange rates; compliance with laws, regulations and orders and changes in laws, regulations and applicable accounting standards; outcomes of litigation, legal proceedings and other legal or regulatory matters; quality, safety and other issues with our merchandise; tax matters; and other factors set forth under Item 1A of this Form 10-K, as well as the other information we file with the Securities and Exchange Commission (“SEC”).</w:t>
      </w:r>
    </w:p>
    <w:p>
      <w:pPr>
        <w:spacing w:after="0" w:line="21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caution investors, potential investors and others not to place considerable reliance on the forward-looking statements contained in this Form 10-K and our 2023 Annual Report to Shareholders. You are encouraged to read any further disclosures we may make in our future reports to the SEC, available at www.sec.gov, on our website, or otherwise.</w:t>
      </w:r>
    </w:p>
    <w:p>
      <w:pPr>
        <w:spacing w:after="0" w:line="20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forward-looking statements in this Form 10-K and our 2023 Annual Report to Shareholders speak only as of the dates on which they are made, and we undertake no obligation to update or revise any of these statements, even if experience or future changes make it clear that any projected results expressed or implied in such statements will not be realized. Our business is subject to substantial risks and uncertainties, including those referenced above. Investors, potential investors, and others should give careful consideration to these risks and uncertainties.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b w:val="1"/>
          <w:bCs w:val="1"/>
          <w:color w:val="auto"/>
        </w:rPr>
        <w:t>The TJX Companies, Inc.</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u w:val="single" w:color="auto"/>
          <w:color w:val="0000FF"/>
        </w:rPr>
        <w:t>PART I</w:t>
      </w:r>
    </w:p>
    <w:p>
      <w:pPr>
        <w:spacing w:after="0" w:line="22"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0000FF"/>
              </w:rPr>
              <w:t>ITEM 1.</w:t>
            </w: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6"/>
              </w:rPr>
              <w:t>Business</w:t>
            </w:r>
          </w:p>
        </w:tc>
        <w:tc>
          <w:tcPr>
            <w:tcW w:w="9500" w:type="dxa"/>
            <w:vAlign w:val="bottom"/>
            <w:gridSpan w:val="7"/>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132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08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11</w:t>
            </w:r>
          </w:p>
        </w:tc>
      </w:tr>
      <w:tr>
        <w:trPr>
          <w:trHeight w:val="20"/>
        </w:trPr>
        <w:tc>
          <w:tcPr>
            <w:tcW w:w="78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7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1B.</w:t>
            </w:r>
          </w:p>
        </w:tc>
        <w:tc>
          <w:tcPr>
            <w:tcW w:w="2060" w:type="dxa"/>
            <w:vAlign w:val="bottom"/>
            <w:tcBorders>
              <w:bottom w:val="single" w:sz="8" w:color="0000FF"/>
            </w:tcBorders>
            <w:gridSpan w:val="7"/>
          </w:tcPr>
          <w:p>
            <w:pPr>
              <w:ind w:left="20"/>
              <w:spacing w:after="0"/>
              <w:rPr>
                <w:sz w:val="20"/>
                <w:szCs w:val="20"/>
                <w:color w:val="auto"/>
              </w:rPr>
            </w:pPr>
            <w:r>
              <w:rPr>
                <w:rFonts w:ascii="Times New Roman" w:cs="Times New Roman" w:eastAsia="Times New Roman" w:hAnsi="Times New Roman"/>
                <w:sz w:val="18"/>
                <w:szCs w:val="18"/>
                <w:color w:val="0000FF"/>
                <w:w w:val="98"/>
              </w:rPr>
              <w:t>Unresolved Staff Comments</w:t>
            </w:r>
          </w:p>
        </w:tc>
        <w:tc>
          <w:tcPr>
            <w:tcW w:w="79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22</w:t>
            </w:r>
          </w:p>
        </w:tc>
      </w:tr>
      <w:tr>
        <w:trPr>
          <w:trHeight w:val="209"/>
        </w:trPr>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1C.</w:t>
            </w:r>
          </w:p>
        </w:tc>
        <w:tc>
          <w:tcPr>
            <w:tcW w:w="1004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FF"/>
              </w:rPr>
              <w:t>Cybersecurity</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23</w:t>
            </w:r>
          </w:p>
        </w:tc>
      </w:tr>
      <w:tr>
        <w:trPr>
          <w:trHeight w:val="209"/>
        </w:trPr>
        <w:tc>
          <w:tcPr>
            <w:tcW w:w="6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ITEM 2.</w:t>
            </w:r>
          </w:p>
        </w:tc>
        <w:tc>
          <w:tcPr>
            <w:tcW w:w="1140" w:type="dxa"/>
            <w:vAlign w:val="bottom"/>
            <w:tcBorders>
              <w:top w:val="single" w:sz="8" w:color="0000FF"/>
            </w:tcBorders>
            <w:gridSpan w:val="5"/>
          </w:tcPr>
          <w:p>
            <w:pPr>
              <w:ind w:left="20"/>
              <w:spacing w:after="0"/>
              <w:rPr>
                <w:sz w:val="20"/>
                <w:szCs w:val="20"/>
                <w:color w:val="auto"/>
              </w:rPr>
            </w:pPr>
            <w:r>
              <w:rPr>
                <w:rFonts w:ascii="Times New Roman" w:cs="Times New Roman" w:eastAsia="Times New Roman" w:hAnsi="Times New Roman"/>
                <w:sz w:val="18"/>
                <w:szCs w:val="18"/>
                <w:color w:val="0000FF"/>
              </w:rPr>
              <w:t>Properties</w:t>
            </w:r>
          </w:p>
        </w:tc>
        <w:tc>
          <w:tcPr>
            <w:tcW w:w="9020" w:type="dxa"/>
            <w:vAlign w:val="bottom"/>
            <w:gridSpan w:val="4"/>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24</w:t>
            </w:r>
          </w:p>
        </w:tc>
      </w:tr>
      <w:tr>
        <w:trPr>
          <w:trHeight w:val="20"/>
        </w:trPr>
        <w:tc>
          <w:tcPr>
            <w:tcW w:w="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0000FF"/>
              </w:rPr>
              <w:t>ITEM 3.</w:t>
            </w:r>
          </w:p>
        </w:tc>
        <w:tc>
          <w:tcPr>
            <w:tcW w:w="1016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0000FF"/>
              </w:rPr>
              <w:t>Legal Proceedings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27</w:t>
            </w:r>
          </w:p>
        </w:tc>
      </w:tr>
      <w:tr>
        <w:trPr>
          <w:trHeight w:val="20"/>
        </w:trPr>
        <w:tc>
          <w:tcPr>
            <w:tcW w:w="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0000FF"/>
              </w:rPr>
              <w:t>ITEM 4.</w:t>
            </w:r>
          </w:p>
        </w:tc>
        <w:tc>
          <w:tcPr>
            <w:tcW w:w="1016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27</w:t>
            </w:r>
          </w:p>
        </w:tc>
      </w:tr>
      <w:tr>
        <w:trPr>
          <w:trHeight w:val="20"/>
        </w:trPr>
        <w:tc>
          <w:tcPr>
            <w:tcW w:w="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u w:val="single" w:color="auto"/>
          <w:color w:val="0000FF"/>
        </w:rPr>
        <w:t>PART II</w:t>
      </w:r>
    </w:p>
    <w:p>
      <w:pPr>
        <w:spacing w:after="0" w:line="22"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90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ITEM 5. Market for the Registrant’s Common Equity, Related Stockholder Matters and Issuer Purchases of Equity Securities</w:t>
            </w:r>
          </w:p>
        </w:tc>
        <w:tc>
          <w:tcPr>
            <w:tcW w:w="1800" w:type="dxa"/>
            <w:vAlign w:val="bottom"/>
          </w:tcPr>
          <w:p>
            <w:pPr>
              <w:spacing w:after="0"/>
              <w:rPr>
                <w:sz w:val="17"/>
                <w:szCs w:val="17"/>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27</w:t>
            </w:r>
          </w:p>
        </w:tc>
      </w:tr>
      <w:tr>
        <w:trPr>
          <w:trHeight w:val="210"/>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0000FF"/>
              </w:rPr>
              <w:t>ITEM 6.</w:t>
            </w:r>
          </w:p>
        </w:tc>
        <w:tc>
          <w:tcPr>
            <w:tcW w:w="1016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0000FF"/>
              </w:rPr>
              <w:t>Reserved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27</w:t>
            </w:r>
          </w:p>
        </w:tc>
      </w:tr>
      <w:tr>
        <w:trPr>
          <w:trHeight w:val="20"/>
        </w:trPr>
        <w:tc>
          <w:tcPr>
            <w:tcW w:w="66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0000FF"/>
              </w:rPr>
              <w:t>ITEM 7.</w:t>
            </w:r>
          </w:p>
        </w:tc>
        <w:tc>
          <w:tcPr>
            <w:tcW w:w="1016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28</w:t>
            </w:r>
          </w:p>
        </w:tc>
      </w:tr>
      <w:tr>
        <w:trPr>
          <w:trHeight w:val="209"/>
        </w:trPr>
        <w:tc>
          <w:tcPr>
            <w:tcW w:w="78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7A.</w:t>
            </w:r>
          </w:p>
        </w:tc>
        <w:tc>
          <w:tcPr>
            <w:tcW w:w="6260" w:type="dxa"/>
            <w:vAlign w:val="bottom"/>
            <w:tcBorders>
              <w:top w:val="single" w:sz="8" w:color="0000FF"/>
            </w:tcBorders>
            <w:gridSpan w:val="7"/>
          </w:tcPr>
          <w:p>
            <w:pPr>
              <w:ind w:left="20"/>
              <w:spacing w:after="0"/>
              <w:rPr>
                <w:sz w:val="20"/>
                <w:szCs w:val="20"/>
                <w:color w:val="auto"/>
              </w:rPr>
            </w:pPr>
            <w:r>
              <w:rPr>
                <w:rFonts w:ascii="Times New Roman" w:cs="Times New Roman" w:eastAsia="Times New Roman" w:hAnsi="Times New Roman"/>
                <w:sz w:val="18"/>
                <w:szCs w:val="18"/>
                <w:color w:val="0000FF"/>
              </w:rPr>
              <w:t>Quantitative and Qualitative Disclosure about Market Risk</w:t>
            </w:r>
          </w:p>
        </w:tc>
        <w:tc>
          <w:tcPr>
            <w:tcW w:w="3780" w:type="dxa"/>
            <w:vAlign w:val="bottom"/>
            <w:gridSpan w:val="3"/>
          </w:tcPr>
          <w:p>
            <w:pPr>
              <w:spacing w:after="0"/>
              <w:rPr>
                <w:sz w:val="18"/>
                <w:szCs w:val="18"/>
                <w:color w:val="auto"/>
              </w:rPr>
            </w:pPr>
          </w:p>
        </w:tc>
        <w:tc>
          <w:tcPr>
            <w:tcW w:w="18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40</w:t>
            </w:r>
          </w:p>
        </w:tc>
      </w:tr>
      <w:tr>
        <w:trPr>
          <w:trHeight w:val="209"/>
        </w:trPr>
        <w:tc>
          <w:tcPr>
            <w:tcW w:w="6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ITEM 8.</w:t>
            </w:r>
          </w:p>
        </w:tc>
        <w:tc>
          <w:tcPr>
            <w:tcW w:w="4380" w:type="dxa"/>
            <w:vAlign w:val="bottom"/>
            <w:tcBorders>
              <w:top w:val="single" w:sz="8" w:color="0000FF"/>
            </w:tcBorders>
            <w:gridSpan w:val="6"/>
          </w:tcPr>
          <w:p>
            <w:pPr>
              <w:ind w:left="20"/>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5780" w:type="dxa"/>
            <w:vAlign w:val="bottom"/>
            <w:gridSpan w:val="5"/>
          </w:tcPr>
          <w:p>
            <w:pPr>
              <w:spacing w:after="0"/>
              <w:rPr>
                <w:sz w:val="18"/>
                <w:szCs w:val="18"/>
                <w:color w:val="auto"/>
              </w:rPr>
            </w:pPr>
          </w:p>
        </w:tc>
        <w:tc>
          <w:tcPr>
            <w:tcW w:w="18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40</w:t>
            </w:r>
          </w:p>
        </w:tc>
      </w:tr>
      <w:tr>
        <w:trPr>
          <w:trHeight w:val="20"/>
        </w:trPr>
        <w:tc>
          <w:tcPr>
            <w:tcW w:w="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0000FF"/>
              </w:rPr>
              <w:t>ITEM 9.</w:t>
            </w:r>
          </w:p>
        </w:tc>
        <w:tc>
          <w:tcPr>
            <w:tcW w:w="1016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40</w:t>
            </w:r>
          </w:p>
        </w:tc>
      </w:tr>
      <w:tr>
        <w:trPr>
          <w:trHeight w:val="210"/>
        </w:trPr>
        <w:tc>
          <w:tcPr>
            <w:tcW w:w="7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9A.</w:t>
            </w:r>
          </w:p>
        </w:tc>
        <w:tc>
          <w:tcPr>
            <w:tcW w:w="1800" w:type="dxa"/>
            <w:vAlign w:val="bottom"/>
            <w:tcBorders>
              <w:top w:val="single" w:sz="8" w:color="0000FF"/>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4560" w:type="dxa"/>
            <w:vAlign w:val="bottom"/>
            <w:tcBorders>
              <w:top w:val="single" w:sz="8" w:color="0000FF"/>
            </w:tcBorders>
            <w:gridSpan w:val="5"/>
          </w:tcPr>
          <w:p>
            <w:pPr>
              <w:spacing w:after="0"/>
              <w:rPr>
                <w:sz w:val="18"/>
                <w:szCs w:val="18"/>
                <w:color w:val="auto"/>
              </w:rPr>
            </w:pPr>
          </w:p>
        </w:tc>
        <w:tc>
          <w:tcPr>
            <w:tcW w:w="3680" w:type="dxa"/>
            <w:vAlign w:val="bottom"/>
            <w:gridSpan w:val="2"/>
          </w:tcPr>
          <w:p>
            <w:pPr>
              <w:spacing w:after="0"/>
              <w:rPr>
                <w:sz w:val="18"/>
                <w:szCs w:val="18"/>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40</w:t>
            </w:r>
          </w:p>
        </w:tc>
      </w:tr>
      <w:tr>
        <w:trPr>
          <w:trHeight w:val="210"/>
        </w:trPr>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9B.</w:t>
            </w:r>
          </w:p>
        </w:tc>
        <w:tc>
          <w:tcPr>
            <w:tcW w:w="1004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0000FF"/>
              </w:rPr>
              <w:t>Other Information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r>
      <w:tr>
        <w:trPr>
          <w:trHeight w:val="20"/>
        </w:trPr>
        <w:tc>
          <w:tcPr>
            <w:tcW w:w="780" w:type="dxa"/>
            <w:vAlign w:val="bottom"/>
            <w:gridSpan w:val="2"/>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3600" w:type="dxa"/>
            <w:vAlign w:val="bottom"/>
            <w:gridSpan w:val="4"/>
          </w:tcPr>
          <w:p>
            <w:pPr>
              <w:spacing w:after="0" w:line="20" w:lineRule="exact"/>
              <w:rPr>
                <w:sz w:val="1"/>
                <w:szCs w:val="1"/>
                <w:color w:val="auto"/>
              </w:rPr>
            </w:pPr>
          </w:p>
        </w:tc>
        <w:tc>
          <w:tcPr>
            <w:tcW w:w="5120" w:type="dxa"/>
            <w:vAlign w:val="bottom"/>
            <w:gridSpan w:val="4"/>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7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9C.</w:t>
            </w:r>
          </w:p>
        </w:tc>
        <w:tc>
          <w:tcPr>
            <w:tcW w:w="4920" w:type="dxa"/>
            <w:vAlign w:val="bottom"/>
            <w:tcBorders>
              <w:bottom w:val="single" w:sz="8" w:color="0000FF"/>
            </w:tcBorders>
            <w:gridSpan w:val="6"/>
          </w:tcPr>
          <w:p>
            <w:pPr>
              <w:ind w:left="20"/>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5120" w:type="dxa"/>
            <w:vAlign w:val="bottom"/>
            <w:gridSpan w:val="4"/>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r>
    </w:tbl>
    <w:p>
      <w:pPr>
        <w:spacing w:after="0" w:line="2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u w:val="single" w:color="auto"/>
          <w:color w:val="0000FF"/>
        </w:rPr>
        <w:t>PART III</w:t>
      </w:r>
    </w:p>
    <w:p>
      <w:pPr>
        <w:spacing w:after="0" w:line="22"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48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ITEM 10. Directors, Executive Officers and Corporate Governance</w:t>
            </w:r>
          </w:p>
        </w:tc>
        <w:tc>
          <w:tcPr>
            <w:tcW w:w="5960" w:type="dxa"/>
            <w:vAlign w:val="bottom"/>
            <w:gridSpan w:val="3"/>
          </w:tcPr>
          <w:p>
            <w:pPr>
              <w:spacing w:after="0"/>
              <w:rPr>
                <w:sz w:val="17"/>
                <w:szCs w:val="17"/>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r>
      <w:tr>
        <w:trPr>
          <w:trHeight w:val="209"/>
        </w:trPr>
        <w:tc>
          <w:tcPr>
            <w:tcW w:w="108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11. Executive Compensation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r>
      <w:tr>
        <w:trPr>
          <w:trHeight w:val="20"/>
        </w:trPr>
        <w:tc>
          <w:tcPr>
            <w:tcW w:w="74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7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ITEM 12.</w:t>
            </w:r>
          </w:p>
        </w:tc>
        <w:tc>
          <w:tcPr>
            <w:tcW w:w="7320" w:type="dxa"/>
            <w:vAlign w:val="bottom"/>
            <w:tcBorders>
              <w:bottom w:val="single" w:sz="8" w:color="0000FF"/>
            </w:tcBorders>
            <w:gridSpan w:val="5"/>
          </w:tcPr>
          <w:p>
            <w:pPr>
              <w:ind w:left="20"/>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276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r>
      <w:tr>
        <w:trPr>
          <w:trHeight w:val="210"/>
        </w:trPr>
        <w:tc>
          <w:tcPr>
            <w:tcW w:w="7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ITEM 13.</w:t>
            </w:r>
          </w:p>
        </w:tc>
        <w:tc>
          <w:tcPr>
            <w:tcW w:w="5480" w:type="dxa"/>
            <w:vAlign w:val="bottom"/>
            <w:tcBorders>
              <w:bottom w:val="single" w:sz="8" w:color="0000FF"/>
            </w:tcBorders>
            <w:gridSpan w:val="4"/>
          </w:tcPr>
          <w:p>
            <w:pPr>
              <w:ind w:left="20"/>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4600" w:type="dxa"/>
            <w:vAlign w:val="bottom"/>
            <w:gridSpan w:val="2"/>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r>
      <w:tr>
        <w:trPr>
          <w:trHeight w:val="209"/>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0000FF"/>
              </w:rPr>
              <w:t>ITEM 14.</w:t>
            </w:r>
          </w:p>
        </w:tc>
        <w:tc>
          <w:tcPr>
            <w:tcW w:w="100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r>
      <w:tr>
        <w:trPr>
          <w:trHeight w:val="20"/>
        </w:trPr>
        <w:tc>
          <w:tcPr>
            <w:tcW w:w="74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2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u w:val="single" w:color="auto"/>
          <w:color w:val="0000FF"/>
        </w:rPr>
        <w:t>PART IV</w:t>
      </w:r>
    </w:p>
    <w:p>
      <w:pPr>
        <w:spacing w:after="0" w:line="2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00" w:type="dxa"/>
            <w:vAlign w:val="bottom"/>
          </w:tcPr>
          <w:p>
            <w:pPr>
              <w:spacing w:after="0"/>
              <w:rPr>
                <w:sz w:val="18"/>
                <w:szCs w:val="18"/>
                <w:color w:val="auto"/>
              </w:rPr>
            </w:pPr>
          </w:p>
        </w:tc>
        <w:tc>
          <w:tcPr>
            <w:tcW w:w="108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15. Exhibits, Financial Statement Schedules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r>
      <w:tr>
        <w:trPr>
          <w:trHeight w:val="209"/>
        </w:trPr>
        <w:tc>
          <w:tcPr>
            <w:tcW w:w="200" w:type="dxa"/>
            <w:vAlign w:val="bottom"/>
          </w:tcPr>
          <w:p>
            <w:pPr>
              <w:spacing w:after="0"/>
              <w:rPr>
                <w:sz w:val="18"/>
                <w:szCs w:val="18"/>
                <w:color w:val="auto"/>
              </w:rPr>
            </w:pPr>
          </w:p>
        </w:tc>
        <w:tc>
          <w:tcPr>
            <w:tcW w:w="23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ITEM 16. Form 10-K Summary</w:t>
            </w:r>
          </w:p>
        </w:tc>
        <w:tc>
          <w:tcPr>
            <w:tcW w:w="1340" w:type="dxa"/>
            <w:vAlign w:val="bottom"/>
            <w:tcBorders>
              <w:top w:val="single" w:sz="8" w:color="0000FF"/>
            </w:tcBorders>
          </w:tcPr>
          <w:p>
            <w:pPr>
              <w:spacing w:after="0"/>
              <w:rPr>
                <w:sz w:val="18"/>
                <w:szCs w:val="18"/>
                <w:color w:val="auto"/>
              </w:rPr>
            </w:pPr>
          </w:p>
        </w:tc>
        <w:tc>
          <w:tcPr>
            <w:tcW w:w="7160" w:type="dxa"/>
            <w:vAlign w:val="bottom"/>
          </w:tcPr>
          <w:p>
            <w:pPr>
              <w:spacing w:after="0"/>
              <w:rPr>
                <w:sz w:val="18"/>
                <w:szCs w:val="18"/>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45</w:t>
            </w:r>
          </w:p>
        </w:tc>
      </w:tr>
      <w:tr>
        <w:trPr>
          <w:trHeight w:val="500"/>
        </w:trPr>
        <w:tc>
          <w:tcPr>
            <w:tcW w:w="12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b w:val="1"/>
                <w:bCs w:val="1"/>
                <w:color w:val="0000FF"/>
                <w:w w:val="96"/>
              </w:rPr>
              <w:t>SIGNATURES</w:t>
            </w:r>
          </w:p>
        </w:tc>
        <w:tc>
          <w:tcPr>
            <w:tcW w:w="9740" w:type="dxa"/>
            <w:vAlign w:val="bottom"/>
            <w:gridSpan w:val="3"/>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PART I</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 Business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BUSINESS OVERVIEW</w:t>
      </w:r>
    </w:p>
    <w:p>
      <w:pPr>
        <w:spacing w:after="0" w:line="13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TJX Companies, Inc. (together with its subsidiaries, “TJX,” the “Company,” “we,” or “our”) is the leading off-price apparel and home fashions retailer in the United States and worldwide. We have over 4,900 stores and six branded e-commerce sites that offer a rapidly changing assortment of quality, fashionable, brand name and designer merchandise at prices generally 20% to 60% below full-price retailers’ (including department, specialty, and major online retailers) regular prices on comparable merchandise, every day.</w:t>
      </w:r>
    </w:p>
    <w:p>
      <w:pPr>
        <w:spacing w:after="0" w:line="7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mission is to deliver great value to our customers every day. In our stores and online, we offer consumers our value proposition of brand, fashion, price and quality. Our opportunistic buying strategies and flexible business model differentiate us from traditional retailers. We offer a treasure hunt shopping experience and a rapid turn of inventories relative to traditional retailers. Our goal is to create a sense of excitement and urgency for our customers and encourage frequent customer visits. We acquire merchandise in a variety of ways to support that goal. We reach a broad range of customers across income levels with our value proposition on a wide range of items. Our strategies and operations are synergistic across our retail chains. As a result, we are able to leverage our expertise throughout our business, sharing information, best practices, initiatives and new ideas, and to develop talent across our company. Further, we can leverage the substantial buying power of our businesses with our global vendor relationships.</w:t>
      </w:r>
    </w:p>
    <w:p>
      <w:pPr>
        <w:spacing w:after="0" w:line="8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this report, fiscal 2024 means the 53-week fiscal year ended February 3, 2024; fiscal 2023 means the 52-week fiscal year ended January 28, 2023 and fiscal 2022 means the 52-week fiscal year ended January 29, 2022. Fiscal 2025 means the 52-week fiscal year ending February 1, 2025. Unless otherwise indicated, all store information in this Item 1 is as of February 3, 2024, and references to store square footage are to gross square feet.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Businesses</w:t>
      </w:r>
    </w:p>
    <w:p>
      <w:pPr>
        <w:spacing w:after="0" w:line="11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operate our business in four main segments: Marmaxx and HomeGoods, both in the U.S., TJX Canada and TJX International, including Europe and Australia. In addition to our four main segments, we operate the Sierra business. The results of Sierra are included with the Marmaxx segment.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MARMAXX</w:t>
      </w:r>
    </w:p>
    <w:p>
      <w:pPr>
        <w:spacing w:after="0" w:line="13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TJ Maxx and Marshalls chains in the United States (“Marmaxx”) are collectively the largest off-price retailer in the United States with a total of 2,516 stores. We founded TJ Maxx in 1976 and acquired Marshalls in 1995. Both chains sell family apparel (including footwear and accessories), home fashions (including home basics, decorative accessories and giftware) and other merchandise. We primarily differentiate TJ Maxx and Marshalls through different product assortment, including an expanded assortment of jewelry and accessories and a high-end designer department called The Runway at TJ Maxx and a full line of footwear and a broader men’s offering at Marshalls, as well as varying in-store initiatives. This differentiated shopping experience at TJ Maxx and Marshalls encourages our customers to shop both chains. Marmaxx currently operates two e-commerce sites, tjmaxx.com, launched in 2013 and marshalls.com, launched in 2019.</w:t>
      </w:r>
    </w:p>
    <w:p>
      <w:pPr>
        <w:spacing w:after="0" w:line="8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Sierra, acquired in 2012 and rebranded from Sierra Trading Post in 2018, is a leading off-price retailer of brand name active and outdoor apparel, footwear, and gear (including sporting goods, snow and water sport, camping, fishing) for the whole family, as well as home fashions and pet. Sierra operates 95 retail stores in the U.S. and sierra.com.</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HOMEGOODS</w:t>
      </w:r>
    </w:p>
    <w:p>
      <w:pPr>
        <w:spacing w:after="0" w:line="11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HomeGoods segment operates HomeGoods and Homesense chains. HomeGoods, introduced in 1992, is the leading off-price retailer of home fashions in the U.S. Through its 919 stores, HomeGoods offers an eclectic assortment of home fashions, including furniture, rugs, lighting, soft home, decorative accessories, tabletop and cookware, as well as expanded pet and gourmet food departments. In 2017, we launched our Homesense chain in the U.S. Our 55 Homesense stores complement HomeGoods, offering a differentiated mix and expanded departments, such as large furniture, ceiling lighting, rugs, and an entertainment marketplace.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5"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i w:val="1"/>
          <w:iCs w:val="1"/>
          <w:color w:val="auto"/>
        </w:rPr>
        <w:t>TJX CANADA</w:t>
      </w:r>
    </w:p>
    <w:p>
      <w:pPr>
        <w:spacing w:after="0" w:line="13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TJX Canada segment operates the Winners, HomeSense and Marshalls chains in Canada. Winners, acquired by TJX in 1990, operates 302 stores and is the leading off-price family apparel and home fashions retailer in Canada. HomeSense introduced the off-price home fashions concept to Canada in 2001. This chain operates 158 stores and offers an array of home decor, furniture, and seasonal home merchandise. Marshalls, launched in Canada in 2011, operates 106 stores and offers off-price apparel, footwear, and home fashions.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TJX INTERNATIONAL</w:t>
      </w:r>
    </w:p>
    <w:p>
      <w:pPr>
        <w:spacing w:after="0" w:line="11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TJX International segment operates the TK Maxx and Homesense chains in Europe and the TK Maxx chain in Australia. Launched in 1994, TK Maxx introduced off-price retail to Europe and remains Europe’s largest major brick-and-mortar off-price retailer of apparel and home fashions. With 644 stores in Europe, TK Maxx operates in the U.K., Ireland, Germany, Poland, Austria and the Netherlands. Through its stores and its e-commerce sites, tkmaxx.com, launched in 2009 and tkmaxx.de and tkmaxx.at, both launched in 2023, TK Maxx offers a merchandise mix similar to TJ Maxx. We brought the off-price home fashions concept to Europe, opening Homesense in the U.K. in 2008 and in Ireland in 2017. Its 79 stores offer a merchandise mix of home fashions similar to that of HomeGoods in the U.S. and HomeSense in Canada. We acquired Trade Secret in Australia in 2015 and re-branded it under the TK Maxx name during 2017. The merchandise offering at TK Maxx in Australia's 80 stores is comparable to TJ Maxx.</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Flexible Business Model</w:t>
      </w:r>
    </w:p>
    <w:p>
      <w:pPr>
        <w:spacing w:after="0" w:line="130"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Our flexible business model, including our opportunistic buying, inventory management, logistics and flexible store layouts, is designed to deliver to our customers a compelling value proposition of fashionable, quality, brand name and designer merchandise at excellent values every day. Our buying and inventory management strategies give us flexibility to adjust our merchandise assortments more frequently than traditional retailers, and the design and operation of our stores and distribution centers support this flexibility. Our buyers have more visibility into consumer, fashion and market trends and pricing when we buy closer to need, which can help us buy better and reduce our markdown exposure. Our selling floor space is flexible, without walls between departments and largely free of permanent fixtures, so we can easily expand and contract departments to accommodate the merchandise we purchase. Our logistics and distribution operations are designed to support our global buying strategies and to facilitate quick, efficient and differentiated delivery of merchandise to our stores, with a goal of delivering the right merchandise to the right stores at the right time.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Opportunistic Buying</w:t>
      </w:r>
    </w:p>
    <w:p>
      <w:pPr>
        <w:spacing w:after="0" w:line="11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an off-price retailer, our buying practices, which we refer to as opportunistic buying, differentiate us from traditional retailers. Our overall global buying strategy is to acquire merchandise on an ongoing basis that will enable us to offer a desirable and rapidly changing mix of branded, designer and other quality merchandise in our stores at prices below regular prices for comparable merchandise at full-price retailers, including department, specialty, and major online retailers. We seek out and select merchandise from the broad range of opportunities in the market to achieve this end. Our global buying organization, which numbers over 1,300 Associates and has offices across 4 continents in 12 countries, executes this opportunistic buying strategy, buying merchandise from more than 100 countries in a variety of ways, depending on market conditions and other factors.</w:t>
      </w:r>
    </w:p>
    <w:p>
      <w:pPr>
        <w:spacing w:after="0" w:line="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take advantage of opportunities to acquire merchandise at substantial discounts that regularly arise from the production and flow of inventory in the apparel and home fashions marketplace. These opportunities include, among others, closeouts from brands, manufacturers and other retailers; special production direct from brands and factories; order cancellations and manufacturer overruns. Our global buying strategies are intentionally flexible to allow us to react to frequently changing opportunities and trends in the market and to adjust how and what we source as well as when we source it. Our goal is to operate with lean inventory levels compared to conventional retailers to give us the flexibility to seek out and to take advantage of these opportunities as they arise, close to the time the merchandise is needed in our stores and online and when we have more visibility into fashion trends and price. In contrast to traditional retailers, which tend to order most of their goods far in advance of the time the product appears on the selling floor, our merchants generally remain in the marketplace for goods throughout the year, frequently looking for opportunities to buy merchandise. We buy much of our merchandise for the current or immediately upcoming selling season. We also buy some merchandise that is available in the market with the intention of storing it for sale, typically in future selling seasons. We generally make these purchases, referred to as packaway, in response to opportunities to buy merchandise that we believe has the right combination of brand, fashion, price and quality to supplement the product we expect to be available to purchase later for those future seasons. We also acquire some merchandise that we offer under in-house brands or brands that are licensed to us. We develop some of this merchandise ourselves, which allows us to supplement the depth of, or fill gaps in, our expected merchandise assortment.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2" w:right="359" w:bottom="1440" w:gutter="0" w:footer="0" w:header="0"/>
        </w:sectPr>
      </w:pPr>
    </w:p>
    <w:bookmarkStart w:id="6" w:name="page7"/>
    <w:bookmarkEnd w:id="6"/>
    <w:p>
      <w:pPr>
        <w:ind w:right="160"/>
        <w:spacing w:after="0" w:line="254" w:lineRule="auto"/>
        <w:rPr>
          <w:sz w:val="20"/>
          <w:szCs w:val="20"/>
          <w:color w:val="auto"/>
        </w:rPr>
      </w:pPr>
      <w:r>
        <w:rPr>
          <w:rFonts w:ascii="Times New Roman" w:cs="Times New Roman" w:eastAsia="Times New Roman" w:hAnsi="Times New Roman"/>
          <w:sz w:val="18"/>
          <w:szCs w:val="18"/>
          <w:color w:val="auto"/>
        </w:rPr>
        <w:t>Manufacturers, retailers and other vendors made up our expansive and changing universe of more than 21,000 vendors across the globe, including thousands of new vendors in 2023, which provides us substantial and diversified access to merchandise. We have not experienced difficulty in obtaining sufficient quality merchandise for our business in either favorable or difficult retail environments and expect this will continue should we meet or exceed our plans for growth. We believe a number of factors provide us excellent access on an ongoing basis to leading branded merchandise and make us an attractive channel for many vendors in the market. We are typically willing to purchase less-than-full assortments of items, styles and sizes as well as quantities ranging from small to very large; we are able to disperse merchandise across our geographically diverse network of stores and to target specific markets; we pay promptly according to our payment terms; our practice is to not ask for typical retail concessions (such as advertising, promotional and markdown allowances), delivery concessions (such as drop shipments to stores or delayed deliveries) or return privileges; and we have an excellent credit rating.</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Inventory Management</w:t>
      </w:r>
    </w:p>
    <w:p>
      <w:pPr>
        <w:spacing w:after="0" w:line="13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offer our customers a rapidly changing selection of merchandise to create a treasure hunt experience in our stores and to encourage frequent customer visits. To achieve this, we seek to turn the inventory in our stores rapidly, regularly offering fresh selections of apparel and home fashions at excellent values. Our specialized inventory planning, purchasing, monitoring and markdown systems, coupled with distribution center storage, processing, handling and shipping systems, enable us to tailor the merchandise in our stores to local preferences and demographics, achieve rapid in-store inventory turnover on a vast array of products and generally sell through most merchandise within the period we planned. We make pricing and markdown decisions and store inventory replenishment determinations centrally, using information provided by specialized computer systems designed to move inventory through our stores in a timely and disciplined manner. We invest in our supply chain with the goal of continuing to operate with low inventory levels, to ship more efficiently and quickly, and to more precisely and effectively allocate merchandise to each store.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Pricing</w:t>
      </w:r>
    </w:p>
    <w:p>
      <w:pPr>
        <w:spacing w:after="0" w:line="11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mission is to deliver great value to our customers every day. We do this by offering quality, fashionable, brand name and designer merchandise in our stores with retail prices that are generally 20% to 60% below full-price retailers’ (including department, specialty, and major online retailers) regular prices on comparable merchandise, every day. Our practice is to not engage in promotional pricing activity such as sales or coupons. We have generally been able to react to price fluctuations in the wholesale market to maintain our pricing gap relative to prices offered by traditional retailers as well as our merchandise margins through various economic cycles.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Low Cost Operations</w:t>
      </w:r>
    </w:p>
    <w:p>
      <w:pPr>
        <w:spacing w:after="0" w:line="130"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We operate with a low cost structure compared to many traditional retailers with a prudent focus on expenses throughout our business. Our advertising is generally focused on promoting our retail banners rather than individual products, including at times promoting multiple banners together, which contributes to our advertising budget (as a percentage of sales) remaining low compared to many traditional retailers. We design our stores to provide a pleasant, convenient shopping environment without spending heavily on store fixtures. Additionally, our distribution network is designed to run cost effectively.</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Customer Service/Shopping Experience</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strategically renovate and upgrade our stores across our retail banners to enhance our customers’ shopping experience and help drive sales. We train our store Associates to provide friendly and helpful customer service and seek to staff our stores to deliver a positive shopping experience. We believe we offer return policies that are customer-friendly. We accept a variety of payment methods including cash, credit cards and debit cards. We also offer TJX-branded credit cards in the U.S. through a bank, but do not own the customer receivables.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Distribution</w:t>
      </w:r>
    </w:p>
    <w:p>
      <w:pPr>
        <w:spacing w:after="0" w:line="13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operate distribution centers encompassing approximately 31 million square feet in six countries. These centers are generally large, and built to suit our specific, off-price business model, with a combination of automated systems and manual processes to manage the variety of merchandise we acquire. We ship substantially all of our merchandise to our stores through a network of distribution centers, fulfillment centers and warehouses as well as shipping centers operated in many cases by third parties.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b w:val="1"/>
          <w:bCs w:val="1"/>
          <w:i w:val="1"/>
          <w:iCs w:val="1"/>
          <w:color w:val="auto"/>
        </w:rPr>
        <w:t>Store Growth</w:t>
      </w:r>
    </w:p>
    <w:p>
      <w:pPr>
        <w:spacing w:after="0" w:line="13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Expansion of our business through the addition of new stores continues to be an important part of our global growth strategy. The following table provides store growth information for our four major segments for the two most recently completed fiscal years, as well as our estimates of the long-term store growth potential of these segments in their current geographies: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292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rPr>
              <w:t>Approximate</w:t>
            </w:r>
          </w:p>
        </w:tc>
        <w:tc>
          <w:tcPr>
            <w:tcW w:w="288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Number of Stores at Year-End</w:t>
            </w:r>
          </w:p>
        </w:tc>
        <w:tc>
          <w:tcPr>
            <w:tcW w:w="156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169"/>
        </w:trPr>
        <w:tc>
          <w:tcPr>
            <w:tcW w:w="3540" w:type="dxa"/>
            <w:vAlign w:val="bottom"/>
          </w:tcPr>
          <w:p>
            <w:pPr>
              <w:spacing w:after="0"/>
              <w:rPr>
                <w:sz w:val="14"/>
                <w:szCs w:val="14"/>
                <w:color w:val="auto"/>
              </w:rPr>
            </w:pPr>
          </w:p>
        </w:tc>
        <w:tc>
          <w:tcPr>
            <w:tcW w:w="2920" w:type="dxa"/>
            <w:vAlign w:val="bottom"/>
          </w:tcPr>
          <w:p>
            <w:pPr>
              <w:jc w:val="center"/>
              <w:ind w:left="1090"/>
              <w:spacing w:after="0" w:line="169" w:lineRule="exact"/>
              <w:rPr>
                <w:sz w:val="20"/>
                <w:szCs w:val="20"/>
                <w:color w:val="auto"/>
              </w:rPr>
            </w:pPr>
            <w:r>
              <w:rPr>
                <w:rFonts w:ascii="Times New Roman" w:cs="Times New Roman" w:eastAsia="Times New Roman" w:hAnsi="Times New Roman"/>
                <w:sz w:val="18"/>
                <w:szCs w:val="18"/>
                <w:color w:val="auto"/>
                <w:w w:val="98"/>
              </w:rPr>
              <w:t>Average Store</w:t>
            </w:r>
          </w:p>
        </w:tc>
        <w:tc>
          <w:tcPr>
            <w:tcW w:w="15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6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Estimated Store</w:t>
            </w:r>
          </w:p>
        </w:tc>
        <w:tc>
          <w:tcPr>
            <w:tcW w:w="340" w:type="dxa"/>
            <w:vAlign w:val="bottom"/>
          </w:tcPr>
          <w:p>
            <w:pPr>
              <w:spacing w:after="0"/>
              <w:rPr>
                <w:sz w:val="14"/>
                <w:szCs w:val="14"/>
                <w:color w:val="auto"/>
              </w:rPr>
            </w:pPr>
          </w:p>
        </w:tc>
      </w:tr>
      <w:tr>
        <w:trPr>
          <w:trHeight w:val="243"/>
        </w:trPr>
        <w:tc>
          <w:tcPr>
            <w:tcW w:w="3540" w:type="dxa"/>
            <w:vAlign w:val="bottom"/>
            <w:tcBorders>
              <w:bottom w:val="single" w:sz="8" w:color="auto"/>
            </w:tcBorders>
          </w:tcPr>
          <w:p>
            <w:pPr>
              <w:spacing w:after="0"/>
              <w:rPr>
                <w:sz w:val="21"/>
                <w:szCs w:val="21"/>
                <w:color w:val="auto"/>
              </w:rPr>
            </w:pPr>
          </w:p>
        </w:tc>
        <w:tc>
          <w:tcPr>
            <w:tcW w:w="2920" w:type="dxa"/>
            <w:vAlign w:val="bottom"/>
            <w:tcBorders>
              <w:bottom w:val="single" w:sz="8" w:color="auto"/>
            </w:tcBorders>
          </w:tcPr>
          <w:p>
            <w:pPr>
              <w:jc w:val="center"/>
              <w:ind w:left="1090"/>
              <w:spacing w:after="0"/>
              <w:rPr>
                <w:sz w:val="20"/>
                <w:szCs w:val="20"/>
                <w:color w:val="auto"/>
              </w:rPr>
            </w:pPr>
            <w:r>
              <w:rPr>
                <w:rFonts w:ascii="Times New Roman" w:cs="Times New Roman" w:eastAsia="Times New Roman" w:hAnsi="Times New Roman"/>
                <w:sz w:val="18"/>
                <w:szCs w:val="18"/>
                <w:color w:val="auto"/>
              </w:rPr>
              <w:t>Size (square feet)</w:t>
            </w:r>
          </w:p>
        </w:tc>
        <w:tc>
          <w:tcPr>
            <w:tcW w:w="15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Fiscal 2023</w:t>
            </w:r>
          </w:p>
        </w:tc>
        <w:tc>
          <w:tcPr>
            <w:tcW w:w="13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Fiscal 2024</w:t>
            </w:r>
          </w:p>
        </w:tc>
        <w:tc>
          <w:tcPr>
            <w:tcW w:w="15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Potential</w:t>
            </w:r>
          </w:p>
        </w:tc>
        <w:tc>
          <w:tcPr>
            <w:tcW w:w="340" w:type="dxa"/>
            <w:vAlign w:val="bottom"/>
            <w:tcBorders>
              <w:bottom w:val="single" w:sz="8" w:color="auto"/>
            </w:tcBorders>
          </w:tcPr>
          <w:p>
            <w:pPr>
              <w:spacing w:after="0"/>
              <w:rPr>
                <w:sz w:val="21"/>
                <w:szCs w:val="21"/>
                <w:color w:val="auto"/>
              </w:rPr>
            </w:pPr>
          </w:p>
        </w:tc>
      </w:tr>
      <w:tr>
        <w:trPr>
          <w:trHeight w:val="22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Marmaxx:</w:t>
            </w:r>
          </w:p>
        </w:tc>
        <w:tc>
          <w:tcPr>
            <w:tcW w:w="29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r>
      <w:tr>
        <w:trPr>
          <w:trHeight w:val="229"/>
        </w:trPr>
        <w:tc>
          <w:tcPr>
            <w:tcW w:w="3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TJ Maxx</w:t>
            </w:r>
          </w:p>
        </w:tc>
        <w:tc>
          <w:tcPr>
            <w:tcW w:w="292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rPr>
              <w:t>27,000</w:t>
            </w: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1,299</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1,319</w:t>
            </w:r>
          </w:p>
        </w:tc>
        <w:tc>
          <w:tcPr>
            <w:tcW w:w="156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29"/>
        </w:trPr>
        <w:tc>
          <w:tcPr>
            <w:tcW w:w="35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Marshalls</w:t>
            </w:r>
          </w:p>
        </w:tc>
        <w:tc>
          <w:tcPr>
            <w:tcW w:w="2920" w:type="dxa"/>
            <w:vAlign w:val="bottom"/>
            <w:tcBorders>
              <w:bottom w:val="single" w:sz="8" w:color="auto"/>
            </w:tcBorders>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rPr>
              <w:t>28,000</w:t>
            </w:r>
          </w:p>
        </w:tc>
        <w:tc>
          <w:tcPr>
            <w:tcW w:w="15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1,183</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1,197</w:t>
            </w:r>
          </w:p>
        </w:tc>
        <w:tc>
          <w:tcPr>
            <w:tcW w:w="15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r>
      <w:tr>
        <w:trPr>
          <w:trHeight w:val="223"/>
        </w:trPr>
        <w:tc>
          <w:tcPr>
            <w:tcW w:w="3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Marmaxx</w:t>
            </w:r>
          </w:p>
        </w:tc>
        <w:tc>
          <w:tcPr>
            <w:tcW w:w="2920" w:type="dxa"/>
            <w:vAlign w:val="bottom"/>
          </w:tcPr>
          <w:p>
            <w:pPr>
              <w:spacing w:after="0"/>
              <w:rPr>
                <w:sz w:val="19"/>
                <w:szCs w:val="19"/>
                <w:color w:val="auto"/>
              </w:rPr>
            </w:pP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2,482</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2,516</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340" w:type="dxa"/>
            <w:vAlign w:val="bottom"/>
          </w:tcPr>
          <w:p>
            <w:pPr>
              <w:spacing w:after="0"/>
              <w:rPr>
                <w:sz w:val="19"/>
                <w:szCs w:val="19"/>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HomeGoods:</w:t>
            </w:r>
          </w:p>
        </w:tc>
        <w:tc>
          <w:tcPr>
            <w:tcW w:w="29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r>
      <w:tr>
        <w:trPr>
          <w:trHeight w:val="230"/>
        </w:trPr>
        <w:tc>
          <w:tcPr>
            <w:tcW w:w="3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HomeGoods</w:t>
            </w:r>
          </w:p>
        </w:tc>
        <w:tc>
          <w:tcPr>
            <w:tcW w:w="292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rPr>
              <w:t>23,000</w:t>
            </w: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894</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919</w:t>
            </w:r>
          </w:p>
        </w:tc>
        <w:tc>
          <w:tcPr>
            <w:tcW w:w="156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29"/>
        </w:trPr>
        <w:tc>
          <w:tcPr>
            <w:tcW w:w="35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Homesense</w:t>
            </w:r>
          </w:p>
        </w:tc>
        <w:tc>
          <w:tcPr>
            <w:tcW w:w="2920" w:type="dxa"/>
            <w:vAlign w:val="bottom"/>
            <w:tcBorders>
              <w:bottom w:val="single" w:sz="8" w:color="auto"/>
            </w:tcBorders>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rPr>
              <w:t>27,000</w:t>
            </w:r>
          </w:p>
        </w:tc>
        <w:tc>
          <w:tcPr>
            <w:tcW w:w="15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46</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15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r>
      <w:tr>
        <w:trPr>
          <w:trHeight w:val="223"/>
        </w:trPr>
        <w:tc>
          <w:tcPr>
            <w:tcW w:w="3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HomeGoods</w:t>
            </w:r>
          </w:p>
        </w:tc>
        <w:tc>
          <w:tcPr>
            <w:tcW w:w="2920" w:type="dxa"/>
            <w:vAlign w:val="bottom"/>
          </w:tcPr>
          <w:p>
            <w:pPr>
              <w:spacing w:after="0"/>
              <w:rPr>
                <w:sz w:val="19"/>
                <w:szCs w:val="19"/>
                <w:color w:val="auto"/>
              </w:rPr>
            </w:pP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940</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974</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340" w:type="dxa"/>
            <w:vAlign w:val="bottom"/>
          </w:tcPr>
          <w:p>
            <w:pPr>
              <w:spacing w:after="0"/>
              <w:rPr>
                <w:sz w:val="19"/>
                <w:szCs w:val="19"/>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TJX Canada:</w:t>
            </w:r>
          </w:p>
        </w:tc>
        <w:tc>
          <w:tcPr>
            <w:tcW w:w="29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r>
      <w:tr>
        <w:trPr>
          <w:trHeight w:val="229"/>
        </w:trPr>
        <w:tc>
          <w:tcPr>
            <w:tcW w:w="3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Winners</w:t>
            </w:r>
          </w:p>
        </w:tc>
        <w:tc>
          <w:tcPr>
            <w:tcW w:w="292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rPr>
              <w:t>27,000</w:t>
            </w: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297</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302</w:t>
            </w:r>
          </w:p>
        </w:tc>
        <w:tc>
          <w:tcPr>
            <w:tcW w:w="156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30"/>
        </w:trPr>
        <w:tc>
          <w:tcPr>
            <w:tcW w:w="3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HomeSense</w:t>
            </w:r>
          </w:p>
        </w:tc>
        <w:tc>
          <w:tcPr>
            <w:tcW w:w="2920" w:type="dxa"/>
            <w:vAlign w:val="bottom"/>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rPr>
              <w:t>23,000</w:t>
            </w:r>
          </w:p>
        </w:tc>
        <w:tc>
          <w:tcPr>
            <w:tcW w:w="15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151</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w:t>
            </w:r>
          </w:p>
        </w:tc>
        <w:tc>
          <w:tcPr>
            <w:tcW w:w="15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r>
      <w:tr>
        <w:trPr>
          <w:trHeight w:val="229"/>
        </w:trPr>
        <w:tc>
          <w:tcPr>
            <w:tcW w:w="35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Marshalls</w:t>
            </w:r>
          </w:p>
        </w:tc>
        <w:tc>
          <w:tcPr>
            <w:tcW w:w="2920" w:type="dxa"/>
            <w:vAlign w:val="bottom"/>
            <w:tcBorders>
              <w:bottom w:val="single" w:sz="8" w:color="auto"/>
            </w:tcBorders>
          </w:tcPr>
          <w:p>
            <w:pPr>
              <w:jc w:val="center"/>
              <w:ind w:left="1090"/>
              <w:spacing w:after="0"/>
              <w:rPr>
                <w:sz w:val="20"/>
                <w:szCs w:val="20"/>
                <w:color w:val="auto"/>
              </w:rPr>
            </w:pPr>
            <w:r>
              <w:rPr>
                <w:rFonts w:ascii="Times New Roman" w:cs="Times New Roman" w:eastAsia="Times New Roman" w:hAnsi="Times New Roman"/>
                <w:sz w:val="18"/>
                <w:szCs w:val="18"/>
                <w:color w:val="auto"/>
              </w:rPr>
              <w:t>26,000</w:t>
            </w:r>
          </w:p>
        </w:tc>
        <w:tc>
          <w:tcPr>
            <w:tcW w:w="15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106</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w:t>
            </w:r>
          </w:p>
        </w:tc>
        <w:tc>
          <w:tcPr>
            <w:tcW w:w="15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r>
      <w:tr>
        <w:trPr>
          <w:trHeight w:val="223"/>
        </w:trPr>
        <w:tc>
          <w:tcPr>
            <w:tcW w:w="3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TJX Canada</w:t>
            </w:r>
          </w:p>
        </w:tc>
        <w:tc>
          <w:tcPr>
            <w:tcW w:w="29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554</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566</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340" w:type="dxa"/>
            <w:vAlign w:val="bottom"/>
            <w:shd w:val="clear" w:color="auto" w:fill="CCEEFF"/>
          </w:tcPr>
          <w:p>
            <w:pPr>
              <w:spacing w:after="0"/>
              <w:rPr>
                <w:sz w:val="19"/>
                <w:szCs w:val="19"/>
                <w:color w:val="auto"/>
              </w:rPr>
            </w:pPr>
          </w:p>
        </w:tc>
      </w:tr>
      <w:tr>
        <w:trPr>
          <w:trHeight w:val="229"/>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TJX International:</w:t>
            </w:r>
          </w:p>
        </w:tc>
        <w:tc>
          <w:tcPr>
            <w:tcW w:w="29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30"/>
        </w:trPr>
        <w:tc>
          <w:tcPr>
            <w:tcW w:w="3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TK Maxx (Europe)</w:t>
            </w:r>
          </w:p>
        </w:tc>
        <w:tc>
          <w:tcPr>
            <w:tcW w:w="2920" w:type="dxa"/>
            <w:vAlign w:val="bottom"/>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rPr>
              <w:t>28,000</w:t>
            </w:r>
          </w:p>
        </w:tc>
        <w:tc>
          <w:tcPr>
            <w:tcW w:w="15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629</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644</w:t>
            </w:r>
          </w:p>
        </w:tc>
        <w:tc>
          <w:tcPr>
            <w:tcW w:w="15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r>
      <w:tr>
        <w:trPr>
          <w:trHeight w:val="229"/>
        </w:trPr>
        <w:tc>
          <w:tcPr>
            <w:tcW w:w="3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Homesense (Europe)</w:t>
            </w:r>
          </w:p>
        </w:tc>
        <w:tc>
          <w:tcPr>
            <w:tcW w:w="292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rPr>
              <w:t>19,000</w:t>
            </w: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78</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156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30"/>
        </w:trPr>
        <w:tc>
          <w:tcPr>
            <w:tcW w:w="35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TK Maxx (Australia)</w:t>
            </w:r>
          </w:p>
        </w:tc>
        <w:tc>
          <w:tcPr>
            <w:tcW w:w="2920" w:type="dxa"/>
            <w:vAlign w:val="bottom"/>
            <w:tcBorders>
              <w:bottom w:val="single" w:sz="8" w:color="auto"/>
            </w:tcBorders>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rPr>
              <w:t>21,000</w:t>
            </w:r>
          </w:p>
        </w:tc>
        <w:tc>
          <w:tcPr>
            <w:tcW w:w="15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74</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15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r>
      <w:tr>
        <w:trPr>
          <w:trHeight w:val="223"/>
        </w:trPr>
        <w:tc>
          <w:tcPr>
            <w:tcW w:w="35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Total TJX International</w:t>
            </w:r>
          </w:p>
        </w:tc>
        <w:tc>
          <w:tcPr>
            <w:tcW w:w="29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781</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803</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3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(a)</w:t>
            </w:r>
          </w:p>
        </w:tc>
      </w:tr>
      <w:tr>
        <w:trPr>
          <w:trHeight w:val="223"/>
        </w:trPr>
        <w:tc>
          <w:tcPr>
            <w:tcW w:w="3540" w:type="dxa"/>
            <w:vAlign w:val="bottom"/>
            <w:tcBorders>
              <w:bottom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TJX Total</w:t>
            </w:r>
            <w:r>
              <w:rPr>
                <w:rFonts w:ascii="Times New Roman" w:cs="Times New Roman" w:eastAsia="Times New Roman" w:hAnsi="Times New Roman"/>
                <w:sz w:val="23"/>
                <w:szCs w:val="23"/>
                <w:b w:val="1"/>
                <w:bCs w:val="1"/>
                <w:color w:val="auto"/>
                <w:vertAlign w:val="superscript"/>
              </w:rPr>
              <w:t>(b)</w:t>
            </w:r>
          </w:p>
        </w:tc>
        <w:tc>
          <w:tcPr>
            <w:tcW w:w="29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4,835</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4,954</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6,275</w:t>
            </w:r>
          </w:p>
        </w:tc>
        <w:tc>
          <w:tcPr>
            <w:tcW w:w="340" w:type="dxa"/>
            <w:vAlign w:val="bottom"/>
            <w:tcBorders>
              <w:bottom w:val="single" w:sz="8" w:color="auto"/>
            </w:tcBorders>
            <w:shd w:val="clear" w:color="auto" w:fill="CCEEFF"/>
          </w:tcPr>
          <w:p>
            <w:pPr>
              <w:spacing w:after="0"/>
              <w:rPr>
                <w:sz w:val="19"/>
                <w:szCs w:val="19"/>
                <w:color w:val="auto"/>
              </w:rPr>
            </w:pPr>
          </w:p>
        </w:tc>
      </w:tr>
    </w:tbl>
    <w:p>
      <w:pPr>
        <w:spacing w:after="0" w:line="112" w:lineRule="exact"/>
        <w:rPr>
          <w:sz w:val="20"/>
          <w:szCs w:val="20"/>
          <w:color w:val="auto"/>
        </w:rPr>
      </w:pPr>
    </w:p>
    <w:p>
      <w:pPr>
        <w:ind w:left="320" w:hanging="312"/>
        <w:spacing w:after="0"/>
        <w:tabs>
          <w:tab w:leader="none" w:pos="3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store growth potential for TK Maxx in current geographies and for Homesense in the United Kingdom and Ireland.</w:t>
      </w:r>
    </w:p>
    <w:p>
      <w:pPr>
        <w:spacing w:after="0" w:line="68"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78 Sierra stores in fiscal 2023 and 95 Sierra stores for fiscal 2024. Sierra stores are not included in estimated store potential.</w:t>
      </w:r>
    </w:p>
    <w:p>
      <w:pPr>
        <w:spacing w:after="0" w:line="1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Some of our home fashion stores are co-located with one of our apparel stores in a combo or superstore format. We count each of the stores in the combo or superstore format as a separate store.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Competition</w:t>
      </w:r>
    </w:p>
    <w:p>
      <w:pPr>
        <w:spacing w:after="0" w:line="11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retail apparel and home fashion business is highly competitive. We compete on numerous factors including brand, fashion, price, quality, selection and freshness; in-store and online shopping experience and service; reputation and store location. We compete with local, regional, national and international department, specialty, off-price, discount, warehouse and outlet stores as well as other retailers that sell apparel, home fashions and other merchandise that we sell, whether in stores, online, or through other media or channels.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Human Capital</w:t>
      </w:r>
    </w:p>
    <w:p>
      <w:pPr>
        <w:spacing w:after="0" w:line="13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As of February 3, 2024, we had approximately 349,000 employees (who we refer to as Associates), many of whom worked less than 40 hours per week. Approximately 85% of these Associates worked in our retail stores. We hire thousands of temporary employees each year, particularly during the peak back-to-school and holiday seasons. We offer positions at a variety of levels in our stores, distribution and fulfillment centers, and offices, as well as many opportunities for Associates to grow and advance. Many Associates in our distribution centers in the United States and Canada are covered by collective bargaining agreements and other Associates are members of works councils in Europe. Our large, global workforce supports the execution of our flexible business model, including the timing and frequency of store deliveries and the management of a rapidly changing mix of merchandise in over 4,900 retail stores in nine countries and across six e-commerce sites. We believe our Associates are key to our business success.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0"/>
          <w:szCs w:val="20"/>
          <w:i w:val="1"/>
          <w:iCs w:val="1"/>
          <w:color w:val="auto"/>
        </w:rPr>
        <w:t>Workplace and Culture</w:t>
      </w:r>
    </w:p>
    <w:p>
      <w:pPr>
        <w:spacing w:after="0" w:line="13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work to foster a strong, supportive, and inclusive culture so that Associates at TJX feel welcome in the Company, valued for their contributions, and engaged with our business mission. We use defined cultural factors and leadership competencies throughout our global business to express our organizational values, such as personal integrity, relationship-building and collaboration, and respect for our business model, and to promote consistency in leadership development. We use leadership competency and cultural factors focused on inclusion-based values and behaviors in our Leadership Development Toolkit. We believe our policies and practices, including our open-door philosophy, encourage open and honest communication and Associate engagement with the business.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Inclusion and Diversity (“I&amp;D”)</w:t>
      </w:r>
    </w:p>
    <w:p>
      <w:pPr>
        <w:spacing w:after="0" w:line="11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global workforce reflects a diversity of races, ethnicities, sexual orientations, gender identities, abilities, experiences, religions, and much more, and we are committed to continuing to build and support an inclusive and diverse workplace. Our global strategies include increasing the representation of diverse talent through our talent pipeline; providing leaders with tools to support difference with awareness, fairness, sensitivity, and transparency; and integrating inclusive behaviors, language and practices throughout the business. Over the past two years, with the benefit of information gathered from a global inclusion and diversity survey of our Associates, our teams globally have developed and launched many new programs, including recruitment strategies, training and education, Associate-led I&amp;D advisory boards, and additional Associate Resource Groups.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Training and Career Development</w:t>
      </w:r>
    </w:p>
    <w:p>
      <w:pPr>
        <w:spacing w:after="0" w:line="13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culture prioritizes Associate development and advancement within our organization and we have many Associates in managerial positions who have been with the Company for more than 10 years. We are highly focused on teaching and mentoring to support the career growth and success of our Associates, and we believe these efforts have promoted retention, stability, and increased expertise in our workforce. Training happens broadly throughout the organization, from informal mentoring and direct training to a range of career and leadership development programs, such as our TJX University for merchandising Associates.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Compensation and Rewards</w:t>
      </w:r>
    </w:p>
    <w:p>
      <w:pPr>
        <w:spacing w:after="0" w:line="11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compensation programs are designed to pay our Associates competitively in the market and equitably, based on their skills, qualifications, role and abilities. Our approach to compensation across the organization reflects our global total rewards principles, which include encouraging teamwork and collaboration, being fair and equitable, and sharing in the success of the Company. For fiscal 2024, we continued our One TJX approach to annual incentive compensation, with all eligible Associates measured against global TJX performance goals.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Trademarks</w:t>
      </w:r>
    </w:p>
    <w:p>
      <w:pPr>
        <w:spacing w:after="0" w:line="13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have the right to use our principal trademarks and service marks, which are TJ Maxx, Marshalls, HomeGoods, Winners, Homesense/HomeSense, TK Maxx and Sierra, in relevant countries. We expect our rights in these trademarks and service marks to endure in locations where we use them for as long as we continue to do so.</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Seasonality</w:t>
      </w:r>
    </w:p>
    <w:p>
      <w:pPr>
        <w:spacing w:after="0" w:line="13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Our business is subject to seasonal influences. In the second half of the year, which includes the back-to-school and year-end holiday seasons, we generally realize higher levels of sales and income.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SEC Filings and Certifications</w:t>
      </w:r>
    </w:p>
    <w:p>
      <w:pPr>
        <w:spacing w:after="0" w:line="11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Copies of our annual reports on Form 10-K, proxy statements, quarterly reports on Form 10-Q and current reports on Form 8-K filed with or furnished to the SEC, and any amendments to those documents, are available free of charge on our website, tjx.com, under “SEC Filings,” as soon as reasonably practicable after they are electronically filed with, or furnished to, the SEC. They are also available free of charge from TJX Global Communications, 770 Cochituate Road, Framingham, Massachusetts 01701. The SEC maintains a website containing all reports, proxies, information statements, and all other information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appearing on tjx.com is not a part of, and is not incorporated by reference in, this Form 10-K.</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0"/>
          <w:szCs w:val="20"/>
          <w:b w:val="1"/>
          <w:bCs w:val="1"/>
          <w:color w:val="auto"/>
        </w:rPr>
        <w:t>INFORMATION ABOUT OUR EXECUTIVE OFFICERS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the executive officers of TJX as of April 3, 2024:</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Age</w:t>
            </w:r>
          </w:p>
        </w:tc>
        <w:tc>
          <w:tcPr>
            <w:tcW w:w="82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Office and Business Experience</w:t>
            </w:r>
          </w:p>
        </w:tc>
      </w:tr>
      <w:tr>
        <w:trPr>
          <w:trHeight w:val="169"/>
        </w:trPr>
        <w:tc>
          <w:tcPr>
            <w:tcW w:w="176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Kenneth Canestrari</w:t>
            </w:r>
          </w:p>
        </w:tc>
        <w:tc>
          <w:tcPr>
            <w:tcW w:w="1200" w:type="dxa"/>
            <w:vAlign w:val="bottom"/>
            <w:shd w:val="clear" w:color="auto" w:fill="CCEEFF"/>
          </w:tcPr>
          <w:p>
            <w:pPr>
              <w:ind w:left="360"/>
              <w:spacing w:after="0" w:line="169" w:lineRule="exact"/>
              <w:rPr>
                <w:sz w:val="20"/>
                <w:szCs w:val="20"/>
                <w:color w:val="auto"/>
              </w:rPr>
            </w:pPr>
            <w:r>
              <w:rPr>
                <w:rFonts w:ascii="Times New Roman" w:cs="Times New Roman" w:eastAsia="Times New Roman" w:hAnsi="Times New Roman"/>
                <w:sz w:val="18"/>
                <w:szCs w:val="18"/>
                <w:color w:val="auto"/>
              </w:rPr>
              <w:t>62</w:t>
            </w:r>
          </w:p>
        </w:tc>
        <w:tc>
          <w:tcPr>
            <w:tcW w:w="8280" w:type="dxa"/>
            <w:vAlign w:val="bottom"/>
            <w:shd w:val="clear" w:color="auto" w:fill="CCEEFF"/>
          </w:tcPr>
          <w:p>
            <w:pPr>
              <w:ind w:left="540"/>
              <w:spacing w:after="0" w:line="169" w:lineRule="exact"/>
              <w:rPr>
                <w:sz w:val="20"/>
                <w:szCs w:val="20"/>
                <w:color w:val="auto"/>
              </w:rPr>
            </w:pPr>
            <w:r>
              <w:rPr>
                <w:rFonts w:ascii="Times New Roman" w:cs="Times New Roman" w:eastAsia="Times New Roman" w:hAnsi="Times New Roman"/>
                <w:sz w:val="18"/>
                <w:szCs w:val="18"/>
                <w:color w:val="auto"/>
              </w:rPr>
              <w:t>Senior Executive Vice President, Group President since September 2014. President, HomeGoods from</w:t>
            </w:r>
          </w:p>
        </w:tc>
      </w:tr>
      <w:tr>
        <w:trPr>
          <w:trHeight w:val="176"/>
        </w:trPr>
        <w:tc>
          <w:tcPr>
            <w:tcW w:w="17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280" w:type="dxa"/>
            <w:vAlign w:val="bottom"/>
            <w:shd w:val="clear" w:color="auto" w:fill="CCEEFF"/>
          </w:tcPr>
          <w:p>
            <w:pPr>
              <w:ind w:left="540"/>
              <w:spacing w:after="0" w:line="176" w:lineRule="exact"/>
              <w:rPr>
                <w:sz w:val="20"/>
                <w:szCs w:val="20"/>
                <w:color w:val="auto"/>
              </w:rPr>
            </w:pPr>
            <w:r>
              <w:rPr>
                <w:rFonts w:ascii="Times New Roman" w:cs="Times New Roman" w:eastAsia="Times New Roman" w:hAnsi="Times New Roman"/>
                <w:sz w:val="18"/>
                <w:szCs w:val="18"/>
                <w:color w:val="auto"/>
              </w:rPr>
              <w:t>2012 to September 2014. Executive Vice President, Chief Operating Officer, HomeGoods from 2008 until</w:t>
            </w:r>
          </w:p>
        </w:tc>
      </w:tr>
      <w:tr>
        <w:trPr>
          <w:trHeight w:val="243"/>
        </w:trPr>
        <w:tc>
          <w:tcPr>
            <w:tcW w:w="17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2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2012. Various financial positions with TJX from 1988 to 2008.</w:t>
            </w:r>
          </w:p>
        </w:tc>
      </w:tr>
      <w:tr>
        <w:trPr>
          <w:trHeight w:val="175"/>
        </w:trPr>
        <w:tc>
          <w:tcPr>
            <w:tcW w:w="17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Louise Greenlees</w:t>
            </w:r>
          </w:p>
        </w:tc>
        <w:tc>
          <w:tcPr>
            <w:tcW w:w="120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61</w:t>
            </w:r>
          </w:p>
        </w:tc>
        <w:tc>
          <w:tcPr>
            <w:tcW w:w="8280" w:type="dxa"/>
            <w:vAlign w:val="bottom"/>
          </w:tcPr>
          <w:p>
            <w:pPr>
              <w:ind w:left="540"/>
              <w:spacing w:after="0" w:line="176" w:lineRule="exact"/>
              <w:rPr>
                <w:sz w:val="20"/>
                <w:szCs w:val="20"/>
                <w:color w:val="auto"/>
              </w:rPr>
            </w:pPr>
            <w:r>
              <w:rPr>
                <w:rFonts w:ascii="Times New Roman" w:cs="Times New Roman" w:eastAsia="Times New Roman" w:hAnsi="Times New Roman"/>
                <w:sz w:val="18"/>
                <w:szCs w:val="18"/>
                <w:color w:val="auto"/>
              </w:rPr>
              <w:t>Senior Executive Vice President, Group President since June 2022. President, TJX Europe from January</w:t>
            </w:r>
          </w:p>
        </w:tc>
      </w:tr>
      <w:tr>
        <w:trPr>
          <w:trHeight w:val="176"/>
        </w:trPr>
        <w:tc>
          <w:tcPr>
            <w:tcW w:w="17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280" w:type="dxa"/>
            <w:vAlign w:val="bottom"/>
          </w:tcPr>
          <w:p>
            <w:pPr>
              <w:ind w:left="540"/>
              <w:spacing w:after="0" w:line="176" w:lineRule="exact"/>
              <w:rPr>
                <w:sz w:val="20"/>
                <w:szCs w:val="20"/>
                <w:color w:val="auto"/>
              </w:rPr>
            </w:pPr>
            <w:r>
              <w:rPr>
                <w:rFonts w:ascii="Times New Roman" w:cs="Times New Roman" w:eastAsia="Times New Roman" w:hAnsi="Times New Roman"/>
                <w:sz w:val="18"/>
                <w:szCs w:val="18"/>
                <w:color w:val="auto"/>
              </w:rPr>
              <w:t>2015 to June 2022. Managing Director, TJX Europe from January 2014 to January 2015. Group Buying</w:t>
            </w:r>
          </w:p>
        </w:tc>
      </w:tr>
      <w:tr>
        <w:trPr>
          <w:trHeight w:val="184"/>
        </w:trPr>
        <w:tc>
          <w:tcPr>
            <w:tcW w:w="17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280" w:type="dxa"/>
            <w:vAlign w:val="bottom"/>
          </w:tcPr>
          <w:p>
            <w:pPr>
              <w:ind w:left="540"/>
              <w:spacing w:after="0" w:line="184" w:lineRule="exact"/>
              <w:rPr>
                <w:sz w:val="20"/>
                <w:szCs w:val="20"/>
                <w:color w:val="auto"/>
              </w:rPr>
            </w:pPr>
            <w:r>
              <w:rPr>
                <w:rFonts w:ascii="Times New Roman" w:cs="Times New Roman" w:eastAsia="Times New Roman" w:hAnsi="Times New Roman"/>
                <w:sz w:val="18"/>
                <w:szCs w:val="18"/>
                <w:color w:val="auto"/>
              </w:rPr>
              <w:t>Director, TJX Europe from April 2013 to January 2014. Homesense Managing Director, from December</w:t>
            </w:r>
          </w:p>
        </w:tc>
      </w:tr>
      <w:tr>
        <w:trPr>
          <w:trHeight w:val="234"/>
        </w:trPr>
        <w:tc>
          <w:tcPr>
            <w:tcW w:w="17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2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2010 to April 2013.</w:t>
            </w:r>
          </w:p>
        </w:tc>
      </w:tr>
      <w:tr>
        <w:trPr>
          <w:trHeight w:val="175"/>
        </w:trPr>
        <w:tc>
          <w:tcPr>
            <w:tcW w:w="17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Ernie Herrman</w:t>
            </w:r>
          </w:p>
        </w:tc>
        <w:tc>
          <w:tcPr>
            <w:tcW w:w="120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63</w:t>
            </w:r>
          </w:p>
        </w:tc>
        <w:tc>
          <w:tcPr>
            <w:tcW w:w="8280" w:type="dxa"/>
            <w:vAlign w:val="bottom"/>
            <w:shd w:val="clear" w:color="auto" w:fill="CCEEFF"/>
          </w:tcPr>
          <w:p>
            <w:pPr>
              <w:ind w:left="540"/>
              <w:spacing w:after="0" w:line="176" w:lineRule="exact"/>
              <w:rPr>
                <w:sz w:val="20"/>
                <w:szCs w:val="20"/>
                <w:color w:val="auto"/>
              </w:rPr>
            </w:pPr>
            <w:r>
              <w:rPr>
                <w:rFonts w:ascii="Times New Roman" w:cs="Times New Roman" w:eastAsia="Times New Roman" w:hAnsi="Times New Roman"/>
                <w:sz w:val="18"/>
                <w:szCs w:val="18"/>
                <w:color w:val="auto"/>
              </w:rPr>
              <w:t>Chief Executive Officer since January 2016. Director since October 2015. President since January 2011.</w:t>
            </w:r>
          </w:p>
        </w:tc>
      </w:tr>
      <w:tr>
        <w:trPr>
          <w:trHeight w:val="176"/>
        </w:trPr>
        <w:tc>
          <w:tcPr>
            <w:tcW w:w="17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280" w:type="dxa"/>
            <w:vAlign w:val="bottom"/>
            <w:shd w:val="clear" w:color="auto" w:fill="CCEEFF"/>
          </w:tcPr>
          <w:p>
            <w:pPr>
              <w:ind w:left="540"/>
              <w:spacing w:after="0" w:line="176" w:lineRule="exact"/>
              <w:rPr>
                <w:sz w:val="20"/>
                <w:szCs w:val="20"/>
                <w:color w:val="auto"/>
              </w:rPr>
            </w:pPr>
            <w:r>
              <w:rPr>
                <w:rFonts w:ascii="Times New Roman" w:cs="Times New Roman" w:eastAsia="Times New Roman" w:hAnsi="Times New Roman"/>
                <w:sz w:val="18"/>
                <w:szCs w:val="18"/>
                <w:color w:val="auto"/>
              </w:rPr>
              <w:t>Senior Executive Vice President, Group President from August 2008 to January 2011. President, Marmaxx</w:t>
            </w:r>
          </w:p>
        </w:tc>
      </w:tr>
      <w:tr>
        <w:trPr>
          <w:trHeight w:val="184"/>
        </w:trPr>
        <w:tc>
          <w:tcPr>
            <w:tcW w:w="17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280" w:type="dxa"/>
            <w:vAlign w:val="bottom"/>
            <w:shd w:val="clear" w:color="auto" w:fill="CCEEFF"/>
          </w:tcPr>
          <w:p>
            <w:pPr>
              <w:ind w:left="540"/>
              <w:spacing w:after="0" w:line="184" w:lineRule="exact"/>
              <w:rPr>
                <w:sz w:val="20"/>
                <w:szCs w:val="20"/>
                <w:color w:val="auto"/>
              </w:rPr>
            </w:pPr>
            <w:r>
              <w:rPr>
                <w:rFonts w:ascii="Times New Roman" w:cs="Times New Roman" w:eastAsia="Times New Roman" w:hAnsi="Times New Roman"/>
                <w:sz w:val="18"/>
                <w:szCs w:val="18"/>
                <w:color w:val="auto"/>
              </w:rPr>
              <w:t>from 2005 to 2008. Senior Executive Vice President, Chief Operating Officer, Marmaxx from 2004 to</w:t>
            </w:r>
          </w:p>
        </w:tc>
      </w:tr>
      <w:tr>
        <w:trPr>
          <w:trHeight w:val="180"/>
        </w:trPr>
        <w:tc>
          <w:tcPr>
            <w:tcW w:w="17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280" w:type="dxa"/>
            <w:vAlign w:val="bottom"/>
            <w:shd w:val="clear" w:color="auto" w:fill="CCEEFF"/>
          </w:tcPr>
          <w:p>
            <w:pPr>
              <w:ind w:left="540"/>
              <w:spacing w:after="0" w:line="181" w:lineRule="exact"/>
              <w:rPr>
                <w:sz w:val="20"/>
                <w:szCs w:val="20"/>
                <w:color w:val="auto"/>
              </w:rPr>
            </w:pPr>
            <w:r>
              <w:rPr>
                <w:rFonts w:ascii="Times New Roman" w:cs="Times New Roman" w:eastAsia="Times New Roman" w:hAnsi="Times New Roman"/>
                <w:sz w:val="18"/>
                <w:szCs w:val="18"/>
                <w:color w:val="auto"/>
              </w:rPr>
              <w:t>2005. Executive Vice President, Merchandising, Marmaxx from 2001 to 2004. Various merchandising</w:t>
            </w:r>
          </w:p>
        </w:tc>
      </w:tr>
      <w:tr>
        <w:trPr>
          <w:trHeight w:val="243"/>
        </w:trPr>
        <w:tc>
          <w:tcPr>
            <w:tcW w:w="17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2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positions with TJX since joining in 1989.</w:t>
            </w:r>
          </w:p>
        </w:tc>
      </w:tr>
      <w:tr>
        <w:trPr>
          <w:trHeight w:val="176"/>
        </w:trPr>
        <w:tc>
          <w:tcPr>
            <w:tcW w:w="17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John Klinger</w:t>
            </w:r>
          </w:p>
        </w:tc>
        <w:tc>
          <w:tcPr>
            <w:tcW w:w="120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59</w:t>
            </w:r>
          </w:p>
        </w:tc>
        <w:tc>
          <w:tcPr>
            <w:tcW w:w="8280" w:type="dxa"/>
            <w:vAlign w:val="bottom"/>
          </w:tcPr>
          <w:p>
            <w:pPr>
              <w:ind w:left="540"/>
              <w:spacing w:after="0" w:line="176" w:lineRule="exact"/>
              <w:rPr>
                <w:sz w:val="20"/>
                <w:szCs w:val="20"/>
                <w:color w:val="auto"/>
              </w:rPr>
            </w:pPr>
            <w:r>
              <w:rPr>
                <w:rFonts w:ascii="Times New Roman" w:cs="Times New Roman" w:eastAsia="Times New Roman" w:hAnsi="Times New Roman"/>
                <w:sz w:val="18"/>
                <w:szCs w:val="18"/>
                <w:color w:val="auto"/>
              </w:rPr>
              <w:t>Senior Executive Vice President and Chief Financial Officer since February 2024. Executive Vice</w:t>
            </w:r>
          </w:p>
        </w:tc>
      </w:tr>
      <w:tr>
        <w:trPr>
          <w:trHeight w:val="175"/>
        </w:trPr>
        <w:tc>
          <w:tcPr>
            <w:tcW w:w="17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280" w:type="dxa"/>
            <w:vAlign w:val="bottom"/>
          </w:tcPr>
          <w:p>
            <w:pPr>
              <w:ind w:left="540"/>
              <w:spacing w:after="0" w:line="176" w:lineRule="exact"/>
              <w:rPr>
                <w:sz w:val="20"/>
                <w:szCs w:val="20"/>
                <w:color w:val="auto"/>
              </w:rPr>
            </w:pPr>
            <w:r>
              <w:rPr>
                <w:rFonts w:ascii="Times New Roman" w:cs="Times New Roman" w:eastAsia="Times New Roman" w:hAnsi="Times New Roman"/>
                <w:sz w:val="18"/>
                <w:szCs w:val="18"/>
                <w:color w:val="auto"/>
              </w:rPr>
              <w:t>President and Chief Financial Officer from January 2023 to February 2024. Executive Vice President,</w:t>
            </w:r>
          </w:p>
        </w:tc>
      </w:tr>
      <w:tr>
        <w:trPr>
          <w:trHeight w:val="184"/>
        </w:trPr>
        <w:tc>
          <w:tcPr>
            <w:tcW w:w="17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280" w:type="dxa"/>
            <w:vAlign w:val="bottom"/>
          </w:tcPr>
          <w:p>
            <w:pPr>
              <w:ind w:left="540"/>
              <w:spacing w:after="0" w:line="184" w:lineRule="exact"/>
              <w:rPr>
                <w:sz w:val="20"/>
                <w:szCs w:val="20"/>
                <w:color w:val="auto"/>
              </w:rPr>
            </w:pPr>
            <w:r>
              <w:rPr>
                <w:rFonts w:ascii="Times New Roman" w:cs="Times New Roman" w:eastAsia="Times New Roman" w:hAnsi="Times New Roman"/>
                <w:sz w:val="18"/>
                <w:szCs w:val="18"/>
                <w:color w:val="auto"/>
              </w:rPr>
              <w:t>Corporate Controller from 2019 to January 2023. Senior Vice President, Corporate Controller from 2015</w:t>
            </w:r>
          </w:p>
        </w:tc>
      </w:tr>
      <w:tr>
        <w:trPr>
          <w:trHeight w:val="180"/>
        </w:trPr>
        <w:tc>
          <w:tcPr>
            <w:tcW w:w="17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280" w:type="dxa"/>
            <w:vAlign w:val="bottom"/>
          </w:tcPr>
          <w:p>
            <w:pPr>
              <w:ind w:left="540"/>
              <w:spacing w:after="0" w:line="181" w:lineRule="exact"/>
              <w:rPr>
                <w:sz w:val="20"/>
                <w:szCs w:val="20"/>
                <w:color w:val="auto"/>
              </w:rPr>
            </w:pPr>
            <w:r>
              <w:rPr>
                <w:rFonts w:ascii="Times New Roman" w:cs="Times New Roman" w:eastAsia="Times New Roman" w:hAnsi="Times New Roman"/>
                <w:sz w:val="18"/>
                <w:szCs w:val="18"/>
                <w:color w:val="auto"/>
              </w:rPr>
              <w:t>to 2019. Senior Vice President, Divisional Chief Financial Officer, TJX Europe from 2011 to 2015. Vice</w:t>
            </w:r>
          </w:p>
        </w:tc>
      </w:tr>
      <w:tr>
        <w:trPr>
          <w:trHeight w:val="175"/>
        </w:trPr>
        <w:tc>
          <w:tcPr>
            <w:tcW w:w="17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280" w:type="dxa"/>
            <w:vAlign w:val="bottom"/>
          </w:tcPr>
          <w:p>
            <w:pPr>
              <w:ind w:left="540"/>
              <w:spacing w:after="0" w:line="176" w:lineRule="exact"/>
              <w:rPr>
                <w:sz w:val="20"/>
                <w:szCs w:val="20"/>
                <w:color w:val="auto"/>
              </w:rPr>
            </w:pPr>
            <w:r>
              <w:rPr>
                <w:rFonts w:ascii="Times New Roman" w:cs="Times New Roman" w:eastAsia="Times New Roman" w:hAnsi="Times New Roman"/>
                <w:sz w:val="18"/>
                <w:szCs w:val="18"/>
                <w:color w:val="auto"/>
              </w:rPr>
              <w:t>President, Corporate Finance from 2011 to 2011. Vice President, Divisional Chief Financial Officer for</w:t>
            </w:r>
          </w:p>
        </w:tc>
      </w:tr>
      <w:tr>
        <w:trPr>
          <w:trHeight w:val="239"/>
        </w:trPr>
        <w:tc>
          <w:tcPr>
            <w:tcW w:w="17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2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AJWright from 2007 to 2011. Various financial positions with TJX since joining in 2000.</w:t>
            </w:r>
          </w:p>
        </w:tc>
      </w:tr>
      <w:tr>
        <w:trPr>
          <w:trHeight w:val="180"/>
        </w:trPr>
        <w:tc>
          <w:tcPr>
            <w:tcW w:w="17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Carol Meyrowitz</w:t>
            </w:r>
          </w:p>
        </w:tc>
        <w:tc>
          <w:tcPr>
            <w:tcW w:w="1200" w:type="dxa"/>
            <w:vAlign w:val="bottom"/>
            <w:shd w:val="clear" w:color="auto" w:fill="CCEEFF"/>
          </w:tcPr>
          <w:p>
            <w:pPr>
              <w:ind w:left="360"/>
              <w:spacing w:after="0" w:line="180" w:lineRule="exact"/>
              <w:rPr>
                <w:sz w:val="20"/>
                <w:szCs w:val="20"/>
                <w:color w:val="auto"/>
              </w:rPr>
            </w:pPr>
            <w:r>
              <w:rPr>
                <w:rFonts w:ascii="Times New Roman" w:cs="Times New Roman" w:eastAsia="Times New Roman" w:hAnsi="Times New Roman"/>
                <w:sz w:val="18"/>
                <w:szCs w:val="18"/>
                <w:color w:val="auto"/>
              </w:rPr>
              <w:t>70</w:t>
            </w:r>
          </w:p>
        </w:tc>
        <w:tc>
          <w:tcPr>
            <w:tcW w:w="8280" w:type="dxa"/>
            <w:vAlign w:val="bottom"/>
            <w:shd w:val="clear" w:color="auto" w:fill="CCEEFF"/>
          </w:tcPr>
          <w:p>
            <w:pPr>
              <w:ind w:left="540"/>
              <w:spacing w:after="0" w:line="180" w:lineRule="exact"/>
              <w:rPr>
                <w:sz w:val="20"/>
                <w:szCs w:val="20"/>
                <w:color w:val="auto"/>
              </w:rPr>
            </w:pPr>
            <w:r>
              <w:rPr>
                <w:rFonts w:ascii="Times New Roman" w:cs="Times New Roman" w:eastAsia="Times New Roman" w:hAnsi="Times New Roman"/>
                <w:sz w:val="18"/>
                <w:szCs w:val="18"/>
                <w:color w:val="auto"/>
              </w:rPr>
              <w:t>Executive Chairman of the Board since January 2016. Chairman of the Board from June 2015 to January</w:t>
            </w:r>
          </w:p>
        </w:tc>
      </w:tr>
      <w:tr>
        <w:trPr>
          <w:trHeight w:val="176"/>
        </w:trPr>
        <w:tc>
          <w:tcPr>
            <w:tcW w:w="17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280" w:type="dxa"/>
            <w:vAlign w:val="bottom"/>
            <w:shd w:val="clear" w:color="auto" w:fill="CCEEFF"/>
          </w:tcPr>
          <w:p>
            <w:pPr>
              <w:ind w:left="540"/>
              <w:spacing w:after="0" w:line="176" w:lineRule="exact"/>
              <w:rPr>
                <w:sz w:val="20"/>
                <w:szCs w:val="20"/>
                <w:color w:val="auto"/>
              </w:rPr>
            </w:pPr>
            <w:r>
              <w:rPr>
                <w:rFonts w:ascii="Times New Roman" w:cs="Times New Roman" w:eastAsia="Times New Roman" w:hAnsi="Times New Roman"/>
                <w:sz w:val="18"/>
                <w:szCs w:val="18"/>
                <w:color w:val="auto"/>
              </w:rPr>
              <w:t>2016. Chief Executive Officer from January 2007 to January 2016. Director since 2006 and President from</w:t>
            </w:r>
          </w:p>
        </w:tc>
      </w:tr>
      <w:tr>
        <w:trPr>
          <w:trHeight w:val="184"/>
        </w:trPr>
        <w:tc>
          <w:tcPr>
            <w:tcW w:w="17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280" w:type="dxa"/>
            <w:vAlign w:val="bottom"/>
            <w:shd w:val="clear" w:color="auto" w:fill="CCEEFF"/>
          </w:tcPr>
          <w:p>
            <w:pPr>
              <w:ind w:left="540"/>
              <w:spacing w:after="0" w:line="184" w:lineRule="exact"/>
              <w:rPr>
                <w:sz w:val="20"/>
                <w:szCs w:val="20"/>
                <w:color w:val="auto"/>
              </w:rPr>
            </w:pPr>
            <w:r>
              <w:rPr>
                <w:rFonts w:ascii="Times New Roman" w:cs="Times New Roman" w:eastAsia="Times New Roman" w:hAnsi="Times New Roman"/>
                <w:sz w:val="18"/>
                <w:szCs w:val="18"/>
                <w:color w:val="auto"/>
              </w:rPr>
              <w:t>October 2005 to January 2011. Consultant to TJX from January 2005 to October 2005. Senior Executive</w:t>
            </w:r>
          </w:p>
        </w:tc>
      </w:tr>
      <w:tr>
        <w:trPr>
          <w:trHeight w:val="180"/>
        </w:trPr>
        <w:tc>
          <w:tcPr>
            <w:tcW w:w="17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280" w:type="dxa"/>
            <w:vAlign w:val="bottom"/>
            <w:shd w:val="clear" w:color="auto" w:fill="CCEEFF"/>
          </w:tcPr>
          <w:p>
            <w:pPr>
              <w:ind w:left="540"/>
              <w:spacing w:after="0" w:line="181" w:lineRule="exact"/>
              <w:rPr>
                <w:sz w:val="20"/>
                <w:szCs w:val="20"/>
                <w:color w:val="auto"/>
              </w:rPr>
            </w:pPr>
            <w:r>
              <w:rPr>
                <w:rFonts w:ascii="Times New Roman" w:cs="Times New Roman" w:eastAsia="Times New Roman" w:hAnsi="Times New Roman"/>
                <w:sz w:val="18"/>
                <w:szCs w:val="18"/>
                <w:color w:val="auto"/>
              </w:rPr>
              <w:t>Vice President from March 2004 to January 2005. President, Marmaxx from 2001 to January 2005.</w:t>
            </w:r>
          </w:p>
        </w:tc>
      </w:tr>
      <w:tr>
        <w:trPr>
          <w:trHeight w:val="176"/>
        </w:trPr>
        <w:tc>
          <w:tcPr>
            <w:tcW w:w="17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280" w:type="dxa"/>
            <w:vAlign w:val="bottom"/>
            <w:shd w:val="clear" w:color="auto" w:fill="CCEEFF"/>
          </w:tcPr>
          <w:p>
            <w:pPr>
              <w:ind w:left="540"/>
              <w:spacing w:after="0" w:line="176" w:lineRule="exact"/>
              <w:rPr>
                <w:sz w:val="20"/>
                <w:szCs w:val="20"/>
                <w:color w:val="auto"/>
              </w:rPr>
            </w:pPr>
            <w:r>
              <w:rPr>
                <w:rFonts w:ascii="Times New Roman" w:cs="Times New Roman" w:eastAsia="Times New Roman" w:hAnsi="Times New Roman"/>
                <w:sz w:val="18"/>
                <w:szCs w:val="18"/>
                <w:color w:val="auto"/>
              </w:rPr>
              <w:t>Executive Vice President of TJX from 2001 to 2004. Various senior management and merchandising</w:t>
            </w:r>
          </w:p>
        </w:tc>
      </w:tr>
      <w:tr>
        <w:trPr>
          <w:trHeight w:val="184"/>
        </w:trPr>
        <w:tc>
          <w:tcPr>
            <w:tcW w:w="17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280" w:type="dxa"/>
            <w:vAlign w:val="bottom"/>
            <w:shd w:val="clear" w:color="auto" w:fill="CCEEFF"/>
          </w:tcPr>
          <w:p>
            <w:pPr>
              <w:ind w:left="540"/>
              <w:spacing w:after="0" w:line="184" w:lineRule="exact"/>
              <w:rPr>
                <w:sz w:val="20"/>
                <w:szCs w:val="20"/>
                <w:color w:val="auto"/>
              </w:rPr>
            </w:pPr>
            <w:r>
              <w:rPr>
                <w:rFonts w:ascii="Times New Roman" w:cs="Times New Roman" w:eastAsia="Times New Roman" w:hAnsi="Times New Roman"/>
                <w:sz w:val="18"/>
                <w:szCs w:val="18"/>
                <w:color w:val="auto"/>
              </w:rPr>
              <w:t>positions with Marmaxx and with Chadwick’s of Boston and Hit or Miss, former divisions of TJX, from</w:t>
            </w:r>
          </w:p>
        </w:tc>
      </w:tr>
      <w:tr>
        <w:trPr>
          <w:trHeight w:val="234"/>
        </w:trPr>
        <w:tc>
          <w:tcPr>
            <w:tcW w:w="17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2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1983 to 2001.</w:t>
            </w:r>
          </w:p>
        </w:tc>
      </w:tr>
      <w:tr>
        <w:trPr>
          <w:trHeight w:val="175"/>
        </w:trPr>
        <w:tc>
          <w:tcPr>
            <w:tcW w:w="17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Douglas Mizzi</w:t>
            </w:r>
          </w:p>
        </w:tc>
        <w:tc>
          <w:tcPr>
            <w:tcW w:w="120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64</w:t>
            </w:r>
          </w:p>
        </w:tc>
        <w:tc>
          <w:tcPr>
            <w:tcW w:w="8280" w:type="dxa"/>
            <w:vAlign w:val="bottom"/>
          </w:tcPr>
          <w:p>
            <w:pPr>
              <w:ind w:left="540"/>
              <w:spacing w:after="0" w:line="176" w:lineRule="exact"/>
              <w:rPr>
                <w:sz w:val="20"/>
                <w:szCs w:val="20"/>
                <w:color w:val="auto"/>
              </w:rPr>
            </w:pPr>
            <w:r>
              <w:rPr>
                <w:rFonts w:ascii="Times New Roman" w:cs="Times New Roman" w:eastAsia="Times New Roman" w:hAnsi="Times New Roman"/>
                <w:sz w:val="18"/>
                <w:szCs w:val="18"/>
                <w:color w:val="auto"/>
              </w:rPr>
              <w:t>Senior Executive Vice President, Group President since February 2018. President, TJX Canada from</w:t>
            </w:r>
          </w:p>
        </w:tc>
      </w:tr>
      <w:tr>
        <w:trPr>
          <w:trHeight w:val="175"/>
        </w:trPr>
        <w:tc>
          <w:tcPr>
            <w:tcW w:w="17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280" w:type="dxa"/>
            <w:vAlign w:val="bottom"/>
          </w:tcPr>
          <w:p>
            <w:pPr>
              <w:ind w:left="540"/>
              <w:spacing w:after="0" w:line="176" w:lineRule="exact"/>
              <w:rPr>
                <w:sz w:val="20"/>
                <w:szCs w:val="20"/>
                <w:color w:val="auto"/>
              </w:rPr>
            </w:pPr>
            <w:r>
              <w:rPr>
                <w:rFonts w:ascii="Times New Roman" w:cs="Times New Roman" w:eastAsia="Times New Roman" w:hAnsi="Times New Roman"/>
                <w:sz w:val="18"/>
                <w:szCs w:val="18"/>
                <w:color w:val="auto"/>
              </w:rPr>
              <w:t>October 2011 to February 2018. Managing Director TK Maxx, UK from April 2010 to October 2011.</w:t>
            </w:r>
          </w:p>
        </w:tc>
      </w:tr>
      <w:tr>
        <w:trPr>
          <w:trHeight w:val="204"/>
        </w:trPr>
        <w:tc>
          <w:tcPr>
            <w:tcW w:w="1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80" w:type="dxa"/>
            <w:vAlign w:val="bottom"/>
          </w:tcPr>
          <w:p>
            <w:pPr>
              <w:ind w:left="540"/>
              <w:spacing w:after="0" w:line="204" w:lineRule="exact"/>
              <w:rPr>
                <w:sz w:val="20"/>
                <w:szCs w:val="20"/>
                <w:color w:val="auto"/>
              </w:rPr>
            </w:pPr>
            <w:r>
              <w:rPr>
                <w:rFonts w:ascii="Times New Roman" w:cs="Times New Roman" w:eastAsia="Times New Roman" w:hAnsi="Times New Roman"/>
                <w:sz w:val="18"/>
                <w:szCs w:val="18"/>
                <w:color w:val="auto"/>
              </w:rPr>
              <w:t>Executive Vice President, Chief Operating Officer, WMI from February 2006 to April 2010. Senior Vice</w:t>
            </w:r>
          </w:p>
        </w:tc>
      </w:tr>
    </w:tbl>
    <w:p>
      <w:pPr>
        <w:ind w:left="3500" w:right="160"/>
        <w:spacing w:after="0" w:line="226" w:lineRule="auto"/>
        <w:rPr>
          <w:sz w:val="20"/>
          <w:szCs w:val="20"/>
          <w:color w:val="auto"/>
        </w:rPr>
      </w:pPr>
      <w:r>
        <w:rPr>
          <w:rFonts w:ascii="Times New Roman" w:cs="Times New Roman" w:eastAsia="Times New Roman" w:hAnsi="Times New Roman"/>
          <w:sz w:val="18"/>
          <w:szCs w:val="18"/>
          <w:color w:val="auto"/>
        </w:rPr>
        <w:t>President, Director of Store Operations, WMI from 2004 to 2006. Various store operations positions with TJX from 1988 to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executive officers hold office until the next annual meeting of the Board in June 2024 and until their successors are elected and qualified.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b w:val="1"/>
          <w:bCs w:val="1"/>
          <w:color w:val="auto"/>
        </w:rPr>
        <w:t>ITEM 1A. Risk Factors</w:t>
      </w:r>
    </w:p>
    <w:p>
      <w:pPr>
        <w:spacing w:after="0" w:line="111"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The statements in this section describe the major risks to our business and should be considered carefully, in connection with all the other information set forth in this annual report on Form 10-K. The risks listed below are those that we think, individually or in the aggregate, are potentially material to our business and could cause our actual results to differ materially from those stated or implied in forward-looking statements. There may be additional risks that we are not aware of or that we currently believe are immaterial, and factors besides the ones discussed below, that could adversely affect our business.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OPERATIONAL AND STRATEGIC RISKS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execute our opportunistic buying strategy and successfully manage our inventory could adversely affect our results.</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Key elements of our off-price business strategy, including opportunistic buying, operating with lean inventory levels, and frequent inventory turns, subject us to risks. Our customer transactions and our sales, margins, and other financial results could be adversely affected if we do not obtain and allocate the right merchandise at the right times, in the right quantities, at the right prices, in the right mix, and in the right geographies.</w:t>
      </w:r>
    </w:p>
    <w:p>
      <w:pPr>
        <w:spacing w:after="0" w:line="6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opportunistic buying strategy places considerable discretion with our merchants. They typically buy throughout the year, with much of our merchandise purchased for the current or immediately upcoming season. Our merchants are expected to effectively react to rapidly changing opportunities and trends in the market, to assess the desirability and value of merchandise, and to generally make determinations of how and what we source, as well as when and from where we source it. If they do not make assessments accurately or otherwise cannot execute our strategy in an effective or timely way, our customer transactions and our sales, margins, and other financial results could be adversely affected. If our merchandise is not generally purchased at prices sufficiently below prices paid by conventional retailers, we may not be able to maintain our desired overall pricing differential to full-price retailers, including department, specialty, and major online retailers, at various times or in some reporting segments, banners, product categories or geographies.</w:t>
      </w:r>
    </w:p>
    <w:p>
      <w:pPr>
        <w:spacing w:after="0" w:line="8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addition, to respond to customer demand and effectively manage pricing and markdowns, we need to appropriately allocate and deliver merchandise to our stores, maintain an appropriate mix and level of inventory in each store, and be flexible in our allocation of floor space at our stores among product categories. We also base our inventory purchases, in part, on our sales forecasts. If our sales forecasts fail to predict customer demand, we may experience higher inventory levels than we planned and we may need to take markdowns on excess or slow-moving inventory, or we may have insufficient inventory to meet customer demand, either of which could adversely affect our financial performance.</w:t>
      </w:r>
    </w:p>
    <w:p>
      <w:pPr>
        <w:spacing w:after="0" w:line="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 variety of factors have impacted, and may continue to impact, execution of our opportunistic buying strategy and inventory management. For example, our ability to allocate, deliver, and maintain our preferred mix and level of inventory has been impacted in recent years by temporary store closures, inflationary pressures, global supply chain disruptions, and other challenges, as a result of events, including the global COVID-19 pandemic.</w:t>
      </w:r>
    </w:p>
    <w:p>
      <w:pPr>
        <w:spacing w:after="0" w:line="64"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identify consumer trends and preferences, or to otherwise meet customer demand or expectations, in new or existing markets or channels could negatively impact our performance.</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our success depends on our ability to meet customer demand and expectations, we seek to identify consumer trends and preferences on an ongoing basis and to offer inventory and shopping experiences that meet those trends and preferences. However, we may not do so effectively and/or in a timely manner across our diverse merchandise categories and in each of the many markets in which we do business. Trends and preferences in markets may differ from what we anticipate and could change rapidly. Although our business model allows us greater flexibility to meet consumer product preferences and trends than many traditional retailers (for example, by expanding and contracting merchandise categories in response to consumers’ changing tastes), we may not successfully do so, which could impact inventory turns, customer transactions, and sales, and may have a negative impact on our ability to attract new customers, retain existing customers, and/or encourage frequent customer visits and/or cross-shopping of our multiple retail banners, any of which could adversely affect our results.</w:t>
      </w:r>
    </w:p>
    <w:p>
      <w:pPr>
        <w:spacing w:after="0" w:line="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Customers also may have expectations about how they shop in stores or through e-commerce or more generally engage with businesses across different channels (including digital/social media platforms). These expectations may vary both across and within demographics and geographies and may evolve rapidly or be impacted by external factors, as was the case during the COVID-19 pandemic. Meeting customers’ expectations effectively generally involves identifying the right opportunities and making the right investments at the right time and with the right speed, among other things, and failure to do so may impact our business and financial results.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18"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highly competitive markets, and we may not be able to compete effectively.</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retail apparel and home fashion businesses are highly competitive. We compete on the basis of various factors affecting value (which we define as the combination of brand, fashion, price and quality). We also compete on merchandise selection and freshness; banner name recognition and appeal; both in-store and online service and shopping experience; convenience; and store location. We compete with local, regional, national and international retailers that sell apparel, home fashions and other merchandise that we may carry including retailers that operate through stores, e-commerce and/or other media, as well as omnichannel retailers. Some of our competitors are larger than we are or have more experience than we do in selling certain product lines or through certain channels. New competitors frequently enter the market. Additionally, competitors may enter or increase their presence in markets in which we operate, consolidate with other retailers, expand their merchandise offerings, expand their e-commerce capabilities, add new sales channels, change their pricing strategies, and/or adopt new processes or technologies that may allow them to compete more effectively. More generally, consumer e-commerce spending may continue to increase, as it has in recent years, while our business is primarily in brick and mortar stores. If we fail to compete effectively, our sales and results of operations could be adversely affected.</w:t>
      </w:r>
    </w:p>
    <w:p>
      <w:pPr>
        <w:spacing w:after="0" w:line="82"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successfully implement our marketing efforts, if our marketing efforts are not successful in driving expected increases in sales or if our competitors’ marketing programs are more effective than ours, our revenue or results of operations may be adversely affected.</w:t>
      </w:r>
    </w:p>
    <w:p>
      <w:pPr>
        <w:spacing w:after="0" w:line="51"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Customer transactions and demand for our merchandise may be influenced by our marketing efforts. Although we use various marketing channels to drive customer awareness and consideration of and interest in shopping our retail banners with the aim of increasing sales, including linear television, streaming video, audio, outdoor, digital/social media, and mobile, some of our competitors may spend more for their marketing programs than we do, or use different approaches than we do, which may provide them with a competitive advantage. Further, we may not be able to effectively develop or implement strategies in rapidly evolving digital/social media channels. Partnerships with celebrities and social media content creators may expose us to reputational or other risks. If our marketing efforts are not as successful or cost effective as anticipated, our revenue and results of operations could be adversely affected.</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continue to expand our business successfully could adversely affect our financial results.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growth strategy includes successfully expanding within our current markets and/or into new geographic regions, appropriately calibrating product lines and channels, including e-commerce, and, as appropriate, adding new businesses, whether by development, investment, or acquisition. If any aspect of our expansion strategy does not achieve the success we expect, in whole or in part, we may fail to meet our financial performance expectations generally or within certain markets or divisions, and we may be required to increase or decrease investments or slow our planned growth. We have closed stores and operations, divested from, and disposed of, businesses in the past, including for performance-related reasons, and we may be required to do so again in the future. Even if a particular market has high commercial vacancies, if we are not able to find and lease appropriate real estate on attractive terms in the locations where we seek to open stores, or if new stores do not perform as well as we anticipated, we may need to change our planned growth in those markets.</w:t>
      </w:r>
    </w:p>
    <w:p>
      <w:pPr>
        <w:spacing w:after="0" w:line="84"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Growth can also add complexity to our business operations by requiring effective and timely information sharing; significant additional attention from our management and other functions across our business, including compliance and risk management; development of new capabilities, processes, and controls; increased staffing and Associate training; and/or retention and management of appropriate third-party providers. These requirements may increase with further growth, particularly if we expand into additional countries. If we are unable to manage our growth effectively, our business may be adversely affected or we may need to reduce the rate of expansion or otherwise curtail growth, which may adversely affect our sales, business plans, and results.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effectively manage the large size and scale of our operations may adversely affect our financial results.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substantial size of our business can make it challenging to run our complex operations effectively and to manage suitable internal resources and third-party providers with appropriate oversight, including, for example, for teams managing administration, information technology systems, merchandising, sourcing, store operations, distribution, logistics, and compliance. The large size and scale of our operations, our multiple banners and locations across the U.S., Canada, Europe and Australia, and the autonomy afforded to the banners in some aspects of the business also increase the risk that our systems, controls, practices and policies may not be implemented effectively or consistently throughout our company, that information may not be appropriately shared across our operations, and/or that our marketing and communications strategies may lack cohesion. The size and scale of our business also creates challenges in human resources administration and effectively managing, training, retaining, and engaging a large, disparate workforce, including those with a remote or hybrid work arrangement. These challenges may increase if a portion of our workforce is unable to work on site or is temporarily furloughed, as occurred in recent years. If we are unable to manage our size and scale effectively, our results of operations may be adversely affected.</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14"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We source our merchandise globally, which subjects us to risks, including when moving merchandise internationally.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various risks of sourcing merchandise, particularly from other countries, including risks related to moving merchandise internationally. Many of the products sold in our stores are sourced in locations (particularly in China, India, and southeastern Asia) other than the location in which they will be sold. Where we are the importer of record, we may be subject to regulatory or other requirements, including those similar to requirements imposed upon the manufacturer of such products. Risks related to sourcing merchandise include:</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potential disruptions in manufacturing and supply;</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transport availability, capacity, and costs;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problems with third-party distribution and warehousing, logistics, transportation and other supply chain interruptions;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information technology challenges;</w:t>
      </w:r>
    </w:p>
    <w:p>
      <w:pPr>
        <w:spacing w:after="0" w:line="117" w:lineRule="exact"/>
        <w:rPr>
          <w:sz w:val="20"/>
          <w:szCs w:val="20"/>
          <w:color w:val="auto"/>
        </w:rPr>
      </w:pPr>
    </w:p>
    <w:p>
      <w:pPr>
        <w:ind w:left="660" w:right="80" w:hanging="324"/>
        <w:spacing w:after="0" w:line="282" w:lineRule="auto"/>
        <w:rPr>
          <w:sz w:val="20"/>
          <w:szCs w:val="20"/>
          <w:color w:val="auto"/>
        </w:rPr>
      </w:pPr>
      <w:r>
        <w:rPr>
          <w:rFonts w:ascii="Times New Roman" w:cs="Times New Roman" w:eastAsia="Times New Roman" w:hAnsi="Times New Roman"/>
          <w:sz w:val="18"/>
          <w:szCs w:val="18"/>
          <w:color w:val="auto"/>
        </w:rPr>
        <w:t>– compliance with laws and regulations including labor, environmental, supply chain, international trade, and other laws in relevant countries, and those concerning ethical business practices;</w:t>
      </w:r>
    </w:p>
    <w:p>
      <w:pPr>
        <w:spacing w:after="0" w:line="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duties, tariffs, border adjustment taxes, trade restrictions, sanctions, quotas, and voluntary export restrictions on imported merchandise;</w:t>
      </w:r>
    </w:p>
    <w:p>
      <w:pPr>
        <w:spacing w:after="0" w:line="117" w:lineRule="exact"/>
        <w:rPr>
          <w:sz w:val="20"/>
          <w:szCs w:val="20"/>
          <w:color w:val="auto"/>
        </w:rPr>
      </w:pPr>
    </w:p>
    <w:p>
      <w:pPr>
        <w:ind w:left="660" w:hanging="324"/>
        <w:spacing w:after="0" w:line="266" w:lineRule="auto"/>
        <w:rPr>
          <w:sz w:val="20"/>
          <w:szCs w:val="20"/>
          <w:color w:val="auto"/>
        </w:rPr>
      </w:pPr>
      <w:r>
        <w:rPr>
          <w:rFonts w:ascii="Times New Roman" w:cs="Times New Roman" w:eastAsia="Times New Roman" w:hAnsi="Times New Roman"/>
          <w:sz w:val="18"/>
          <w:szCs w:val="18"/>
          <w:color w:val="auto"/>
        </w:rPr>
        <w:t>– changes to the United States Mexico Canada Agreement (the successor to the North American Free Trade Agreement) or successor or other trade agreements;</w:t>
      </w:r>
    </w:p>
    <w:p>
      <w:pPr>
        <w:spacing w:after="0" w:line="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pandemics and epidemics (such as the COVID-19 pandemic) affecting sourcing, including manufacturing, buying or delivery;</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strikes, threats of strikes, and other events affecting delivery;</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consumer perceptions of the safety or quality of imported merchandise;</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compliance with product laws and regulations of the destination country;</w:t>
      </w:r>
    </w:p>
    <w:p>
      <w:pPr>
        <w:spacing w:after="0" w:line="117" w:lineRule="exact"/>
        <w:rPr>
          <w:sz w:val="20"/>
          <w:szCs w:val="20"/>
          <w:color w:val="auto"/>
        </w:rPr>
      </w:pPr>
    </w:p>
    <w:p>
      <w:pPr>
        <w:ind w:left="660" w:right="540" w:hanging="324"/>
        <w:spacing w:after="0" w:line="282" w:lineRule="auto"/>
        <w:rPr>
          <w:sz w:val="20"/>
          <w:szCs w:val="20"/>
          <w:color w:val="auto"/>
        </w:rPr>
      </w:pPr>
      <w:r>
        <w:rPr>
          <w:rFonts w:ascii="Times New Roman" w:cs="Times New Roman" w:eastAsia="Times New Roman" w:hAnsi="Times New Roman"/>
          <w:sz w:val="18"/>
          <w:szCs w:val="18"/>
          <w:color w:val="auto"/>
        </w:rPr>
        <w:t>– product liability claims from customers or investigations, enforcement or penalties from government agencies relating to products that are recalled, defective, or otherwise noncompliant or alleged to be harmful;</w:t>
      </w:r>
    </w:p>
    <w:p>
      <w:pPr>
        <w:spacing w:after="0" w:line="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intellectual property enforcement and infringement issues;</w:t>
      </w:r>
    </w:p>
    <w:p>
      <w:pPr>
        <w:spacing w:after="0" w:line="117" w:lineRule="exact"/>
        <w:rPr>
          <w:sz w:val="20"/>
          <w:szCs w:val="20"/>
          <w:color w:val="auto"/>
        </w:rPr>
      </w:pPr>
    </w:p>
    <w:p>
      <w:pPr>
        <w:ind w:left="660" w:right="80" w:hanging="324"/>
        <w:spacing w:after="0" w:line="266" w:lineRule="auto"/>
        <w:rPr>
          <w:sz w:val="20"/>
          <w:szCs w:val="20"/>
          <w:color w:val="auto"/>
        </w:rPr>
      </w:pPr>
      <w:r>
        <w:rPr>
          <w:rFonts w:ascii="Times New Roman" w:cs="Times New Roman" w:eastAsia="Times New Roman" w:hAnsi="Times New Roman"/>
          <w:sz w:val="18"/>
          <w:szCs w:val="18"/>
          <w:color w:val="auto"/>
        </w:rPr>
        <w:t>– concerns about environmental impact where materials are sourced and merchandise is produced, including relating to greenhouse gas emissions, waste, water usage, deforestation, biodiversity, and the impact of these activities on human health and local communities;</w:t>
      </w:r>
    </w:p>
    <w:p>
      <w:pPr>
        <w:spacing w:after="0" w:line="54" w:lineRule="exact"/>
        <w:rPr>
          <w:sz w:val="20"/>
          <w:szCs w:val="20"/>
          <w:color w:val="auto"/>
        </w:rPr>
      </w:pPr>
    </w:p>
    <w:p>
      <w:pPr>
        <w:ind w:left="660" w:right="80" w:hanging="324"/>
        <w:spacing w:after="0" w:line="282" w:lineRule="auto"/>
        <w:rPr>
          <w:sz w:val="20"/>
          <w:szCs w:val="20"/>
          <w:color w:val="auto"/>
        </w:rPr>
      </w:pPr>
      <w:r>
        <w:rPr>
          <w:rFonts w:ascii="Times New Roman" w:cs="Times New Roman" w:eastAsia="Times New Roman" w:hAnsi="Times New Roman"/>
          <w:sz w:val="18"/>
          <w:szCs w:val="18"/>
          <w:color w:val="auto"/>
        </w:rPr>
        <w:t>– concerns about human rights, working conditions, and other labor rights and conditions in countries where merchandise is produced or materials are sourced, such as concerns related to treatment of the Uyghur population in the Xinjiang province of China;</w:t>
      </w:r>
    </w:p>
    <w:p>
      <w:pPr>
        <w:spacing w:after="0" w:line="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currency exchange rates and financial or economic instability (including potential financial instability related to banking institutions); and</w:t>
      </w:r>
    </w:p>
    <w:p>
      <w:pPr>
        <w:spacing w:after="0" w:line="117" w:lineRule="exact"/>
        <w:rPr>
          <w:sz w:val="20"/>
          <w:szCs w:val="20"/>
          <w:color w:val="auto"/>
        </w:rPr>
      </w:pPr>
    </w:p>
    <w:p>
      <w:pPr>
        <w:ind w:left="660" w:right="120" w:hanging="324"/>
        <w:spacing w:after="0" w:line="282" w:lineRule="auto"/>
        <w:rPr>
          <w:sz w:val="20"/>
          <w:szCs w:val="20"/>
          <w:color w:val="auto"/>
        </w:rPr>
      </w:pPr>
      <w:r>
        <w:rPr>
          <w:rFonts w:ascii="Times New Roman" w:cs="Times New Roman" w:eastAsia="Times New Roman" w:hAnsi="Times New Roman"/>
          <w:sz w:val="18"/>
          <w:szCs w:val="18"/>
          <w:color w:val="auto"/>
        </w:rPr>
        <w:t>– political, military, or other disruptions in regions and /or countries from, to or through which merchandise is imported, including in Ukraine and Russia, the Middle East, and the Red Sea and surrounding waterways.</w:t>
      </w:r>
    </w:p>
    <w:p>
      <w:pPr>
        <w:spacing w:after="0" w:line="4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Further, we are, and expect we will continue to be, subject to an increasing number of regulations that require us to report, develop new policies and procedures for, and, in certain cases, work to mitigate, certain supply chain risks related to sourcing merchandise internationally. These regulations may result in increased operating costs and affect where, what, and how we source and how we allocate what we buy. These and other factors relating to sourcing, international trade, and imported merchandise could affect the availability and the price of our inventory and our operating costs. Furthermore, although we have implemented policies and procedures designed to facilitate compliance with laws and regulations relating to production of merchandise, international operations, and importing merchandise, there can be no assurance that our Associates and our contractors, agents, vendors or other third parties with whom we do business or to whom we outsource business operations, will not violate such laws and regulations or our policies, which could subject us to liability and could adversely affect our reputation, operations, or operating results.</w:t>
      </w:r>
    </w:p>
    <w:p>
      <w:pPr>
        <w:spacing w:after="0" w:line="200" w:lineRule="exact"/>
        <w:rPr>
          <w:sz w:val="20"/>
          <w:szCs w:val="20"/>
          <w:color w:val="auto"/>
        </w:rPr>
      </w:pPr>
    </w:p>
    <w:p>
      <w:pPr>
        <w:spacing w:after="0" w:line="35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14" w:right="459" w:bottom="1440" w:gutter="0" w:footer="0" w:header="0"/>
        </w:sectPr>
      </w:pPr>
    </w:p>
    <w:bookmarkStart w:id="13" w:name="page14"/>
    <w:bookmarkEnd w:id="13"/>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Compromises of our cybersecurity, disruptions in our information technology systems, or failure to satisfy the information technology needs of our business could result in material loss or liability, materially impact our operating results or materially harm our reputation.</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business depends on our information technology (“IT”) systems, which collect and process information of customers, Associates and other persons, as well as information of our business and of our suppliers, service providers and other third parties. We rely heavily on IT systems, including those operated and maintained by our suppliers, service providers and other third parties, to manage key aspects of our business, including: planning; purchasing; sales, including point-of-sale processing and e-commerce; supply chain management; inventory management; human resources; financial management; communications; information security; and legal and regulatory compliance. Our ongoing operations and successful growth are dependent on these systems and require us to accurately anticipate our current and future IT needs, including successfully developing, implementing, and maintaining appropriate systems and adopting new technologies appropriately and in a timely manner. This reliance requires us to accurately anticipate our current and future IT needs and successfully develop, implement, and maintain appropriate systems, as well as effective disaster recovery plans for such systems. Our ongoing operations and successful growth are dependent on our doing these things effectively. We also are dependent on the ongoing integrity, security and consistent operations of these systems, including related back-up systems.</w:t>
      </w:r>
    </w:p>
    <w:p>
      <w:pPr>
        <w:spacing w:after="0" w:line="8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As is common in the retail industry, our IT systems, as well as those of our suppliers, service providers and other third parties whose information technology systems we utilize directly or indirectly, are targeted by attempts to access or obtain personal or other sensitive information, attempts at monetary theft, and attempts to disrupt business. These attempts include use of malware, ransomware, phishing, social engineering, denial-of-service attacks, exploitation of system vulnerabilities or misconfigurations, Associate malfeasance, digital and physical payment card skimmers, account takeovers and other forms of cyber-attacks. These attempts continue to increase in sophistication, heightening the risk of compromise or disruption. While some of these attempts have resulted in cybersecurity incidents, the unauthorized intrusion into our network discovered late in 2006 is the only such cybersecurity incident to date that has been material to the results of our operations. Our IT systems and those of our suppliers, service providers and other third parties also may be damaged or disrupted, or personal or sensitive information compromised, from a number of other causes, including power outages, system failures, catastrophic events or Associate or contractor error. Such damage, disruption or compromise could materially impair our ability to operate our business or otherwise result in material impacts on our operating results.</w:t>
      </w:r>
    </w:p>
    <w:p>
      <w:pPr>
        <w:spacing w:after="0" w:line="8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Changes in the business landscape and the increase of remote working by our Associates, service providers and other third parties have the potential to increase the likelihood of system damage or disruption and increase the risk of a cybersecurity compromise. Additionally, there is a heightened risk of cybersecurity incidents as a result of geopolitical events outside of our control. These factors have led to the need for additional mitigation strategies and investments across our IT Security workforce, technologies and processes.</w:t>
      </w:r>
    </w:p>
    <w:p>
      <w:pPr>
        <w:spacing w:after="0" w:line="7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addition, the global regulatory environment surrounding information security and privacy is increasingly demanding, and cybersecurity compromises and disruptions in our IT systems could result in regulatory enforcement actions, class actions, contract liability, or other forms of material legal liability. Any successful compromise or disruption of our IT systems, or other compromise of the information that we collect or is collected on our behalf from our customers, Associates or other persons, could result in material reputational harm and impact our customers’ willingness to shop in our stores or online, and could affect our suppliers’, service providers’, or other third parties’ willingness to do business with us.</w:t>
      </w:r>
    </w:p>
    <w:p>
      <w:pPr>
        <w:spacing w:after="0" w:line="75"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We maintain policies, procedures and controls designed to reduce the risks of cybersecurity compromises and IT failures or disruptions, but these controls vary in maturity across the business and may fail to operate as intended or be circumvented. Additionally, the logging policies, procedures, and controls that we have implemented to facilitate the investigation of potential cybersecurity compromises or disruptions may be insufficient to fully investigate all such events. These policies, procedures and controls also require costly and ongoing investment in technologies, hiring, training and compliance.</w:t>
      </w:r>
    </w:p>
    <w:p>
      <w:pPr>
        <w:spacing w:after="0" w:line="5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There is also a risk of material business disruption, liability and reputational damage associated with ongoing actions intended to update, enhance, modify or replace our systems and infrastructure, including from not accurately capturing and maintaining data, efficiently testing and implementing changes, realizing the expected benefit of the change and managing the potential disruption of the actions and diversion of internal teams’ attention as the changes are implemented.</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14" w:right="359" w:bottom="1440" w:gutter="0" w:footer="0" w:header="0"/>
        </w:sectPr>
      </w:pPr>
    </w:p>
    <w:bookmarkStart w:id="14" w:name="page15"/>
    <w:bookmarkEnd w:id="14"/>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and profitability could be adversely affected by increased labor costs, including wage, pension, health and other costs, or other challenges from our large workforce.</w:t>
      </w:r>
    </w:p>
    <w:p>
      <w:pPr>
        <w:spacing w:after="0" w:line="5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Associates are key to supporting our business and operations effectively, and our operating expenses continue to reflect increased labor costs. Further increases to labor costs could adversely affect our financial performance. We have a large and disparate workforce, and our ability to meet our labor needs and manage labor costs is subject to various external factors such as minimum wage laws and benefits requirements; market pressures, including prevailing wage rates and benefit levels, unemployment levels, and competition for labor from other industries; economic conditions, including inflation; changing demographics and workforce trends, including with respect to unionization and collective bargaining; interest rate changes; actuarial assumptions and methods; the costs of providing and managing retirement, health and other employee benefits, including health and insurance costs; and a dynamic regulatory and policy environment, including with respect to health care, immigration, labor, employment, pension and other employee benefits, and taxes. Any of these factors could increase, and have in the past increased, our labor costs. These factors could also increase the labor or other costs of our service providers, which could be passed on to us. Conversely, failing to offer competitive wages or benefits, or to manage our workforce effectively, could adversely affect our ability to attract or retain appropriate talent sufficient to meet the needs of our business, causing our customer service or performance to suffer.</w:t>
      </w:r>
    </w:p>
    <w:p>
      <w:pPr>
        <w:spacing w:after="0" w:line="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Additionally, many Associates in our distribution centers in the United States and Canada are members of unions, and other Associates are members of works councils in Europe. We are subject to the risk of labor actions or disruptions of various kinds, including work stoppages, decreased flexibility as a result of labor law limitations, as well as risks and potential material expenses associated with multiemployer plans, including from pension plan underfunding, benefit cuts, increased contribution or funding requirements, changes in plan terms, withdrawal liability, increased premium costs, conditions imposed under any governmental assistance programs or insolvency of other participating employers or governmental insurance programs. Other portions of our workforce, including, for example Associates who work in our U.S. stores, which make up the largest portion of our workforce, may become unionized, which may subject us to additional requirements, expectations, actions or expense.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employ qualified Associates in appropriate numbers and to retain key Associates and management could adversely affect our performance.</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need to employ a large number of capable, engaged Associates for our stores and distribution centers and for other areas of our business. We must constantly recruit new Associates to fill entry level and part-time positions, which have high rates of turnover and at times find seasonal talent in sufficient numbers. The availability and skill of Associates may differ across markets in which we do business and in new markets we enter, and we may be unable to meet or manage our labor needs effectively. In addition, we have faced and may continue to face additional challenges in recruiting or retaining sufficient talent due to shifts in the labor market, wage pressures and competition, flexible scheduling needs, and health and safety concerns, among other factors. We also have faced and may continue to face challenges in engaging, overseeing, and training Associates with remote or hybrid work arrangements. We also have faced, and may continue to face, potential challenges relating to Associates’ willingness or ability to staff our stores and distribution centers or otherwise continue employment as a result of economic pressures, health concerns, or otherwise.</w:t>
      </w:r>
    </w:p>
    <w:p>
      <w:pPr>
        <w:spacing w:after="0" w:line="84"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Our performance also depends on recruiting, hiring, developing, training, and retaining talented Associates in key areas such as buying, management, information technology functions, and other corporate areas. Similar to other retailers, we face challenges in securing and retaining sufficient talent in management and other key areas for many reasons, including competition for talent in the retail industry, from other industries, and in various geographic markets. In addition, because of the distinctive nature of our off-price model, we must provide significant internal training and development, including doing so remotely, for key Associates across the Company, including within our buying organization, and must effectively manage succession planning. If we do not effectively attract qualified individuals, train them in our business model, support their development, engage them in our business, and retain them in sufficient numbers and at appropriate levels of the organization, our growth could be limited, and the successful execution of our business model could be adversely affected.</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Damage to our corporate reputation or those of our retail banners could adversely affect our sales and operating results.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customer relationships and our reputation are based, in part, on perceptions of subjective qualities. Incidents that erode trust or confidence in our company could adversely affect our reputation and thereby impact our business, particularly if the incidents result in rapid or significant adverse publicity, protest, litigation, boycotts, governmental inquiry, or other stakeholder response. This could include incidents that involve the company; our retail banners; our executives and other Associates; our board of directors; our policies and practices; how we source merchandise; our third-party providers; our vendors and others within our supply chain; the merchandise and brands that we sell, including our licensed or owned brands; our investments; the regions where we have operations or investments; our partners; celebrities, content creators, or other social media influencers that may draw attention to our retail banners; product recalls; and our industry more generally. Information on such incidents that is publicized through traditional or digital/social media platforms and other forums that facilitate rapid, broad communications to an audience of consumers and other interested persons, may adversely affect our reputation and brand, even if the information is inaccurate, incomplete, or unverified. Similarly, challenges or reactions to action (or inaction), or perceived action (or inaction), by our company to crises, political matters, sensitive or polarizing topics, or on issues related to corporate responsibility or environmental, social, and governance (“ESG”) matters, and any perceived lack of transparency about such matters, could harm our reputation.</w:t>
      </w:r>
    </w:p>
    <w:p>
      <w:pPr>
        <w:spacing w:after="0" w:line="8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This kind of reputational damage could occur locally or globally and could impact our company or our individual retail banners. Damage to the reputation of our company and our banners could, among other things, result in declines in customer loyalty and sales; affect our vendor relationships and/or business development opportunities; limit our ability to attract and retain appropriate talent sufficient to meet the needs of our business; result in demonstrations, protests, or other altercations at our stores; divert the attention and resources of management, including to respond to inquiries or additional regulatory scrutiny; and otherwise adversely affect our financial results.</w:t>
      </w:r>
    </w:p>
    <w:p>
      <w:pPr>
        <w:spacing w:after="0" w:line="71"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evolving corporate governance and public disclosure regulations and expectations, including with respect to matters relating to environmental sustainability, human capital management, social compliance, and governance. Failure to meet such expectations or comply with regulation could materially impact our operating results or materially harm our reputation.</w:t>
      </w:r>
    </w:p>
    <w:p>
      <w:pPr>
        <w:spacing w:after="0" w:line="6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Certain investor advocacy groups, investors, customers, regulators, Associates, and other stakeholders have increasingly focused on social impact, environmental sustainability, human capital management, human rights and other related matters in a variety of ways that are not necessarily consistent. From time to time, we announce certain initiatives related to our corporate responsibility efforts, which we have focused under four pillars: environmental sustainability, workplace, communities, and responsible business, including responsible sourcing and social compliance. These initiatives may be considered to be overreaching by some stakeholders and inadequate by other stakeholders. We could fail or be perceived to fail or fall short in our pursuit of such initiatives or to go too far in pursuing priorities perceived as outside of our business mission, or in accurately and comprehensively reporting our progress on such initiatives and any related goals and commitments. If our ESG practices do not meet investor or other stakeholder expectations and standards, including related to climate change, environmental sustainability, human capital management, supply chain management, and human rights, or do not meet related regulations and expectations for increased transparency, which continue to increase, our reputation may be impacted negatively, and we may be subject to litigation risk and/or regulatory enforcement. In addition, we could be criticized for the scope of our initiatives or goals, which some may consider too wide and others may perceive as too narrow, or perceived as not acting responsibly in connection with these matters or otherwise, and that evaluation may be based on factors unrelated to the impact of these matters on our business, financial or otherwise. Our failure, or perceived failure, with these initiatives or more generally to manage reputational threats and meet shifting and in certain cases, inconsistent, stakeholder expectations or consumer preferences could negatively impact our brand, image, reputation, credibility, Associate retention, and the willingness of our customers and suppliers to do business with us.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Further expansion of our international operations could expose us to risks inherent in operating in new countries.</w:t>
      </w:r>
    </w:p>
    <w:p>
      <w:pPr>
        <w:spacing w:after="0" w:line="121"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We have a significant retail presence in several countries in Europe and in Canada and Australia. We also operate buying and other offices around the world. Our goal is to continue to expand our operations into other countries in the future. It can be costly and complex to identify appropriate store locations and establish, develop and maintain international operations and to promote business in new international jurisdictions, which may differ significantly from other countries in which we currently operate.</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14" w:right="379" w:bottom="1440" w:gutter="0" w:footer="0" w:header="0"/>
        </w:sectPr>
      </w:pPr>
    </w:p>
    <w:bookmarkStart w:id="16" w:name="page17"/>
    <w:bookmarkEnd w:id="16"/>
    <w:p>
      <w:pPr>
        <w:spacing w:after="0" w:line="254" w:lineRule="auto"/>
        <w:rPr>
          <w:sz w:val="20"/>
          <w:szCs w:val="20"/>
          <w:color w:val="auto"/>
        </w:rPr>
      </w:pPr>
      <w:r>
        <w:rPr>
          <w:rFonts w:ascii="Times New Roman" w:cs="Times New Roman" w:eastAsia="Times New Roman" w:hAnsi="Times New Roman"/>
          <w:sz w:val="18"/>
          <w:szCs w:val="18"/>
          <w:color w:val="auto"/>
        </w:rPr>
        <w:t>As with our current operations, risks are inherent in opening and developing operations in new countries, including those related to compliance under the U.S. Foreign Corrupt Practices Act and the U.K. Bribery Act. Additional risks include, among others, understanding the local retail climate and trends, local customs and cultures, seasonal differences, business practices and competitive conditions; complying with relevant laws, rules and regulations; developing an appropriate infrastructure; identifying suitable partners for local operations and for integration with our global operations and effectively communicating and implementing company policies and practices in new, possibly remote, jurisdictions. Financial, regulatory and other risks are also associated with international operations, including currency exchange fluctuations; potentially adverse tax consequences; limitations on the repatriation and investment of funds outside of the country where earned; trade regulations; other compliance requirements; the risk of policy or regulatory changes; the risk of political, economic and civil instability and labor unrest; and uncertainties regarding interpretation, application and enforceability of laws and agreements. Any of these risks could adversely impact our operations, profitability or liquidity.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meet market expectations for our financial performance could adversely affect the market price and volatility of our stock</w:t>
      </w:r>
      <w:r>
        <w:rPr>
          <w:rFonts w:ascii="Times New Roman" w:cs="Times New Roman" w:eastAsia="Times New Roman" w:hAnsi="Times New Roman"/>
          <w:sz w:val="21"/>
          <w:szCs w:val="21"/>
          <w:color w:val="0070C0"/>
        </w:rPr>
        <w:t>.</w:t>
      </w:r>
    </w:p>
    <w:p>
      <w:pPr>
        <w:spacing w:after="0" w:line="11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operating results have fluctuated from quarter to quarter, sometimes significantly, at points in the past and may do so again in the future. If we fail to increase our results over prior periods, to achieve our projected results or to meet the expectations of securities analysts or investors, our stock price may decline (as it has at times in recent years), and the decrease in the stock price may be disproportionate to the shortfall in our financial performance. Results may be affected by various factors, including those described in these risk factors. We maintain a forecasting process that seeks to plan sales and align expenses. If we do not control costs or appropriately adjust costs to actual results, or if actual results differ significantly from our forecast, our financial performance could be adversely affected. In addition, if we suspend our buyback program, as we did during fiscal 2021, or if we have an active buyback program and are repurchasing shares but do not repurchase the number of shares we contemplated pursuant to our financial plans at the rate or in the timing we planned, our earnings per share may be adversely affected. Similarly, if we reduce or suspend our dividend distributions, as we did for part of fiscal 2021, our stock price may be adversely affected.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protect our inventory or other assets from loss and theft may impact customer and Associate safety as well as our financial results.</w:t>
      </w:r>
    </w:p>
    <w:p>
      <w:pPr>
        <w:spacing w:after="0" w:line="108"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8"/>
          <w:szCs w:val="18"/>
          <w:color w:val="auto"/>
        </w:rPr>
        <w:t>Risk of loss or theft of assets, including inventory shrinkage, is inherent in the retail business. Loss may be caused by error or misconduct of Associates, customers, vendors or other third parties, including through organized retail crime and professional theft, and may be further impacted by macroeconomic factors, including the enforcement environment. We may not be able to determine the cause or extent of the loss in a timely manner or at all. Our inability to effectively prevent and/or minimize or reduce the loss or theft of assets, or to accurately predict and accrue for the impact of those losses, has adversely affected our financial performance, as it did for part of fiscal 2023, and could do so again. In addition, our ability to provide a safe environment in our stores may be impacted in the course of a theft or other behavioral situations that periodically arise.</w:t>
      </w:r>
    </w:p>
    <w:p>
      <w:pPr>
        <w:spacing w:after="0" w:line="85"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upon strong cash flows from our operations to supply capital to fund our operations, anticipated growth, any stock repurchases and dividends and interest and debt repayment.</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business depends upon our operations continuing to generate strong cash flow to supply capital to support our general operating activities, to fund our anticipated growth and any return of cash to stockholders through our stock repurchase programs and dividends, and to pay our interest and debt repayments. If we are unable to generate sufficient cash flows or to repatriate cash from our international operations in a manner that is cost effective, our growth plans, capital expenditures, operating expenses and financial performance, including our earnings per share, could be adversely affected. Changes in the capital and credit markets, including market disruptions, limited liquidity and interest rate fluctuations, have in the past increased, and may continue to increase, the cost of financing or restrict our access to these potential sources of liquidity. Our continued access to these liquidity sources on favorable terms depends on multiple factors, including our operating performance, and on maintaining strong credit ratings. On occasion, we borrow money to finance our activities, and if financing were not available to us in adequate amounts and on appropriate terms when needed, that could also adversely affect our financial performance.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7" w:name="page18"/>
    <w:bookmarkEnd w:id="17"/>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engage in mergers, acquisitions or investments in new businesses, or divest, close or consolidate any of our current businesses, our business could be subject to additional risks.</w:t>
      </w:r>
    </w:p>
    <w:p>
      <w:pPr>
        <w:spacing w:after="0" w:line="5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may acquire new businesses, as we have in the past, invest in other businesses or enter into joint ventures with other businesses, develop new businesses internally (as with Homesense, our second U.S. home store concept), launch or expand e-commerce platforms (as we did with homegoods.com, which we closed in fiscal 2024), and divest (as we did in fiscal 2023 with our minority interest in Familia), close or consolidate businesses. Failure to execute on mergers, acquisitions, investments, divestitures, closings and consolidations in a satisfactory manner, including due to circumstances outside our control, could adversely affect our future results of operations and financial condition. Acquisition, investment or divestiture activities may divert attention of management away from operating the existing businesses, and we may not effectively evaluate target companies, investments or investment partners or assess the risks, benefits, and costs of buying, investing in or closing businesses, or the integration or attendant risks of acquired businesses or investments, all of which can be difficult, time-consuming and dilutive. These activities may not meet our performance and other expectations and may expose us to unexpected or greater-than-expected costs, liabilities, and risks, including from, for example, changes in law, market conditions, the retail industry, political conditions, inaccurate assumptions, or the negligence or malfeasance of our partners or other third parties. In addition, in connection with our prior acquisitions, we recorded intangible assets and goodwill and the value of the tradenames, and may similarly do so in the future in connection with other acquisitions. If we are unable to realize the anticipated benefits from acquisitions or investments, we may be required to impair some or all of the goodwill associated with an acquisition or investment, which would adversely impact our results of operations and balance sheet, such as with an impairment charge. For example, in connection with the ongoing conflict between Russia and Ukraine, we divested our minority ownership interest in Familia and did not recover the full value of our investment. Divestitures, closings and consolidations could involve risks such as significant costs and obligations of closure, including exposure on leases, owned real estate and other contractual, employment, pension and severance obligations, and potential liabilities that may arise under law as a result of the disposition or as a result of the credit risk of an acquirer.</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large number of real estate leases, which generally obligate us for long periods, subject us to potential financial risk.</w:t>
      </w:r>
    </w:p>
    <w:p>
      <w:pPr>
        <w:spacing w:after="0" w:line="121"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We lease almost all of our store locations and either own or lease for long periods our primary distribution centers and administrative offices. Accordingly, we are subject to the risks associated with leasing and owning real estate. While we have the right to terminate some of our leases under specified conditions, including by making specified payments, we may not be able to terminate most of our leases if or when we would like to do so. If we decide or are required to permanently close stores, we are typically required to continue to perform obligations under the applicable leases, which generally include, among other things, paying rent, real estate taxes, and operating expenses for the balance of the lease term or paying to exercise rights to terminate, and the cost of any of these obligations may be significant. When we assign leases to third parties, or if we sell or close a business, we can remain liable for the lease obligations for the balance of the term and we are contingently liable if the assignee does not perform (as was the case with some of our former operations). We also remain primarily liable if we sublease space to a third party. In addition, when the lease terms for the stores in our ongoing operations expire, we may be unable to negotiate renewals, either on commercially reasonable terms or at all, which could cause us to permanently close stores or to relocate stores within a market on less favorable terms or in a less favorable location. Any or all of these factors could adversely affect our financial results.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EXTERNAL AND ECONOMIC RISKS</w:t>
      </w:r>
    </w:p>
    <w:p>
      <w:pPr>
        <w:spacing w:after="0" w:line="126"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Economic conditions on a global level or in particular markets, geopolitical uncertainty, and other factors creating uncertainty and instability may adversely affect consumer confidence and discretionary spending, which could affect our financial performance.</w:t>
      </w:r>
    </w:p>
    <w:p>
      <w:pPr>
        <w:spacing w:after="0" w:line="5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Consumer confidence and discretionary spending can be affected by various economic conditions, both on a global level and in particular markets, that can, in turn, affect our business or the retail industry generally. These factors include, among others, inflation and deflation; actual or perceived declines in consumer purchasing power; economic recession; unemployment levels; availability of disposable income and actual and perceived wealth; health care costs; costs of oil, gas and other commodities; interest rates and tax rates and related policies; weakness in the housing market and housing costs; volatility in capital markets; and credit availability. Many of these factors have been present in the market in recent years, including inflation and economic downturn, which has impacted consumer confidence and discretionary spending.</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18" w:name="page19"/>
    <w:bookmarkEnd w:id="18"/>
    <w:p>
      <w:pPr>
        <w:ind w:right="20"/>
        <w:spacing w:after="0" w:line="255" w:lineRule="auto"/>
        <w:rPr>
          <w:sz w:val="20"/>
          <w:szCs w:val="20"/>
          <w:color w:val="auto"/>
        </w:rPr>
      </w:pPr>
      <w:r>
        <w:rPr>
          <w:rFonts w:ascii="Times New Roman" w:cs="Times New Roman" w:eastAsia="Times New Roman" w:hAnsi="Times New Roman"/>
          <w:sz w:val="18"/>
          <w:szCs w:val="18"/>
          <w:color w:val="auto"/>
        </w:rPr>
        <w:t>Volatility or uncertainty in regulation or policy, including in areas such as international trade and U.S. tariff policies; threats or occurrences of war or armed conflict (including the ongoing Russia-Ukraine conflict, the resurgence of conflict in the Middle East, and recent shipping disruptions in the Red Sea and surrounding waterways); terrorism; pandemics or epidemics (such as the COVID-19 pandemic); supply chain disruptions; geopolitical instability or uncertainty; uncertainty regarding the financial stability of banking institutions; and political or social unrest and/or conflict (locally or across regions) may have significant effects on consumer confidence and spending that can in turn, affect our financial results and impact the retail industry generally. These conditions and factors also shift trends in consumer spending that could affect our business. Although we believe our flexible off-price model helps us react to such changes, shifts in the market may adversely affect our sales, cash flows, merchandise orders and results of operations and performance.</w:t>
      </w:r>
    </w:p>
    <w:p>
      <w:pPr>
        <w:spacing w:after="0" w:line="77"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economic conditions, on a global level or in particular markets, may adversely affect our sources of liquidity and costs of capital and increase our financial exposure, and our strategies for managing these financial risks may not be effective or sufficient.</w:t>
      </w:r>
    </w:p>
    <w:p>
      <w:pPr>
        <w:spacing w:after="0" w:line="5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Global financial markets can experience volatility, disruption and credit contraction, which could adversely affect global economic conditions. Changes in economic conditions could adversely affect sources of liquidity available to us or our costs of capital, including through capital markets. In particular, prolonged volatility or significant disruption of global financial markets relating to the financial and regulatory environment; interest rate increases following a period of low interest rates; and geopolitical conflict, including the ongoing Russia-Ukraine conflict, the resurgence of conflict in the Middle East and recent shipping disruptions in the Red Sea and surrounding waterways, could have a negative impact on our ability to access capital markets and other funding sources, on acceptable terms or at all, and impede our ability to comply with debt covenants. In addition, changes in economic conditions could adversely affect plan asset values and investment performance and increase our pension liabilities, expenses and funding requirements and other related financial exposure with respect to company-sponsored and multiemployer pension plans. We rely on banks and other financial institutions to safeguard and allow ready access to assets such as cash and cash equivalents. Our strategies for managing these financial risks and exposures may not be effective or sufficient or may expose us to risk.</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may be adversely affected by severe or unseasonable adverse weather, serious disruptions, catastrophic events or public health crises.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Natural or other disasters, such as hurricanes, tornadoes, floods, wildfires, earthquakes and other extreme weather; climate conditions; public health issues, such as pandemics and epidemics (such as the COVID-19 pandemic); fires or explosions; acts of war or conflict (such as the ongoing Russia-Ukraine conflict, the resurgence of conflict in the Middle East and recent shipping disruptions in the Red Sea and surrounding waterways); domestic or foreign terrorism or other acts of violence (including riots or active shooter situations); or cyberterrorism, nation-state cyber-attacks, or other cyber events could disrupt our operations in a number of ways, including by causing injury or serious harm to our Associates (when traveling on business or otherwise) or customers; severely damaging or destroying one or more of our stores, distribution facilities, data centers or office facilities, or could disrupt the operations of, or require the closure of, one or more of our vendors or other parts of our supply chain located in the affected areas. Day-to-day operations, including our ability to receive products from our vendors or third-party service providers or to transport products to our stores or to our e-commerce customers could be adversely affected, transportation to and from our stores (by customers or Associates) could be limited, or we could temporarily close stores or distribution centers in the affected areas or in areas served by affected distribution centers for a short or extended period of time (as with closures of our stores and other facilities at various times due to the COVID-19 pandemic). Government regulations and responses to such events or conditions could affect our operations or result in material expenses relating to compliance. Adverse or unseasonable weather, such as storms, severe cold or heat or unseasonable temperatures (even if not extreme), which could increase in both frequency and severity over time, may also affect customers’ buying patterns and willingness to shop at all or in certain categories we offer, particularly in apparel, products viewed as contributing to deforestation or biodiversity loss, or seasonal merchandise, and may affect our ability to source products containing raw materials whose yield is affected by adverse weather, which could impact our sales, customer satisfaction with our stores, and our markdowns, adversely affecting our business.</w:t>
      </w:r>
    </w:p>
    <w:p>
      <w:pPr>
        <w:spacing w:after="0" w:line="83"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our business is subject to seasonal influences, a decrease in sales or margins, a severe disruption or other significant event that impacts our business during the second half of the year could have a disproportionately adverse effect on our operating results.</w:t>
      </w:r>
    </w:p>
    <w:p>
      <w:pPr>
        <w:spacing w:after="0" w:line="51"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Our business is subject to seasonal influences; we generally realize higher levels of sales and earnings in the second half of the year, which includes the back-to-school and year-end holiday seasons. Any decrease in sales or margins or any significant adverse event during this period, including those described in these risk factors, could have a disproportionately adverse effect on our results of operations.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9" w:name="page20"/>
    <w:bookmarkEnd w:id="19"/>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may be adversely affected by increased utility, transportation or logistics costs; reduced availability or increased cost of oil or other fuels; or increased costs of other commodities.</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Energy and fuel costs can fluctuate dramatically and, at times, have resulted in significant cost increases, particularly for the price of oil and gasoline. An increase in the price of oil increases our transportation costs for distribution, utility costs for our retail stores and costs to purchase our products from suppliers. Although we typically enter into derivative instruments designed to manage a portion of our transportation costs (a hedging strategy), any such strategy may not be effective or sufficient and could result in increased operating costs. Increased regulation related to environmental costs, including cap and trade, carbon taxes or other emissions management systems could also adversely affect our costs of doing business, including utility, transportation and logistics costs. Shortages or disruptions, including from increased demand, geopolitical conflicts, and other factors, impacting transportation within our supply chain, also negatively impact our cost of business and cause costs to fluctuate in ways we may not be able to anticipate. For example, in recent years, increased freight costs related to labor, equipment and capacity shortages involving freight hauling, as well as other factors, had an adverse impact on our margins. In fiscal 2023 and fiscal 2024, the conflict in Ukraine and related sanctions on Russia impacted, and in fiscal 2025 we anticipate this will continue to impact, fuel resources and operations of third parties along our supply chain such that our inventory flow and financial performance may have been and may continue to be negatively impacted. Similarly, other commodity prices can fluctuate dramatically. Such increases can impact the cost of merchandise, which could adversely affect our performance through potentially reduced consumer demand or reduced margins.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currency exchange rates may lead to lower revenues and earnings.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Sales made by our stores outside the U.S. are denominated in the currency of the country in which the store is located, and changes in currency exchange rates affect the translation of the sales and earnings of these businesses into U.S. dollars for financial reporting purposes. Because of this, movements in currency exchange rates have had, and are expected to continue to have, a significant impact on our consolidated and segment results from time to time. Changes in currency exchange rates can also increase the cost of inventory purchases that are denominated in a currency other than the local currency of the business buying the merchandise. When exchange rates change significantly in a short period or move unfavorably over an extended period, it can be difficult for us to adjust accordingly, and gross margin can be adversely affected. For example, a significant amount of merchandise we offer for sale is made in China and accordingly, a revaluation of Chinese currency, or increased market flexibility in the exchange rate for that currency, increasing its value relative to the U.S. dollar or currencies in which our stores are located, could be significant.</w:t>
      </w:r>
    </w:p>
    <w:p>
      <w:pPr>
        <w:spacing w:after="0" w:line="8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Additionally, we routinely enter into inventory-related derivative instruments (a hedging strategy) to mitigate the impact of currency exchange rates on merchandise margins resulting from merchandise purchases by our segments denominated in currencies other than their local currencies. These mitigation strategies may not be effective or sufficient. In addition, in accordance with GAAP, we evaluate the fair value of these derivative instruments and make mark-to-market adjustments at the end of each accounting period. These adjustments are of a much greater magnitude when there is significant volatility in currency exchange rates and may have a significant impact on our earnings.</w:t>
      </w:r>
    </w:p>
    <w:p>
      <w:pPr>
        <w:spacing w:after="0" w:line="7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expect that currency exchange rate fluctuations could have a material adverse effect on our sales and results of operations from time to time. In addition, fluctuations in currency exchange rates may have a greater impact on our earnings and operating results if a counterparty to one of our hedging arrangements fails to perform.</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REGULATORY, LEGAL AND COMPLIANCE RISKS</w:t>
      </w:r>
    </w:p>
    <w:p>
      <w:pPr>
        <w:spacing w:after="0" w:line="12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laws, rules, regulations and orders and applicable accounting principles and interpretations could negatively affect our business operations and financial performance.</w:t>
      </w:r>
    </w:p>
    <w:p>
      <w:pPr>
        <w:spacing w:after="0" w:line="5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are subject to national, state, provincial, regional and local laws, rules, regulations, mandates, accounting standards, principles and interpretations, as well as government orders in various countries in which we operate that collectively affect multiple aspects of our business. We are also subject to new and changing laws, rules and regulations, mandates, evolving interpretations of existing laws by judicial and regulatory authorities, changes in accounting standards or interpretations, and reforms in jurisdictions where we do business. These requirements, current or changing, could adversely affect our operating results, increase our reporting burdens, require us to develop new policies and procedures, and may affect our operations, including where, what, and how we source and how we allocate what we buy, and include those involving:</w:t>
      </w:r>
    </w:p>
    <w:p>
      <w:pPr>
        <w:spacing w:after="0" w:line="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labor and employment practices and benefits, including pay transparency requirements and rules applicable to labor unions and works councils;</w:t>
      </w:r>
    </w:p>
    <w:p>
      <w:pPr>
        <w:spacing w:after="0" w:line="117" w:lineRule="exact"/>
        <w:rPr>
          <w:sz w:val="20"/>
          <w:szCs w:val="20"/>
          <w:color w:val="auto"/>
        </w:rPr>
      </w:pPr>
    </w:p>
    <w:p>
      <w:pPr>
        <w:ind w:left="660" w:right="100" w:hanging="324"/>
        <w:spacing w:after="0" w:line="282" w:lineRule="auto"/>
        <w:rPr>
          <w:sz w:val="20"/>
          <w:szCs w:val="20"/>
          <w:color w:val="auto"/>
        </w:rPr>
      </w:pPr>
      <w:r>
        <w:rPr>
          <w:rFonts w:ascii="Times New Roman" w:cs="Times New Roman" w:eastAsia="Times New Roman" w:hAnsi="Times New Roman"/>
          <w:sz w:val="18"/>
          <w:szCs w:val="18"/>
          <w:color w:val="auto"/>
        </w:rPr>
        <w:t>– import/export, supply chain, social compliance, trade restrictions, and logistics, including resulting from changes to requirements or policies from the Uyghur Forced Labor Prevention Act and the emergence of widespread sanctions as a result of the ongoing Russia-Ukraine conflict;</w:t>
      </w:r>
    </w:p>
    <w:p>
      <w:pPr>
        <w:spacing w:after="0" w:line="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climate change, energy, waste and water;</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20" w:name="page21"/>
    <w:bookmarkEnd w:id="20"/>
    <w:p>
      <w:pPr>
        <w:ind w:left="340"/>
        <w:spacing w:after="0"/>
        <w:rPr>
          <w:sz w:val="20"/>
          <w:szCs w:val="20"/>
          <w:color w:val="auto"/>
        </w:rPr>
      </w:pPr>
      <w:r>
        <w:rPr>
          <w:rFonts w:ascii="Times New Roman" w:cs="Times New Roman" w:eastAsia="Times New Roman" w:hAnsi="Times New Roman"/>
          <w:sz w:val="18"/>
          <w:szCs w:val="18"/>
          <w:color w:val="auto"/>
        </w:rPr>
        <w:t>–   consumer protection, product safety, and product compliance;</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marketing;</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financial regulations and reporting;</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tax;</w:t>
      </w:r>
    </w:p>
    <w:p>
      <w:pPr>
        <w:spacing w:after="0" w:line="117" w:lineRule="exact"/>
        <w:rPr>
          <w:sz w:val="20"/>
          <w:szCs w:val="20"/>
          <w:color w:val="auto"/>
        </w:rPr>
      </w:pPr>
    </w:p>
    <w:p>
      <w:pPr>
        <w:ind w:left="660" w:right="320" w:hanging="324"/>
        <w:spacing w:after="0" w:line="282" w:lineRule="auto"/>
        <w:rPr>
          <w:sz w:val="20"/>
          <w:szCs w:val="20"/>
          <w:color w:val="auto"/>
        </w:rPr>
      </w:pPr>
      <w:r>
        <w:rPr>
          <w:rFonts w:ascii="Times New Roman" w:cs="Times New Roman" w:eastAsia="Times New Roman" w:hAnsi="Times New Roman"/>
          <w:sz w:val="18"/>
          <w:szCs w:val="18"/>
          <w:color w:val="auto"/>
        </w:rPr>
        <w:t>– cybersecurity, data protection and privacy, such as to comply with, or fines and penalties related to, General Data Protection Regulation in the European Union and the California Consumer Privacy Act;</w:t>
      </w:r>
    </w:p>
    <w:p>
      <w:pPr>
        <w:spacing w:after="0" w:line="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Internet regulations, including e-commerce, electronic communications and privacy;</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protection of intellectual property rights;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health, welfare and safety requirements; and</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compliance with governmental assistance programs.</w:t>
      </w:r>
    </w:p>
    <w:p>
      <w:pPr>
        <w:spacing w:after="0" w:line="11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Complying with applicable laws, rules, regulations, standards, interpretations, orders and our own internal policies may require us to spend additional time and resources to implement new procedures and other controls, conduct audits, train Associates and third parties on our compliance methods, or take other actions, particularly as we continue to grow globally and enter new markets, countries, or product categories, any of which could adversely impact our results. Particularly in a dynamic regulatory environment, anticipated changes to laws and regulations has required, and is expected to continue to require, us to invest in compliance efforts or otherwise expend resources before changes are certain.</w:t>
      </w:r>
    </w:p>
    <w:p>
      <w:pPr>
        <w:spacing w:after="0" w:line="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addition, if we, or third parties that perform services on our behalf, fail to comply with applicable laws, rules, regulations, standards, interpretations and orders, or are unable to provide us with data or other information needed to meet our regulatory reporting obligations, we may be subject to judgments, fines or other costs or penalties, which may cause reputational harm and could adversely affect our operations and our financial results and condition.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may be materially adversely affected by the outcomes of litigation, legal proceedings and other legal or regulatory matters.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involved in, and may in the future become involved in, legal proceedings, regulatory reviews, audits and other legal matters. These may involve inquiries, investigations, lawsuits and other proceedings by local, provincial, state and national governmental entities (in the U.S. and other countries) and private plaintiffs, including with respect to employment and employee benefits (such as classification, employment rights, discrimination, wage and hour, retaliation, and pay transparency); whistleblower claims; harassment claims; tax; securities; disclosure; real estate; environmental matters; hazardous materials and hazardous waste; tort; business practices; consumer protection; privacy/cybersecurity; product safety and compliance; advertising; and intellectual property. There continue to be employment-related and consumer protection lawsuits, including putative class actions, in the United States, and we are subject to these types of suits. We cannot predict the results of legal and regulatory proceedings with certainty, and actual results may differ from any reserves we establish estimating the probable outcome. Regardless of merit or outcome, these proceedings can be both time-consuming and disruptive to our operations and may cause reputational harm as well as significant expense and diversion of management attention. Legal, regulatory, and other proceedings could expose us to significant defense costs, fines, penalties and liability to private parties and governmental entities for monetary recoveries and other amounts and attorneys’ fees and/or require us to change aspects of our operations, any of which could have a material adverse effect on our business and results of operations.</w:t>
      </w:r>
    </w:p>
    <w:p>
      <w:pPr>
        <w:spacing w:after="0" w:line="200" w:lineRule="exact"/>
        <w:rPr>
          <w:sz w:val="20"/>
          <w:szCs w:val="20"/>
          <w:color w:val="auto"/>
        </w:rPr>
      </w:pPr>
    </w:p>
    <w:p>
      <w:pPr>
        <w:spacing w:after="0" w:line="3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18" w:right="3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Quality, safety, or other issues with merchandise we buy and sell could impact our reputation, sales and financial results.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Various governmental authorities in the jurisdictions where we do business regulate the quality and safety of the merchandise we import, transport, and sell to consumers. Regulations and standards in this area including federal laws and regulations enforced by the U.S. Consumer Product Safety Commission (such as the Consumer Product Safety Improvement Act of 2008) and the U.S. Food and Drug Administration (such as the U.S. Food Safety Modernization Act), state regulations like California’s Proposition 65, and similar obligations in other countries in which we operate impose restrictions and requirements on the merchandise we buy and sell. These requirements change from time to time, and new national, state, provincial, or local regulations in the U.S. and other countries that may affect our business are contemplated and enacted with some regularity. We rely on our vendors to provide quality merchandise that complies with applicable laws and regulations, as well as our vendor code of conduct. However, our vendors have not always complied with such obligations. If we or our merchandise vendors are unable or fail to comply with regulatory requirements on a timely basis or at all, or to adequately monitor new regulations that may apply to existing or new merchandise categories or in new geographies, or if we sell non-compliant, unsafe, or previously recalled products, we could have to conduct product recalls, and could incur significant fines or penalties for non-compliance with applicable laws and regulations, or we could have to curtail some aspects of our sales or operations, which could have an adverse effect on our financial results. Actual, potential, or non-compliance with applicable laws and regulations could, and in certain instances in the past has, exposed us to litigation or governmental enforcement action. Although our arrangements with our vendors frequently provide for indemnification for product liabilities, the vendors may fail to honor these obligations to an extent we consider sufficient or at all. In certain circumstances, we may bear some responsibility for compliance with applicable product safety laws, labeling requirements and other applicable laws and regulations. In addition, failure to comply with, or the perception that we have failed to comply with, other social compliance, product, labor and/or environmental standards or monitoring practices, all of which continue to evolve, related to the products we sell could subject us to reputational harm and impact our financial results.</w:t>
      </w:r>
    </w:p>
    <w:p>
      <w:pPr>
        <w:spacing w:after="0" w:line="85"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Concerns or issues with the quality, safety and sourcing of merchandise, particularly with products subject to increased levels of regulation or inquiry, or the authenticity of merchandise could result in regulatory, civil or criminal fines or penalties, litigation or reputational harm, any of which could have an adverse effect on our financial results.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matters could adversely affect our results of operations and financial condition.</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are subject to income and other taxes in the U.S. and numerous foreign jurisdictions. Our effective income tax rate and future tax liability could be adversely affected by numerous factors including the results of tax audits and examinations, income before taxes being lower than anticipated in countries with lower statutory income tax rates and higher than anticipated in countries with higher statutory income tax rates, changes in income tax rates, changes in transfer pricing, changes in the valuation of deferred tax assets and liabilities, changes in applicable tax legislation, regulations, treaties and other guidance, and changes in accounting principles and interpretations relating to tax matters, any of which could adversely impact our results of operations and financial condition in future periods. Significant judgment is required in evaluating and estimating our worldwide provision and accruals for taxes, and actual results may differ from our estimations.</w:t>
      </w:r>
    </w:p>
    <w:p>
      <w:pPr>
        <w:spacing w:after="0" w:line="8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we are subject to the continuous examination of our tax returns and reports by national, state, provincial and local tax authorities in the U.S. and foreign countries, and the examining authorities may challenge positions we take. We are engaged in various proceedings, which are at various stages, with such authorities with respect to assessments, claims, deficiencies, and refunds. We regularly assess the likely outcomes of these proceedings to determine the adequacy and appropriateness of our provision for income taxes, and we increase and decrease our provision as a result of these assessments. However, developments in and actual results of proceedings, rulings or settlements by or with tax authorities or courts (including due to changes in facts, law or legal interpretations, expiration of applicable statutes of limitations or other resolutions of tax positions) could result in amounts that differ from those we have accrued for such proceedings in either a positive or a negative manner, which could materially affect our effective income tax rate in a given financial period, the amount of taxes we are required to pay and our results of operations. In addition, we are subject to tax audits and examinations for payroll, value added, sales-based and other taxes relating to our businesses, which could adversely impact our financial results.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1B. Unresolved Staff Comments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2"/>
          <w:szCs w:val="22"/>
          <w:b w:val="1"/>
          <w:bCs w:val="1"/>
          <w:color w:val="auto"/>
        </w:rPr>
        <w:t>ITEM 1C. Cybersecurity</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 Management and Strategy</w:t>
      </w:r>
    </w:p>
    <w:p>
      <w:pPr>
        <w:spacing w:after="0" w:line="13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a global retailer, we are mindful of the ongoing risks to our IT systems and operations from various sources and have implemented processes to monitor and mitigate these risks. We have adopted a cybersecurity program designed to identify, assess, and manage material risks from cybersecurity threats and have integrated cybersecurity risk into our broader enterprise risk management framework. We incorporate third-party assessments into our risk management program using recognized standards that are relevant to our business and we periodically self-assess various functional areas of our organization.</w:t>
      </w:r>
    </w:p>
    <w:p>
      <w:pPr>
        <w:spacing w:after="0" w:line="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use a variety of strategies and techniques designed to identify cybersecurity risks and reduce the risk of unauthorized access to our organization’s confidential information (including customer, vendor, and associate data) and critical business systems. This approach includes various assessment activities (e.g. threat actor emulation and penetration testing), tabletop exercises, security awareness and training activities (e.g., simulated phishing campaigns and specialized training for cybersecurity personnel), encryption of certain types of information, and certain controls governing access to TJX facilities and systems, among other threat- and risk-based safeguards. The scope and level of our risk-based initiatives in these areas varies across functions and across the business.</w:t>
      </w:r>
    </w:p>
    <w:p>
      <w:pPr>
        <w:spacing w:after="0" w:line="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maintain an Information Management Program that is overseen by our Information Management Steering Committee (the “IMSC”), which is a cross-functional group consisting of senior leaders from areas such as IT, IT Security, Risk and Compliance, Privacy, Legal, and Audit. The IMSC is responsible for developing and updating policies to support TJX’s Information Management Program and enhance the overall privacy, information security, and records management posture of our business.</w:t>
      </w:r>
    </w:p>
    <w:p>
      <w:pPr>
        <w:spacing w:after="0" w:line="7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Within our IT Security department, our Security Operations Center provides threat detection and incident response capabilities. We also have an incident response plan which describes roles and responsibilities for internal stakeholders in responding to and escalating potential cybersecurity incidents. We periodically test this plan through tabletop exercises with relevant stakeholders across various functions of our business, including members of senior management.</w:t>
      </w:r>
    </w:p>
    <w:p>
      <w:pPr>
        <w:spacing w:after="0" w:line="7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We also have processes in place designed to identify and mitigate risks from third party technology and service providers, including, as appropriate, pre-contractual due diligence, review of contractual terms addressing cybersecurity and data protection, and periodic re-assessment based on assessed vendor risk.</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Board of Directors Oversight</w:t>
      </w:r>
    </w:p>
    <w:p>
      <w:pPr>
        <w:spacing w:after="0" w:line="116"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Our Board of Directors has oversight of the systems and processes established to report and monitor the most significant risks to our business (including those related to cybersecurity) and administers this oversight with respect to cybersecurity directly and through our Audit and Finance Committee. Our Board of Directors has oversight of our enterprise risk management program and, in addition, our Audit and Finance Committee reviews IT and cybersecurity risks and related topics with senior management on at least a quarterly basis. Significant cybersecurity risks identified by our Audit and Finance Committee are reported to the Board for review and consideration. Our Board has also had dedicated sessions during Board meetings on specific cybersecurity topics both led by our IT senior leaders and by outside advisors as part of its cybersecurity oversight practices. Additionally, outside of regular Board and committee meetings, the Chair of the IT Subcommittee of the Audit and Finance Committee meets with senior management (including the Chief Information Security Officer (“CISO”) and the Executive Vice President, Chief Information Officer (“CIO”)) on at least a quarterly basis to remain informed of and support our cybersecurity programs, including our assessment of current threats, defensive efforts, and other organizational initiatives.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Management’s Role in Managing Risk</w:t>
      </w:r>
    </w:p>
    <w:p>
      <w:pPr>
        <w:spacing w:after="0" w:line="13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information security program is overseen by our CISO, who has over thirty-five years of cybersecurity, information governance, and IT experience in critical infrastructure, private industry, and government. Our CISO reports to our CIO, who has more than twenty-eight years of global information technology leadership experience. Our CISO is informed about and monitors the prevention, detection and mitigation of cybersecurity threats through his management of, and participation in, the cybersecurity risk management and strategy processes described above, including the operation of our incident response plan.</w:t>
      </w:r>
    </w:p>
    <w:p>
      <w:pPr>
        <w:spacing w:after="0" w:line="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Other than the unauthorized intrusion into our network discovered late in 2006, discussed in Item 1A in this Form 10-K, we are not aware of a cybersecurity incident that resulted in a material effect on our business strategy, results of operations, or financial condition. Despite our continuing efforts, our cybersecurity safeguards may not prevent breaches or breakdowns of our or our third-party service providers’ IT systems, particularly in the face of continually evolving cybersecurity threats and increasingly sophisticated threat actors. For more information, see “Compromises of our cybersecurity, disruptions in our information technology systems, or failure to satisfy the information technology needs of our business could result in material loss or liability, materially impact our operating results or materially harm our reputation”. in Item 1A in this Form 10-K.</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2"/>
          <w:szCs w:val="22"/>
          <w:b w:val="1"/>
          <w:bCs w:val="1"/>
          <w:color w:val="auto"/>
        </w:rPr>
        <w:t>ITEM 2. Properties</w:t>
      </w:r>
    </w:p>
    <w:p>
      <w:pPr>
        <w:spacing w:after="0" w:line="5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lease virtually all of our store locations, as well as some of our distribution and fulfillment centers and office space. Most of TJX's leases in the U.S. and Canada are store operating leases, generally for an initial term of ten years with options to extend the lease term for one or more five-year periods. Store operating leases in Europe generally have an initial term of ten to fifteen years and leases in Australia generally have an initial term of ten years, some of which have options to extend. Some of the Company's leases have options to terminate prior to the lease expiration date.</w:t>
      </w:r>
    </w:p>
    <w:p>
      <w:pPr>
        <w:spacing w:after="0" w:line="200" w:lineRule="exact"/>
        <w:rPr>
          <w:sz w:val="20"/>
          <w:szCs w:val="20"/>
          <w:color w:val="auto"/>
        </w:rPr>
      </w:pPr>
    </w:p>
    <w:p>
      <w:pPr>
        <w:spacing w:after="0" w:line="29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864" w:right="6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0"/>
          <w:szCs w:val="20"/>
          <w:b w:val="1"/>
          <w:bCs w:val="1"/>
          <w:color w:val="auto"/>
        </w:rPr>
        <w:t>STORE LOCATIONS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Stores were operated in the following locations at the end of fiscal 2024. Counts include both banners within a combo or a superstore: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United States</w:t>
            </w:r>
          </w:p>
        </w:tc>
        <w:tc>
          <w:tcPr>
            <w:tcW w:w="34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Marmaxx</w:t>
            </w:r>
            <w:r>
              <w:rPr>
                <w:rFonts w:ascii="Times New Roman" w:cs="Times New Roman" w:eastAsia="Times New Roman" w:hAnsi="Times New Roman"/>
                <w:sz w:val="23"/>
                <w:szCs w:val="23"/>
                <w:color w:val="auto"/>
                <w:vertAlign w:val="superscript"/>
              </w:rPr>
              <w:t>(a)</w:t>
            </w:r>
          </w:p>
        </w:tc>
        <w:tc>
          <w:tcPr>
            <w:tcW w:w="1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Sierra</w:t>
            </w:r>
          </w:p>
        </w:tc>
        <w:tc>
          <w:tcPr>
            <w:tcW w:w="16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HomeGoods</w:t>
            </w:r>
            <w:r>
              <w:rPr>
                <w:rFonts w:ascii="Times New Roman" w:cs="Times New Roman" w:eastAsia="Times New Roman" w:hAnsi="Times New Roman"/>
                <w:sz w:val="23"/>
                <w:szCs w:val="23"/>
                <w:color w:val="auto"/>
                <w:vertAlign w:val="superscript"/>
              </w:rPr>
              <w:t>(a)</w:t>
            </w:r>
          </w:p>
        </w:tc>
        <w:tc>
          <w:tcPr>
            <w:tcW w:w="12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Alabama</w:t>
            </w:r>
          </w:p>
        </w:tc>
        <w:tc>
          <w:tcPr>
            <w:tcW w:w="3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35</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12</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Arizona</w:t>
            </w:r>
          </w:p>
        </w:tc>
        <w:tc>
          <w:tcPr>
            <w:tcW w:w="3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40</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17</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Arkansas</w:t>
            </w:r>
          </w:p>
        </w:tc>
        <w:tc>
          <w:tcPr>
            <w:tcW w:w="3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18</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3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271</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3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Colorado</w:t>
            </w:r>
          </w:p>
        </w:tc>
        <w:tc>
          <w:tcPr>
            <w:tcW w:w="3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29</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w:t>
            </w:r>
          </w:p>
        </w:tc>
        <w:tc>
          <w:tcPr>
            <w:tcW w:w="16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12</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Connecticut</w:t>
            </w:r>
          </w:p>
        </w:tc>
        <w:tc>
          <w:tcPr>
            <w:tcW w:w="3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52</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6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21</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3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9</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District of Columbia</w:t>
            </w:r>
          </w:p>
        </w:tc>
        <w:tc>
          <w:tcPr>
            <w:tcW w:w="3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3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204</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88</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Georgia</w:t>
            </w:r>
          </w:p>
        </w:tc>
        <w:tc>
          <w:tcPr>
            <w:tcW w:w="3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93</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32</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2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Hawaii</w:t>
            </w:r>
          </w:p>
        </w:tc>
        <w:tc>
          <w:tcPr>
            <w:tcW w:w="3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8</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Idaho</w:t>
            </w:r>
          </w:p>
        </w:tc>
        <w:tc>
          <w:tcPr>
            <w:tcW w:w="3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9</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6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Illinois</w:t>
            </w:r>
          </w:p>
        </w:tc>
        <w:tc>
          <w:tcPr>
            <w:tcW w:w="3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98</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w:t>
            </w:r>
          </w:p>
        </w:tc>
        <w:tc>
          <w:tcPr>
            <w:tcW w:w="16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36</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Indiana</w:t>
            </w:r>
          </w:p>
        </w:tc>
        <w:tc>
          <w:tcPr>
            <w:tcW w:w="3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44</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16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12</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Iowa</w:t>
            </w:r>
          </w:p>
        </w:tc>
        <w:tc>
          <w:tcPr>
            <w:tcW w:w="3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19</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6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Kansas</w:t>
            </w:r>
          </w:p>
        </w:tc>
        <w:tc>
          <w:tcPr>
            <w:tcW w:w="3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19</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6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Kentucky</w:t>
            </w:r>
          </w:p>
        </w:tc>
        <w:tc>
          <w:tcPr>
            <w:tcW w:w="3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29</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6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7</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Louisiana</w:t>
            </w:r>
          </w:p>
        </w:tc>
        <w:tc>
          <w:tcPr>
            <w:tcW w:w="3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31</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Maine</w:t>
            </w:r>
          </w:p>
        </w:tc>
        <w:tc>
          <w:tcPr>
            <w:tcW w:w="3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12</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6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Maryland</w:t>
            </w:r>
          </w:p>
        </w:tc>
        <w:tc>
          <w:tcPr>
            <w:tcW w:w="3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56</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6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26</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Massachusetts</w:t>
            </w:r>
          </w:p>
        </w:tc>
        <w:tc>
          <w:tcPr>
            <w:tcW w:w="3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108</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16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Michigan</w:t>
            </w:r>
          </w:p>
        </w:tc>
        <w:tc>
          <w:tcPr>
            <w:tcW w:w="3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75</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c>
          <w:tcPr>
            <w:tcW w:w="16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3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Minnesota</w:t>
            </w:r>
          </w:p>
        </w:tc>
        <w:tc>
          <w:tcPr>
            <w:tcW w:w="3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34</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w:t>
            </w:r>
          </w:p>
        </w:tc>
        <w:tc>
          <w:tcPr>
            <w:tcW w:w="16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16</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Mississippi</w:t>
            </w:r>
          </w:p>
        </w:tc>
        <w:tc>
          <w:tcPr>
            <w:tcW w:w="3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19</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Missouri</w:t>
            </w:r>
          </w:p>
        </w:tc>
        <w:tc>
          <w:tcPr>
            <w:tcW w:w="3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39</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13</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Montana</w:t>
            </w:r>
          </w:p>
        </w:tc>
        <w:tc>
          <w:tcPr>
            <w:tcW w:w="3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6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Nebraska</w:t>
            </w:r>
          </w:p>
        </w:tc>
        <w:tc>
          <w:tcPr>
            <w:tcW w:w="3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10</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6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Nevada</w:t>
            </w:r>
          </w:p>
        </w:tc>
        <w:tc>
          <w:tcPr>
            <w:tcW w:w="3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21</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6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Hampshire</w:t>
            </w:r>
          </w:p>
        </w:tc>
        <w:tc>
          <w:tcPr>
            <w:tcW w:w="3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28</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c>
          <w:tcPr>
            <w:tcW w:w="16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15</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Jersey</w:t>
            </w:r>
          </w:p>
        </w:tc>
        <w:tc>
          <w:tcPr>
            <w:tcW w:w="3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91</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16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55</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2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Mexico</w:t>
            </w:r>
          </w:p>
        </w:tc>
        <w:tc>
          <w:tcPr>
            <w:tcW w:w="3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10</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6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3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169</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16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65</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3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Carolina</w:t>
            </w:r>
          </w:p>
        </w:tc>
        <w:tc>
          <w:tcPr>
            <w:tcW w:w="3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70</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26</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 Dakota</w:t>
            </w:r>
          </w:p>
        </w:tc>
        <w:tc>
          <w:tcPr>
            <w:tcW w:w="3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6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3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90</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c>
          <w:tcPr>
            <w:tcW w:w="16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29</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Oklahoma</w:t>
            </w:r>
          </w:p>
        </w:tc>
        <w:tc>
          <w:tcPr>
            <w:tcW w:w="3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Oregon</w:t>
            </w:r>
          </w:p>
        </w:tc>
        <w:tc>
          <w:tcPr>
            <w:tcW w:w="3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27</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16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Pennsylvania</w:t>
            </w:r>
          </w:p>
        </w:tc>
        <w:tc>
          <w:tcPr>
            <w:tcW w:w="3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99</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16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38</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2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Puerto Rico</w:t>
            </w:r>
          </w:p>
        </w:tc>
        <w:tc>
          <w:tcPr>
            <w:tcW w:w="3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29</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Rhode Island</w:t>
            </w:r>
          </w:p>
        </w:tc>
        <w:tc>
          <w:tcPr>
            <w:tcW w:w="3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12</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 Carolina</w:t>
            </w:r>
          </w:p>
        </w:tc>
        <w:tc>
          <w:tcPr>
            <w:tcW w:w="3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36</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14</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 Dakota</w:t>
            </w:r>
          </w:p>
        </w:tc>
        <w:tc>
          <w:tcPr>
            <w:tcW w:w="3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Tennessee</w:t>
            </w:r>
          </w:p>
        </w:tc>
        <w:tc>
          <w:tcPr>
            <w:tcW w:w="3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53</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17</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c>
          <w:tcPr>
            <w:tcW w:w="3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177</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71</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3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Utah</w:t>
            </w:r>
          </w:p>
        </w:tc>
        <w:tc>
          <w:tcPr>
            <w:tcW w:w="3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19</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16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11</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Vermont</w:t>
            </w:r>
          </w:p>
        </w:tc>
        <w:tc>
          <w:tcPr>
            <w:tcW w:w="3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8</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6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Virginia</w:t>
            </w:r>
          </w:p>
        </w:tc>
        <w:tc>
          <w:tcPr>
            <w:tcW w:w="3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72</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16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39</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Washington</w:t>
            </w:r>
          </w:p>
        </w:tc>
        <w:tc>
          <w:tcPr>
            <w:tcW w:w="3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42</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16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19</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West Virginia</w:t>
            </w:r>
          </w:p>
        </w:tc>
        <w:tc>
          <w:tcPr>
            <w:tcW w:w="3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11</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Wisconsin</w:t>
            </w:r>
          </w:p>
        </w:tc>
        <w:tc>
          <w:tcPr>
            <w:tcW w:w="3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43</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w:t>
            </w:r>
          </w:p>
        </w:tc>
        <w:tc>
          <w:tcPr>
            <w:tcW w:w="16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17</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0"/>
        </w:trPr>
        <w:tc>
          <w:tcPr>
            <w:tcW w:w="3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Wyoming</w:t>
            </w:r>
          </w:p>
        </w:tc>
        <w:tc>
          <w:tcPr>
            <w:tcW w:w="34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w:t>
            </w:r>
          </w:p>
        </w:tc>
        <w:tc>
          <w:tcPr>
            <w:tcW w:w="1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16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36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Stores</w:t>
            </w:r>
          </w:p>
        </w:tc>
        <w:tc>
          <w:tcPr>
            <w:tcW w:w="34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2,516</w:t>
            </w:r>
          </w:p>
        </w:tc>
        <w:tc>
          <w:tcPr>
            <w:tcW w:w="1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95</w:t>
            </w:r>
          </w:p>
        </w:tc>
        <w:tc>
          <w:tcPr>
            <w:tcW w:w="16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974</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3,585</w:t>
            </w:r>
          </w:p>
        </w:tc>
      </w:tr>
    </w:tbl>
    <w:p>
      <w:pPr>
        <w:spacing w:after="0" w:line="112" w:lineRule="exact"/>
        <w:rPr>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Marmaxx operates TJ Maxx and Marshalls. HomeGoods operates HomeGoods and Homesense.</w:t>
      </w:r>
    </w:p>
    <w:p>
      <w:pPr>
        <w:sectPr>
          <w:pgSz w:w="11900" w:h="16838" w:orient="portrait"/>
          <w:cols w:equalWidth="0" w:num="1">
            <w:col w:w="11240"/>
          </w:cols>
          <w:pgMar w:left="320" w:top="801" w:right="339" w:bottom="1440"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1" w:right="339" w:bottom="144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270"/>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Canada</w:t>
            </w:r>
          </w:p>
        </w:tc>
        <w:tc>
          <w:tcPr>
            <w:tcW w:w="30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Winners</w:t>
            </w:r>
          </w:p>
        </w:tc>
        <w:tc>
          <w:tcPr>
            <w:tcW w:w="14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HomeSense</w:t>
            </w:r>
          </w:p>
        </w:tc>
        <w:tc>
          <w:tcPr>
            <w:tcW w:w="14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Marshalls</w:t>
            </w:r>
          </w:p>
        </w:tc>
        <w:tc>
          <w:tcPr>
            <w:tcW w:w="13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4"/>
              </w:rPr>
              <w:t>Total</w:t>
            </w:r>
          </w:p>
        </w:tc>
      </w:tr>
      <w:tr>
        <w:trPr>
          <w:trHeight w:val="223"/>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Alberta</w:t>
            </w:r>
          </w:p>
        </w:tc>
        <w:tc>
          <w:tcPr>
            <w:tcW w:w="30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43</w:t>
            </w:r>
          </w:p>
        </w:tc>
        <w:tc>
          <w:tcPr>
            <w:tcW w:w="14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w:t>
            </w:r>
          </w:p>
        </w:tc>
        <w:tc>
          <w:tcPr>
            <w:tcW w:w="1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British Columbia</w:t>
            </w:r>
          </w:p>
        </w:tc>
        <w:tc>
          <w:tcPr>
            <w:tcW w:w="3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42</w:t>
            </w: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23</w:t>
            </w: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Manitoba</w:t>
            </w:r>
          </w:p>
        </w:tc>
        <w:tc>
          <w:tcPr>
            <w:tcW w:w="30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w:t>
            </w:r>
          </w:p>
        </w:tc>
        <w:tc>
          <w:tcPr>
            <w:tcW w:w="14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1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Brunswick</w:t>
            </w:r>
          </w:p>
        </w:tc>
        <w:tc>
          <w:tcPr>
            <w:tcW w:w="3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w:t>
            </w: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Newfoundland</w:t>
            </w:r>
          </w:p>
        </w:tc>
        <w:tc>
          <w:tcPr>
            <w:tcW w:w="30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14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1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Nova Scotia</w:t>
            </w:r>
          </w:p>
        </w:tc>
        <w:tc>
          <w:tcPr>
            <w:tcW w:w="3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Ontario</w:t>
            </w:r>
          </w:p>
        </w:tc>
        <w:tc>
          <w:tcPr>
            <w:tcW w:w="30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127</w:t>
            </w:r>
          </w:p>
        </w:tc>
        <w:tc>
          <w:tcPr>
            <w:tcW w:w="14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72</w:t>
            </w:r>
          </w:p>
        </w:tc>
        <w:tc>
          <w:tcPr>
            <w:tcW w:w="1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49</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Prince Edward Island</w:t>
            </w:r>
          </w:p>
        </w:tc>
        <w:tc>
          <w:tcPr>
            <w:tcW w:w="3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Quebec</w:t>
            </w:r>
          </w:p>
        </w:tc>
        <w:tc>
          <w:tcPr>
            <w:tcW w:w="30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55</w:t>
            </w:r>
          </w:p>
        </w:tc>
        <w:tc>
          <w:tcPr>
            <w:tcW w:w="14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w:t>
            </w:r>
          </w:p>
        </w:tc>
        <w:tc>
          <w:tcPr>
            <w:tcW w:w="1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29"/>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Saskatchewan</w:t>
            </w:r>
          </w:p>
        </w:tc>
        <w:tc>
          <w:tcPr>
            <w:tcW w:w="30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14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w:t>
            </w:r>
          </w:p>
        </w:tc>
        <w:tc>
          <w:tcPr>
            <w:tcW w:w="14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39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Stores</w:t>
            </w:r>
          </w:p>
        </w:tc>
        <w:tc>
          <w:tcPr>
            <w:tcW w:w="30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302</w:t>
            </w:r>
          </w:p>
        </w:tc>
        <w:tc>
          <w:tcPr>
            <w:tcW w:w="14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158</w:t>
            </w:r>
          </w:p>
        </w:tc>
        <w:tc>
          <w:tcPr>
            <w:tcW w:w="14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106</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r>
      <w:tr>
        <w:trPr>
          <w:trHeight w:val="479"/>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Europe</w:t>
            </w:r>
          </w:p>
        </w:tc>
        <w:tc>
          <w:tcPr>
            <w:tcW w:w="30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TK Maxx</w:t>
            </w:r>
          </w:p>
        </w:tc>
        <w:tc>
          <w:tcPr>
            <w:tcW w:w="14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Homesense</w:t>
            </w:r>
          </w:p>
        </w:tc>
        <w:tc>
          <w:tcPr>
            <w:tcW w:w="13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4"/>
              </w:rPr>
              <w:t>Total</w:t>
            </w:r>
          </w:p>
        </w:tc>
      </w:tr>
      <w:tr>
        <w:trPr>
          <w:trHeight w:val="223"/>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30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355</w:t>
            </w:r>
          </w:p>
        </w:tc>
        <w:tc>
          <w:tcPr>
            <w:tcW w:w="1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77</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Republic of Ireland</w:t>
            </w:r>
          </w:p>
        </w:tc>
        <w:tc>
          <w:tcPr>
            <w:tcW w:w="3060" w:type="dxa"/>
            <w:vAlign w:val="bottom"/>
          </w:tcPr>
          <w:p>
            <w:pPr>
              <w:spacing w:after="0"/>
              <w:rPr>
                <w:sz w:val="19"/>
                <w:szCs w:val="19"/>
                <w:color w:val="auto"/>
              </w:rPr>
            </w:pP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27</w:t>
            </w: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30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174</w:t>
            </w:r>
          </w:p>
        </w:tc>
        <w:tc>
          <w:tcPr>
            <w:tcW w:w="1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Poland</w:t>
            </w:r>
          </w:p>
        </w:tc>
        <w:tc>
          <w:tcPr>
            <w:tcW w:w="3060" w:type="dxa"/>
            <w:vAlign w:val="bottom"/>
          </w:tcPr>
          <w:p>
            <w:pPr>
              <w:spacing w:after="0"/>
              <w:rPr>
                <w:sz w:val="19"/>
                <w:szCs w:val="19"/>
                <w:color w:val="auto"/>
              </w:rPr>
            </w:pP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53</w:t>
            </w: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Austria</w:t>
            </w:r>
          </w:p>
        </w:tc>
        <w:tc>
          <w:tcPr>
            <w:tcW w:w="30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w:t>
            </w:r>
          </w:p>
        </w:tc>
        <w:tc>
          <w:tcPr>
            <w:tcW w:w="1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Netherlands</w:t>
            </w:r>
          </w:p>
        </w:tc>
        <w:tc>
          <w:tcPr>
            <w:tcW w:w="30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16</w:t>
            </w:r>
          </w:p>
        </w:tc>
        <w:tc>
          <w:tcPr>
            <w:tcW w:w="14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39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Stores</w:t>
            </w:r>
          </w:p>
        </w:tc>
        <w:tc>
          <w:tcPr>
            <w:tcW w:w="30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644</w:t>
            </w:r>
          </w:p>
        </w:tc>
        <w:tc>
          <w:tcPr>
            <w:tcW w:w="14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79</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r>
      <w:tr>
        <w:trPr>
          <w:trHeight w:val="466"/>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Australia</w:t>
            </w:r>
          </w:p>
        </w:tc>
        <w:tc>
          <w:tcPr>
            <w:tcW w:w="30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TK Maxx</w:t>
            </w:r>
          </w:p>
        </w:tc>
      </w:tr>
      <w:tr>
        <w:trPr>
          <w:trHeight w:val="223"/>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Australian Capital Territory</w:t>
            </w:r>
          </w:p>
        </w:tc>
        <w:tc>
          <w:tcPr>
            <w:tcW w:w="30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South Wales</w:t>
            </w:r>
          </w:p>
        </w:tc>
        <w:tc>
          <w:tcPr>
            <w:tcW w:w="30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Queensland</w:t>
            </w:r>
          </w:p>
        </w:tc>
        <w:tc>
          <w:tcPr>
            <w:tcW w:w="30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Victoria</w:t>
            </w:r>
          </w:p>
        </w:tc>
        <w:tc>
          <w:tcPr>
            <w:tcW w:w="30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 Australia</w:t>
            </w:r>
          </w:p>
        </w:tc>
        <w:tc>
          <w:tcPr>
            <w:tcW w:w="30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Western Australia</w:t>
            </w:r>
          </w:p>
        </w:tc>
        <w:tc>
          <w:tcPr>
            <w:tcW w:w="30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3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Tasmania</w:t>
            </w:r>
          </w:p>
        </w:tc>
        <w:tc>
          <w:tcPr>
            <w:tcW w:w="30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39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Total Stores</w:t>
            </w:r>
          </w:p>
        </w:tc>
        <w:tc>
          <w:tcPr>
            <w:tcW w:w="30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DISTRIBUTION CENTERS</w:t>
      </w:r>
    </w:p>
    <w:p>
      <w:pPr>
        <w:spacing w:after="0" w:line="13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is a summary of our primary owned and leased distribution and fulfillment centers as of February 3, 2024. Square footage information for the distribution and fulfillment centers represents total “ground cover” of the facility.</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p>
        </w:tc>
        <w:tc>
          <w:tcPr>
            <w:tcW w:w="18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Owned</w:t>
            </w:r>
          </w:p>
        </w:tc>
        <w:tc>
          <w:tcPr>
            <w:tcW w:w="1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bottom w:val="single" w:sz="8" w:color="auto"/>
            </w:tcBorders>
          </w:tcPr>
          <w:p>
            <w:pPr>
              <w:spacing w:after="0"/>
              <w:rPr>
                <w:sz w:val="20"/>
                <w:szCs w:val="20"/>
                <w:color w:val="auto"/>
              </w:rPr>
            </w:pPr>
          </w:p>
        </w:tc>
      </w:tr>
      <w:tr>
        <w:trPr>
          <w:trHeight w:val="223"/>
        </w:trPr>
        <w:tc>
          <w:tcPr>
            <w:tcW w:w="2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Square footage in millions</w:t>
            </w:r>
          </w:p>
        </w:tc>
        <w:tc>
          <w:tcPr>
            <w:tcW w:w="182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Sq/ft</w:t>
            </w:r>
          </w:p>
        </w:tc>
        <w:tc>
          <w:tcPr>
            <w:tcW w:w="12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Count</w:t>
            </w:r>
          </w:p>
        </w:tc>
        <w:tc>
          <w:tcPr>
            <w:tcW w:w="15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Sq/ft</w:t>
            </w: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Count</w:t>
            </w:r>
          </w:p>
        </w:tc>
        <w:tc>
          <w:tcPr>
            <w:tcW w:w="15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Sq/ft</w:t>
            </w: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Count</w:t>
            </w:r>
          </w:p>
        </w:tc>
      </w:tr>
      <w:tr>
        <w:trPr>
          <w:trHeight w:val="22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Marmaxx</w:t>
            </w:r>
          </w:p>
        </w:tc>
        <w:tc>
          <w:tcPr>
            <w:tcW w:w="18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9</w:t>
            </w:r>
          </w:p>
        </w:tc>
        <w:tc>
          <w:tcPr>
            <w:tcW w:w="12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9</w:t>
            </w:r>
          </w:p>
        </w:tc>
        <w:tc>
          <w:tcPr>
            <w:tcW w:w="15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w:t>
            </w:r>
          </w:p>
        </w:tc>
        <w:tc>
          <w:tcPr>
            <w:tcW w:w="12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9</w:t>
            </w:r>
          </w:p>
        </w:tc>
        <w:tc>
          <w:tcPr>
            <w:tcW w:w="15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14</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HomeGoods</w:t>
            </w:r>
          </w:p>
        </w:tc>
        <w:tc>
          <w:tcPr>
            <w:tcW w:w="18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w:t>
            </w:r>
          </w:p>
        </w:tc>
        <w:tc>
          <w:tcPr>
            <w:tcW w:w="12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w:t>
            </w:r>
          </w:p>
        </w:tc>
        <w:tc>
          <w:tcPr>
            <w:tcW w:w="15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w:t>
            </w: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w:t>
            </w:r>
          </w:p>
        </w:tc>
        <w:tc>
          <w:tcPr>
            <w:tcW w:w="1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Sierra</w:t>
            </w:r>
          </w:p>
        </w:tc>
        <w:tc>
          <w:tcPr>
            <w:tcW w:w="18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w:t>
            </w:r>
          </w:p>
        </w:tc>
        <w:tc>
          <w:tcPr>
            <w:tcW w:w="12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w:t>
            </w:r>
          </w:p>
        </w:tc>
        <w:tc>
          <w:tcPr>
            <w:tcW w:w="12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w:t>
            </w:r>
          </w:p>
        </w:tc>
        <w:tc>
          <w:tcPr>
            <w:tcW w:w="15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TJX Canada</w:t>
            </w:r>
          </w:p>
        </w:tc>
        <w:tc>
          <w:tcPr>
            <w:tcW w:w="18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w:t>
            </w: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w:t>
            </w:r>
          </w:p>
        </w:tc>
        <w:tc>
          <w:tcPr>
            <w:tcW w:w="1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2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TJX International</w:t>
            </w:r>
          </w:p>
        </w:tc>
        <w:tc>
          <w:tcPr>
            <w:tcW w:w="18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w:t>
            </w:r>
          </w:p>
        </w:tc>
        <w:tc>
          <w:tcPr>
            <w:tcW w:w="12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w:t>
            </w:r>
          </w:p>
        </w:tc>
        <w:tc>
          <w:tcPr>
            <w:tcW w:w="12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9</w:t>
            </w:r>
          </w:p>
        </w:tc>
        <w:tc>
          <w:tcPr>
            <w:tcW w:w="15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28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8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15</w:t>
            </w:r>
          </w:p>
        </w:tc>
        <w:tc>
          <w:tcPr>
            <w:tcW w:w="12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16</w:t>
            </w:r>
          </w:p>
        </w:tc>
        <w:tc>
          <w:tcPr>
            <w:tcW w:w="15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16</w:t>
            </w:r>
          </w:p>
        </w:tc>
        <w:tc>
          <w:tcPr>
            <w:tcW w:w="12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27</w:t>
            </w:r>
          </w:p>
        </w:tc>
        <w:tc>
          <w:tcPr>
            <w:tcW w:w="15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31</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OFFICE SPACE</w:t>
      </w:r>
    </w:p>
    <w:p>
      <w:pPr>
        <w:spacing w:after="0" w:line="130"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TJX has corporate headquarters in Massachusetts which consists of both owned and leased space. Additionally, we own and lease additional office space throughout the United States and in various countries. As of February 3, 2024, TJX owned and leased a combined 3.4 million square feet of office space, primarily within the United States. Square footage information for office space represents total space owned or leased.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2"/>
          <w:szCs w:val="22"/>
          <w:b w:val="1"/>
          <w:bCs w:val="1"/>
          <w:color w:val="auto"/>
        </w:rPr>
        <w:t>ITEM 3. Legal Proceedings</w:t>
      </w:r>
    </w:p>
    <w:p>
      <w:pPr>
        <w:spacing w:after="0" w:line="111"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 xml:space="preserve">See Legal Contingencies in </w:t>
      </w:r>
      <w:r>
        <w:rPr>
          <w:rFonts w:ascii="Times New Roman" w:cs="Times New Roman" w:eastAsia="Times New Roman" w:hAnsi="Times New Roman"/>
          <w:sz w:val="18"/>
          <w:szCs w:val="18"/>
          <w:u w:val="single" w:color="auto"/>
          <w:color w:val="0000FF"/>
        </w:rPr>
        <w:t>Note N—Contingent Obligations, Contingencies, and Commitments</w:t>
      </w:r>
      <w:r>
        <w:rPr>
          <w:rFonts w:ascii="Times New Roman" w:cs="Times New Roman" w:eastAsia="Times New Roman" w:hAnsi="Times New Roman"/>
          <w:sz w:val="18"/>
          <w:szCs w:val="18"/>
          <w:color w:val="auto"/>
        </w:rPr>
        <w:t xml:space="preserve"> of Notes to Consolidated Financial Statements for information on legal proceedings.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4. Mine Safety Disclosures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PART II</w:t>
      </w:r>
    </w:p>
    <w:p>
      <w:pPr>
        <w:spacing w:after="0" w:line="147" w:lineRule="exact"/>
        <w:rPr>
          <w:sz w:val="20"/>
          <w:szCs w:val="20"/>
          <w:color w:val="auto"/>
        </w:rPr>
      </w:pPr>
    </w:p>
    <w:p>
      <w:pPr>
        <w:ind w:right="580"/>
        <w:spacing w:after="0" w:line="275" w:lineRule="auto"/>
        <w:rPr>
          <w:sz w:val="20"/>
          <w:szCs w:val="20"/>
          <w:color w:val="auto"/>
        </w:rPr>
      </w:pPr>
      <w:r>
        <w:rPr>
          <w:rFonts w:ascii="Times New Roman" w:cs="Times New Roman" w:eastAsia="Times New Roman" w:hAnsi="Times New Roman"/>
          <w:sz w:val="22"/>
          <w:szCs w:val="22"/>
          <w:b w:val="1"/>
          <w:bCs w:val="1"/>
          <w:color w:val="auto"/>
        </w:rPr>
        <w:t>ITEM 5. Market for the Registrant’s Common Equity, Related Stockholder Matters and Issuer Purchases of Equity Securities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New York Stock Exchange (Symbol: TJX).</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approximate number of common shareholders of record at February 3, 2024 was 1,865.</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INFORMATION ON SHARE REPURCHASES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common stock repurchased by TJX during the fourth quarter of fiscal 2024 and the average price paid per share are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Approximate Dollar</w:t>
            </w:r>
          </w:p>
        </w:tc>
        <w:tc>
          <w:tcPr>
            <w:tcW w:w="0" w:type="dxa"/>
            <w:vAlign w:val="bottom"/>
          </w:tcPr>
          <w:p>
            <w:pPr>
              <w:spacing w:after="0"/>
              <w:rPr>
                <w:sz w:val="1"/>
                <w:szCs w:val="1"/>
                <w:color w:val="auto"/>
              </w:rPr>
            </w:pPr>
          </w:p>
        </w:tc>
      </w:tr>
      <w:tr>
        <w:trPr>
          <w:trHeight w:val="176"/>
        </w:trPr>
        <w:tc>
          <w:tcPr>
            <w:tcW w:w="268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40" w:type="dxa"/>
            <w:vAlign w:val="bottom"/>
          </w:tcPr>
          <w:p>
            <w:pPr>
              <w:jc w:val="center"/>
              <w:ind w:right="190"/>
              <w:spacing w:after="0" w:line="176" w:lineRule="exact"/>
              <w:rPr>
                <w:sz w:val="20"/>
                <w:szCs w:val="20"/>
                <w:color w:val="auto"/>
              </w:rPr>
            </w:pPr>
            <w:r>
              <w:rPr>
                <w:rFonts w:ascii="Times New Roman" w:cs="Times New Roman" w:eastAsia="Times New Roman" w:hAnsi="Times New Roman"/>
                <w:sz w:val="18"/>
                <w:szCs w:val="18"/>
                <w:color w:val="auto"/>
                <w:w w:val="98"/>
              </w:rPr>
              <w:t>Value of Shares that</w:t>
            </w:r>
          </w:p>
        </w:tc>
        <w:tc>
          <w:tcPr>
            <w:tcW w:w="0" w:type="dxa"/>
            <w:vAlign w:val="bottom"/>
          </w:tcPr>
          <w:p>
            <w:pPr>
              <w:spacing w:after="0"/>
              <w:rPr>
                <w:sz w:val="1"/>
                <w:szCs w:val="1"/>
                <w:color w:val="auto"/>
              </w:rPr>
            </w:pPr>
          </w:p>
        </w:tc>
      </w:tr>
      <w:tr>
        <w:trPr>
          <w:trHeight w:val="189"/>
        </w:trPr>
        <w:tc>
          <w:tcPr>
            <w:tcW w:w="2680" w:type="dxa"/>
            <w:vAlign w:val="bottom"/>
          </w:tcPr>
          <w:p>
            <w:pPr>
              <w:spacing w:after="0"/>
              <w:rPr>
                <w:sz w:val="16"/>
                <w:szCs w:val="16"/>
                <w:color w:val="auto"/>
              </w:rPr>
            </w:pPr>
          </w:p>
        </w:tc>
        <w:tc>
          <w:tcPr>
            <w:tcW w:w="24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Total Number of Shares</w:t>
            </w:r>
          </w:p>
        </w:tc>
        <w:tc>
          <w:tcPr>
            <w:tcW w:w="160" w:type="dxa"/>
            <w:vAlign w:val="bottom"/>
          </w:tcPr>
          <w:p>
            <w:pPr>
              <w:spacing w:after="0"/>
              <w:rPr>
                <w:sz w:val="16"/>
                <w:szCs w:val="16"/>
                <w:color w:val="auto"/>
              </w:rPr>
            </w:pPr>
          </w:p>
        </w:tc>
        <w:tc>
          <w:tcPr>
            <w:tcW w:w="122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99"/>
              </w:rPr>
              <w:t>Average Price</w:t>
            </w:r>
          </w:p>
        </w:tc>
        <w:tc>
          <w:tcPr>
            <w:tcW w:w="24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Total Number of Shares</w:t>
            </w:r>
          </w:p>
        </w:tc>
        <w:tc>
          <w:tcPr>
            <w:tcW w:w="232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May Yet be Purchased Under</w:t>
            </w:r>
          </w:p>
        </w:tc>
        <w:tc>
          <w:tcPr>
            <w:tcW w:w="0" w:type="dxa"/>
            <w:vAlign w:val="bottom"/>
          </w:tcPr>
          <w:p>
            <w:pPr>
              <w:spacing w:after="0"/>
              <w:rPr>
                <w:sz w:val="1"/>
                <w:szCs w:val="1"/>
                <w:color w:val="auto"/>
              </w:rPr>
            </w:pPr>
          </w:p>
        </w:tc>
      </w:tr>
      <w:tr>
        <w:trPr>
          <w:trHeight w:val="175"/>
        </w:trPr>
        <w:tc>
          <w:tcPr>
            <w:tcW w:w="2680" w:type="dxa"/>
            <w:vAlign w:val="bottom"/>
          </w:tcPr>
          <w:p>
            <w:pPr>
              <w:spacing w:after="0"/>
              <w:rPr>
                <w:sz w:val="15"/>
                <w:szCs w:val="15"/>
                <w:color w:val="auto"/>
              </w:rPr>
            </w:pPr>
          </w:p>
        </w:tc>
        <w:tc>
          <w:tcPr>
            <w:tcW w:w="24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24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Purchased as Part of Publicly</w:t>
            </w:r>
          </w:p>
        </w:tc>
        <w:tc>
          <w:tcPr>
            <w:tcW w:w="280" w:type="dxa"/>
            <w:vAlign w:val="bottom"/>
          </w:tcPr>
          <w:p>
            <w:pPr>
              <w:spacing w:after="0"/>
              <w:rPr>
                <w:sz w:val="15"/>
                <w:szCs w:val="15"/>
                <w:color w:val="auto"/>
              </w:rPr>
            </w:pPr>
          </w:p>
        </w:tc>
        <w:tc>
          <w:tcPr>
            <w:tcW w:w="2040" w:type="dxa"/>
            <w:vAlign w:val="bottom"/>
          </w:tcPr>
          <w:p>
            <w:pPr>
              <w:jc w:val="center"/>
              <w:ind w:right="170"/>
              <w:spacing w:after="0" w:line="176" w:lineRule="exact"/>
              <w:rPr>
                <w:sz w:val="20"/>
                <w:szCs w:val="20"/>
                <w:color w:val="auto"/>
              </w:rPr>
            </w:pPr>
            <w:r>
              <w:rPr>
                <w:rFonts w:ascii="Times New Roman" w:cs="Times New Roman" w:eastAsia="Times New Roman" w:hAnsi="Times New Roman"/>
                <w:sz w:val="18"/>
                <w:szCs w:val="18"/>
                <w:color w:val="auto"/>
              </w:rPr>
              <w:t>the Plans or</w:t>
            </w:r>
          </w:p>
        </w:tc>
        <w:tc>
          <w:tcPr>
            <w:tcW w:w="0" w:type="dxa"/>
            <w:vAlign w:val="bottom"/>
          </w:tcPr>
          <w:p>
            <w:pPr>
              <w:spacing w:after="0"/>
              <w:rPr>
                <w:sz w:val="1"/>
                <w:szCs w:val="1"/>
                <w:color w:val="auto"/>
              </w:rPr>
            </w:pPr>
          </w:p>
        </w:tc>
      </w:tr>
      <w:tr>
        <w:trPr>
          <w:trHeight w:val="243"/>
        </w:trPr>
        <w:tc>
          <w:tcPr>
            <w:tcW w:w="268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tcPr>
          <w:p>
            <w:pPr>
              <w:jc w:val="right"/>
              <w:ind w:right="350"/>
              <w:spacing w:after="0" w:line="243" w:lineRule="exact"/>
              <w:rPr>
                <w:sz w:val="20"/>
                <w:szCs w:val="20"/>
                <w:color w:val="auto"/>
              </w:rPr>
            </w:pPr>
            <w:r>
              <w:rPr>
                <w:rFonts w:ascii="Times New Roman" w:cs="Times New Roman" w:eastAsia="Times New Roman" w:hAnsi="Times New Roman"/>
                <w:sz w:val="18"/>
                <w:szCs w:val="18"/>
                <w:color w:val="auto"/>
              </w:rPr>
              <w:t>Repurchased</w:t>
            </w:r>
            <w:r>
              <w:rPr>
                <w:rFonts w:ascii="Times New Roman" w:cs="Times New Roman" w:eastAsia="Times New Roman" w:hAnsi="Times New Roman"/>
                <w:sz w:val="23"/>
                <w:szCs w:val="23"/>
                <w:color w:val="auto"/>
                <w:vertAlign w:val="superscript"/>
              </w:rPr>
              <w:t>(a)</w:t>
            </w:r>
          </w:p>
        </w:tc>
        <w:tc>
          <w:tcPr>
            <w:tcW w:w="1380" w:type="dxa"/>
            <w:vAlign w:val="bottom"/>
            <w:tcBorders>
              <w:bottom w:val="single" w:sz="8" w:color="auto"/>
            </w:tcBorders>
            <w:gridSpan w:val="2"/>
          </w:tcPr>
          <w:p>
            <w:pPr>
              <w:jc w:val="right"/>
              <w:spacing w:after="0" w:line="243" w:lineRule="exact"/>
              <w:rPr>
                <w:sz w:val="20"/>
                <w:szCs w:val="20"/>
                <w:color w:val="auto"/>
              </w:rPr>
            </w:pPr>
            <w:r>
              <w:rPr>
                <w:rFonts w:ascii="Times New Roman" w:cs="Times New Roman" w:eastAsia="Times New Roman" w:hAnsi="Times New Roman"/>
                <w:sz w:val="18"/>
                <w:szCs w:val="18"/>
                <w:color w:val="auto"/>
              </w:rPr>
              <w:t>Paid Per Share</w:t>
            </w:r>
            <w:r>
              <w:rPr>
                <w:rFonts w:ascii="Times New Roman" w:cs="Times New Roman" w:eastAsia="Times New Roman" w:hAnsi="Times New Roman"/>
                <w:sz w:val="23"/>
                <w:szCs w:val="23"/>
                <w:color w:val="auto"/>
                <w:vertAlign w:val="superscript"/>
              </w:rPr>
              <w:t>(b)</w:t>
            </w:r>
          </w:p>
        </w:tc>
        <w:tc>
          <w:tcPr>
            <w:tcW w:w="242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8"/>
                <w:szCs w:val="18"/>
                <w:color w:val="auto"/>
                <w:w w:val="98"/>
              </w:rPr>
              <w:t>Announced Plans or Programs</w:t>
            </w:r>
            <w:r>
              <w:rPr>
                <w:rFonts w:ascii="Times New Roman" w:cs="Times New Roman" w:eastAsia="Times New Roman" w:hAnsi="Times New Roman"/>
                <w:sz w:val="23"/>
                <w:szCs w:val="23"/>
                <w:color w:val="auto"/>
                <w:w w:val="98"/>
                <w:vertAlign w:val="superscript"/>
              </w:rPr>
              <w:t>(a)</w:t>
            </w:r>
          </w:p>
        </w:tc>
        <w:tc>
          <w:tcPr>
            <w:tcW w:w="28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jc w:val="center"/>
              <w:ind w:right="170"/>
              <w:spacing w:after="0" w:line="243" w:lineRule="exact"/>
              <w:rPr>
                <w:sz w:val="20"/>
                <w:szCs w:val="20"/>
                <w:color w:val="auto"/>
              </w:rPr>
            </w:pPr>
            <w:r>
              <w:rPr>
                <w:rFonts w:ascii="Times New Roman" w:cs="Times New Roman" w:eastAsia="Times New Roman" w:hAnsi="Times New Roman"/>
                <w:sz w:val="18"/>
                <w:szCs w:val="18"/>
                <w:color w:val="auto"/>
                <w:w w:val="95"/>
              </w:rPr>
              <w:t>Programs</w:t>
            </w:r>
            <w:r>
              <w:rPr>
                <w:rFonts w:ascii="Times New Roman" w:cs="Times New Roman" w:eastAsia="Times New Roman" w:hAnsi="Times New Roman"/>
                <w:sz w:val="23"/>
                <w:szCs w:val="23"/>
                <w:color w:val="auto"/>
                <w:w w:val="95"/>
                <w:vertAlign w:val="superscript"/>
              </w:rPr>
              <w:t>(c)</w:t>
            </w:r>
          </w:p>
        </w:tc>
        <w:tc>
          <w:tcPr>
            <w:tcW w:w="0" w:type="dxa"/>
            <w:vAlign w:val="bottom"/>
          </w:tcPr>
          <w:p>
            <w:pPr>
              <w:spacing w:after="0"/>
              <w:rPr>
                <w:sz w:val="1"/>
                <w:szCs w:val="1"/>
                <w:color w:val="auto"/>
              </w:rPr>
            </w:pPr>
          </w:p>
        </w:tc>
      </w:tr>
      <w:tr>
        <w:trPr>
          <w:trHeight w:val="169"/>
        </w:trPr>
        <w:tc>
          <w:tcPr>
            <w:tcW w:w="268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October 29, 2023 through</w:t>
            </w:r>
          </w:p>
        </w:tc>
        <w:tc>
          <w:tcPr>
            <w:tcW w:w="2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68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November 25, 2023</w:t>
            </w:r>
            <w:r>
              <w:rPr>
                <w:rFonts w:ascii="Times New Roman" w:cs="Times New Roman" w:eastAsia="Times New Roman" w:hAnsi="Times New Roman"/>
                <w:sz w:val="23"/>
                <w:szCs w:val="23"/>
                <w:color w:val="auto"/>
                <w:vertAlign w:val="superscript"/>
              </w:rPr>
              <w:t>(d)</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1,772,684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89.41</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1,772,684</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1,685,298,367</w:t>
            </w:r>
          </w:p>
        </w:tc>
        <w:tc>
          <w:tcPr>
            <w:tcW w:w="0" w:type="dxa"/>
            <w:vAlign w:val="bottom"/>
          </w:tcPr>
          <w:p>
            <w:pPr>
              <w:spacing w:after="0"/>
              <w:rPr>
                <w:sz w:val="1"/>
                <w:szCs w:val="1"/>
                <w:color w:val="auto"/>
              </w:rPr>
            </w:pPr>
          </w:p>
        </w:tc>
      </w:tr>
      <w:tr>
        <w:trPr>
          <w:trHeight w:val="175"/>
        </w:trPr>
        <w:tc>
          <w:tcPr>
            <w:tcW w:w="26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November 26, 2023 through</w:t>
            </w:r>
          </w:p>
        </w:tc>
        <w:tc>
          <w:tcPr>
            <w:tcW w:w="2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30, 2023</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3,639,686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89.98</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3,639,686</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1,357,797,718</w:t>
            </w:r>
          </w:p>
        </w:tc>
        <w:tc>
          <w:tcPr>
            <w:tcW w:w="0" w:type="dxa"/>
            <w:vAlign w:val="bottom"/>
          </w:tcPr>
          <w:p>
            <w:pPr>
              <w:spacing w:after="0"/>
              <w:rPr>
                <w:sz w:val="1"/>
                <w:szCs w:val="1"/>
                <w:color w:val="auto"/>
              </w:rPr>
            </w:pPr>
          </w:p>
        </w:tc>
      </w:tr>
      <w:tr>
        <w:trPr>
          <w:trHeight w:val="175"/>
        </w:trPr>
        <w:tc>
          <w:tcPr>
            <w:tcW w:w="26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December 31, 2023 through</w:t>
            </w:r>
          </w:p>
        </w:tc>
        <w:tc>
          <w:tcPr>
            <w:tcW w:w="2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3, 2024</w:t>
            </w:r>
          </w:p>
        </w:tc>
        <w:tc>
          <w:tcPr>
            <w:tcW w:w="2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3,296,892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94.42</w:t>
            </w:r>
          </w:p>
        </w:tc>
        <w:tc>
          <w:tcPr>
            <w:tcW w:w="2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3,296,892</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1,046,499,865</w:t>
            </w:r>
          </w:p>
        </w:tc>
        <w:tc>
          <w:tcPr>
            <w:tcW w:w="0" w:type="dxa"/>
            <w:vAlign w:val="bottom"/>
          </w:tcPr>
          <w:p>
            <w:pPr>
              <w:spacing w:after="0"/>
              <w:rPr>
                <w:sz w:val="1"/>
                <w:szCs w:val="1"/>
                <w:color w:val="auto"/>
              </w:rPr>
            </w:pPr>
          </w:p>
        </w:tc>
      </w:tr>
      <w:tr>
        <w:trPr>
          <w:trHeight w:val="223"/>
        </w:trPr>
        <w:tc>
          <w:tcPr>
            <w:tcW w:w="2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8,709,262</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8,709,262</w:t>
            </w:r>
          </w:p>
        </w:tc>
        <w:tc>
          <w:tcPr>
            <w:tcW w:w="28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repurchased under publicly announced stock repurchase programs.</w:t>
      </w:r>
    </w:p>
    <w:p>
      <w:pPr>
        <w:spacing w:after="0" w:line="68"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commissions for the shares repurchased under stock repurchase programs.</w:t>
      </w:r>
    </w:p>
    <w:p>
      <w:pPr>
        <w:spacing w:after="0" w:line="68" w:lineRule="exact"/>
        <w:rPr>
          <w:rFonts w:ascii="Times New Roman" w:cs="Times New Roman" w:eastAsia="Times New Roman" w:hAnsi="Times New Roman"/>
          <w:sz w:val="14"/>
          <w:szCs w:val="14"/>
          <w:color w:val="auto"/>
        </w:rPr>
      </w:pPr>
    </w:p>
    <w:p>
      <w:pPr>
        <w:ind w:left="340" w:right="60" w:hanging="332"/>
        <w:spacing w:after="0" w:line="301" w:lineRule="auto"/>
        <w:tabs>
          <w:tab w:leader="none" w:pos="337"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February 2024, we announced that our Board of Directors had approved a new stock repurchase program that authorized the repurchase of up to an additional $2.5 billion of our common stock from time to time. Under this program and previously announced programs, we had approximately $3.5 billion available for repurchase as of February 3, 2024.</w:t>
      </w:r>
    </w:p>
    <w:p>
      <w:pPr>
        <w:spacing w:after="0" w:line="1" w:lineRule="exact"/>
        <w:rPr>
          <w:rFonts w:ascii="Times New Roman" w:cs="Times New Roman" w:eastAsia="Times New Roman" w:hAnsi="Times New Roman"/>
          <w:sz w:val="14"/>
          <w:szCs w:val="14"/>
          <w:color w:val="auto"/>
        </w:rPr>
      </w:pPr>
    </w:p>
    <w:p>
      <w:pPr>
        <w:ind w:left="340" w:right="360" w:hanging="332"/>
        <w:spacing w:after="0" w:line="282" w:lineRule="auto"/>
        <w:tabs>
          <w:tab w:leader="none" w:pos="332"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two days of shares repurchases in October that were previously disclosed in fiscal 2024’s third quarter 10Q due to a transition from reporting on a trade basis to reporting on a settlement basis.</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2"/>
          <w:szCs w:val="22"/>
          <w:b w:val="1"/>
          <w:bCs w:val="1"/>
          <w:color w:val="auto"/>
        </w:rPr>
        <w:t>ITEM 7. Management’s Discussion and Analysis of Financial Condition and Results of Operations</w:t>
      </w:r>
    </w:p>
    <w:p>
      <w:pPr>
        <w:spacing w:after="0" w:line="11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TJX provides projections and other forward-looking statements in the following discussions particularly relating to our future financial performance. These forward-looking statements are estimates based on information currently available to us and subject to the cautionary statements set forth on page 2 of this Form 10-K. Our results are subject to risks, uncertainties and potentially inaccurate assumptions that could cause actual results to differ materially from those expressed or implied by any such forward-looking statements. Applicable risks and uncertainties include, among others, those described in Part I, Item 1A, Risk Factors, as well as other information we file with the SEC. TJX undertakes no obligation to update or revise any forward-looking statements, even if experience or future changes make it clear that any projected results expressed or implied in such statements will not be realized.</w:t>
      </w:r>
    </w:p>
    <w:p>
      <w:pPr>
        <w:spacing w:after="0" w:line="7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discussion that follows relates to our 53-week fiscal year ended February 3, 2024 (fiscal 2024) and our 52-week fiscal years ended January 28, 2023 (fiscal 2023) and February 1, 2025 (fiscal 2025).</w:t>
      </w:r>
    </w:p>
    <w:p>
      <w:pPr>
        <w:spacing w:after="0" w:line="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following is a discussion of our consolidated operating results, followed by a discussion of our segment operating results. Discussions of fiscal 2022 items and year-to-year comparisons between fiscal 2023 and fiscal 2022 that are not included in this Form 10-K can be found in “Management's Discussion and Analysis of Financial Condition and Results of Operations” in Part II, Item 7 of our annual report on Form 10-K for the fiscal year ended January 28, 2023.</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3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the leading off-price apparel and home fashions retailer in the U.S. and worldwide. Our mission is to deliver great value to our customers every day. We do this by selling a rapidly changing assortment of apparel, home fashions and other merchandise at prices generally 20% to 60% below full-price retailers’ (including department, specialty, and major online retailers) regular prices on comparable merchandise, every day through our stores and six e-commerce sites. We operate over 4,900 stores through our four main segments: in the U.S., Marmaxx (which operates TJ Maxx, Marshalls, tjmaxx.com and marshalls.com) and HomeGoods (which operates HomeGoods, and Homesense); TJX Canada (which operates Winners, HomeSense and Marshalls in Canada); and TJX International (which operates TK Maxx, Homesense, tkmaxx.com, tkmaxx.de, and tkmaxx.at in Europe, and TK Maxx in Australia). In addition to our four main segments, Sierra operates retail stores and sierra.com in the U.S. The results of Sierra are included in the Marmaxx segment.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RESULTS OF OPERATIONS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Highlights of our financial performance for fiscal 2024 include the following:</w:t>
      </w:r>
    </w:p>
    <w:p>
      <w:pPr>
        <w:spacing w:after="0" w:line="109" w:lineRule="exact"/>
        <w:rPr>
          <w:sz w:val="20"/>
          <w:szCs w:val="20"/>
          <w:color w:val="auto"/>
        </w:rPr>
      </w:pPr>
    </w:p>
    <w:p>
      <w:pPr>
        <w:ind w:left="660" w:right="100" w:hanging="324"/>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17"/>
          <w:szCs w:val="17"/>
          <w:color w:val="auto"/>
        </w:rPr>
        <w:t>Net sales increased 9% to $54.2 billion for fiscal 2024 versus $49.9 billion for fiscal 2023. The 53rd week in fiscal 2024 increased net sales by an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17"/>
          <w:szCs w:val="17"/>
          <w:color w:val="auto"/>
        </w:rPr>
        <w:t>estimated 2%. As of February 3, 2024, the number of stores in operation increased approximately 2% and selling square footage increased approximately 3% compared to the end of fiscal 2023.</w:t>
      </w:r>
    </w:p>
    <w:p>
      <w:pPr>
        <w:spacing w:after="0" w:line="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17"/>
          <w:szCs w:val="17"/>
          <w:color w:val="auto"/>
        </w:rPr>
        <w:t>Consolidated comp store sales increased 5% in fiscal 2024. See Net Sales below for the definition of comp store sales.</w:t>
      </w:r>
    </w:p>
    <w:p>
      <w:pPr>
        <w:spacing w:after="0" w:line="80" w:lineRule="exact"/>
        <w:rPr>
          <w:sz w:val="20"/>
          <w:szCs w:val="20"/>
          <w:color w:val="auto"/>
        </w:rPr>
      </w:pPr>
    </w:p>
    <w:p>
      <w:pPr>
        <w:ind w:left="660" w:right="140" w:hanging="324"/>
        <w:spacing w:after="0" w:line="292" w:lineRule="auto"/>
        <w:rPr>
          <w:sz w:val="20"/>
          <w:szCs w:val="20"/>
          <w:color w:val="auto"/>
        </w:rPr>
      </w:pP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17"/>
          <w:szCs w:val="17"/>
          <w:color w:val="auto"/>
        </w:rPr>
        <w:t>Diluted earnings per share were $3.86 for fiscal 2024, which included an estimated benefit of $0.10 from the 53rd week in fiscal 2024, compared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17"/>
          <w:szCs w:val="17"/>
          <w:color w:val="auto"/>
        </w:rPr>
        <w:t>to $2.97 for fiscal 2023, which included a $0.14 net of tax charge related to the write-down and the divestiture of our minority investment in Familia.</w:t>
      </w:r>
    </w:p>
    <w:p>
      <w:pPr>
        <w:spacing w:after="0" w:line="238" w:lineRule="exact"/>
        <w:rPr>
          <w:sz w:val="20"/>
          <w:szCs w:val="20"/>
          <w:color w:val="auto"/>
        </w:rPr>
      </w:pPr>
    </w:p>
    <w:p>
      <w:pPr>
        <w:ind w:left="660" w:right="40" w:hanging="324"/>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17"/>
          <w:szCs w:val="17"/>
          <w:color w:val="auto"/>
        </w:rPr>
        <w:t>Pre-tax profit margin (the ratio of pre-tax income to net sales) for fiscal 2024 was 11.0%, which included an estimated 0.1 percentage point benefit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17"/>
          <w:szCs w:val="17"/>
          <w:color w:val="auto"/>
        </w:rPr>
        <w:t>from the 53rd week in fiscal 2024. This was a 1.7 percentage point increase compared to 9.3% for fiscal 2023, which included a 0.4 percentage point charge related to the write-down of our minority investment in Familia.</w:t>
      </w:r>
    </w:p>
    <w:p>
      <w:pPr>
        <w:spacing w:after="0" w:line="23" w:lineRule="exact"/>
        <w:rPr>
          <w:sz w:val="20"/>
          <w:szCs w:val="20"/>
          <w:color w:val="auto"/>
        </w:rPr>
      </w:pPr>
    </w:p>
    <w:p>
      <w:pPr>
        <w:ind w:left="660" w:right="160" w:hanging="324"/>
        <w:spacing w:after="0" w:line="304" w:lineRule="auto"/>
        <w:rPr>
          <w:sz w:val="20"/>
          <w:szCs w:val="20"/>
          <w:color w:val="auto"/>
        </w:rPr>
      </w:pP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17"/>
          <w:szCs w:val="17"/>
          <w:color w:val="auto"/>
        </w:rPr>
        <w:t>Our cost of sales, including buying and occupancy costs, ratio for fiscal 2024 was 70.0%, a 2.4 percentage point decrease compared to 72.4% for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17"/>
          <w:szCs w:val="17"/>
          <w:color w:val="auto"/>
        </w:rPr>
        <w:t>fiscal 2023.</w:t>
      </w:r>
    </w:p>
    <w:p>
      <w:pPr>
        <w:spacing w:after="0" w:line="1" w:lineRule="exact"/>
        <w:rPr>
          <w:sz w:val="20"/>
          <w:szCs w:val="20"/>
          <w:color w:val="auto"/>
        </w:rPr>
      </w:pPr>
    </w:p>
    <w:p>
      <w:pPr>
        <w:ind w:left="660" w:right="20" w:hanging="324"/>
        <w:spacing w:after="0" w:line="314" w:lineRule="auto"/>
        <w:rPr>
          <w:sz w:val="20"/>
          <w:szCs w:val="20"/>
          <w:color w:val="auto"/>
        </w:rPr>
      </w:pP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17"/>
          <w:szCs w:val="17"/>
          <w:color w:val="auto"/>
        </w:rPr>
        <w:t>Our selling, general and administrative (“SG&amp;A”) expense ratio for fiscal 2024 was 19.3%, a 1.4 percentage point increase compared to 17.9% for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17"/>
          <w:szCs w:val="17"/>
          <w:color w:val="auto"/>
        </w:rPr>
        <w:t>fiscal 2023.</w:t>
      </w:r>
    </w:p>
    <w:p>
      <w:pPr>
        <w:spacing w:after="0" w:line="10" w:lineRule="exact"/>
        <w:rPr>
          <w:sz w:val="20"/>
          <w:szCs w:val="20"/>
          <w:color w:val="auto"/>
        </w:rPr>
      </w:pPr>
    </w:p>
    <w:p>
      <w:pPr>
        <w:ind w:left="660" w:right="220" w:hanging="324"/>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17"/>
          <w:szCs w:val="17"/>
          <w:color w:val="auto"/>
        </w:rPr>
        <w:t>Our consolidated average per store inventories, including inventory on hand at our distribution centers (which excludes inventory in transit)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17"/>
          <w:szCs w:val="17"/>
          <w:color w:val="auto"/>
        </w:rPr>
        <w:t>excluding our e-commerce sites and Sierra stores, were up 1% on both a reported basis and constant currency basis at the end of fiscal 2024 as compared to the prior year.</w:t>
      </w:r>
    </w:p>
    <w:p>
      <w:pPr>
        <w:spacing w:after="0" w:line="50" w:lineRule="exact"/>
        <w:rPr>
          <w:sz w:val="20"/>
          <w:szCs w:val="20"/>
          <w:color w:val="auto"/>
        </w:rPr>
      </w:pPr>
    </w:p>
    <w:p>
      <w:pPr>
        <w:ind w:left="660" w:right="280" w:hanging="324"/>
        <w:spacing w:after="0" w:line="314" w:lineRule="auto"/>
        <w:rPr>
          <w:sz w:val="20"/>
          <w:szCs w:val="20"/>
          <w:color w:val="auto"/>
        </w:rPr>
      </w:pP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17"/>
          <w:szCs w:val="17"/>
          <w:color w:val="auto"/>
        </w:rPr>
        <w:t>During fiscal 2024, we returned $4.0 billion to our shareholders through share repurchases and dividends. A dividend of $0.3325 per share was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17"/>
          <w:szCs w:val="17"/>
          <w:color w:val="auto"/>
        </w:rPr>
        <w:t>declared in the fourth quarter of fiscal 2024 and paid in March 2024.</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Results as a Percentage of Net Sales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sets forth our consolidated operating results as a percentage of net sales.</w:t>
            </w:r>
          </w:p>
        </w:tc>
        <w:tc>
          <w:tcPr>
            <w:tcW w:w="17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57"/>
        </w:trPr>
        <w:tc>
          <w:tcPr>
            <w:tcW w:w="8080" w:type="dxa"/>
            <w:vAlign w:val="bottom"/>
          </w:tcPr>
          <w:p>
            <w:pPr>
              <w:spacing w:after="0"/>
              <w:rPr>
                <w:sz w:val="22"/>
                <w:szCs w:val="22"/>
                <w:color w:val="auto"/>
              </w:rPr>
            </w:pPr>
          </w:p>
        </w:tc>
        <w:tc>
          <w:tcPr>
            <w:tcW w:w="3160" w:type="dxa"/>
            <w:vAlign w:val="bottom"/>
            <w:tcBorders>
              <w:bottom w:val="single" w:sz="8" w:color="auto"/>
            </w:tcBorders>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Percentage of Net Sales</w:t>
            </w:r>
          </w:p>
        </w:tc>
      </w:tr>
      <w:tr>
        <w:trPr>
          <w:trHeight w:val="223"/>
        </w:trPr>
        <w:tc>
          <w:tcPr>
            <w:tcW w:w="80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Fiscal 2024</w:t>
            </w:r>
          </w:p>
        </w:tc>
        <w:tc>
          <w:tcPr>
            <w:tcW w:w="14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Fiscal 2023</w:t>
            </w:r>
          </w:p>
        </w:tc>
      </w:tr>
      <w:tr>
        <w:trPr>
          <w:trHeight w:val="223"/>
        </w:trPr>
        <w:tc>
          <w:tcPr>
            <w:tcW w:w="8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7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 including buying and occupancy costs</w:t>
            </w:r>
          </w:p>
        </w:tc>
        <w:tc>
          <w:tcPr>
            <w:tcW w:w="17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70.0</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72.4</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7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19.3</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17.9</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on equity investment</w:t>
            </w:r>
          </w:p>
        </w:tc>
        <w:tc>
          <w:tcPr>
            <w:tcW w:w="17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r>
      <w:tr>
        <w:trPr>
          <w:trHeight w:val="229"/>
        </w:trPr>
        <w:tc>
          <w:tcPr>
            <w:tcW w:w="8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7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(0.3)</w:t>
            </w: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0.0</w:t>
            </w:r>
          </w:p>
        </w:tc>
      </w:tr>
      <w:tr>
        <w:trPr>
          <w:trHeight w:val="223"/>
        </w:trPr>
        <w:tc>
          <w:tcPr>
            <w:tcW w:w="8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7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11.0 %</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9.3 %</w:t>
            </w: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Sales</w:t>
      </w:r>
    </w:p>
    <w:p>
      <w:pPr>
        <w:spacing w:after="0" w:line="13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Net sales for fiscal 2024 totaled $54.2 billion, a 9% increase versus net sales of $49.9 billion for fiscal 2023. The increase includes a 5% increase in comp store sales, a 2% increase from the estimated impact of the 53rd week in fiscal 2024, a 2% increase from non-comp store sales and a neutral impact from foreign currency exchange rates. Net sales from our e-commerce sites combined amounted to less than 2% of total sales for both fiscal 2024 and fiscal 2023.</w:t>
      </w:r>
    </w:p>
    <w:p>
      <w:pPr>
        <w:spacing w:after="0" w:line="7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For fiscal 2023 and fiscal 2024, we have returned to our historical definition of comparable store sales (as defined below). While stores in the U.S. were open for all of fiscal 2022, a significant number of stores in TJX Canada and TJX International experienced COVID-related temporary store closures and government-mandated shopping restrictions during fiscal 2022. Therefore, in fiscal 2023, we could not measure year-over-year comparable store sales with fiscal 2022 in these geographies in a meaningful way. As a result, the comparable stores included in the fiscal 2023 measure consisted of U.S. stores only, which, for clarity, we referred to as U.S. comparable store sales (“U.S. comp store sales”), and were calculated against sales for the comparable period in fiscal 2022.</w:t>
      </w:r>
    </w:p>
    <w:p>
      <w:pPr>
        <w:spacing w:after="0" w:line="7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Comp store sales increased 5% for fiscal 2024. U.S. comp store sales were flat for fiscal 2023. Comp store sales for fiscal 2024 was driven by an increase in customer transactions. Apparel comp store sales growth (as defined below) outperformed home comp store sales growth (as defined below) for fiscal 2024.</w:t>
      </w:r>
    </w:p>
    <w:p>
      <w:pPr>
        <w:spacing w:after="0" w:line="6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of February 3, 2024, our store count increased approximately 2% and selling square footage increased approximately 3% compared to the same period last year.</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Definition of Comparable Store Sales</w:t>
      </w:r>
    </w:p>
    <w:p>
      <w:pPr>
        <w:spacing w:after="0" w:line="11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define comparable store sales, or comp store sales, to be sales of stores that have been in operation for all or a portion of two consecutive fiscal years, or in other words, stores that are starting their third fiscal year of operation. We calculate comp store sales on a 52-week basis by comparing the current and prior year weekly periods that are most closely aligned. Relocated stores and stores that have changed in size are generally classified in the same way as the original store, and we believe that the impact of these stores on the consolidated comp store sales percentage is immaterial.</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excluded from comp store sales (“non-comp store sales”) consist of sales from:</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New stores - stores that have not yet met the comp store sales criteria, which represents a substantial majority of non-comp store sales</w:t>
      </w:r>
    </w:p>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Stores that are closed permanently or for an extended period of time</w:t>
      </w:r>
    </w:p>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Sales from our e-commerce sites</w:t>
      </w:r>
    </w:p>
    <w:p>
      <w:pPr>
        <w:spacing w:after="0" w:line="117"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We determine which stores are included in the comp store sales calculation at the beginning of a fiscal year and the classification remains constant throughout that year unless a store is closed permanently or for an extended period during that fiscal year.</w:t>
      </w:r>
    </w:p>
    <w:p>
      <w:pPr>
        <w:spacing w:after="0" w:line="54"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Comp store sales of our foreign segments are calculated by translating the current year’s comp store sales using the prior year’s exchange rates. This removes the effect of changes in currency exchange rates, which we believe is a more accurate measure of segment operating performance.</w:t>
      </w:r>
    </w:p>
    <w:p>
      <w:pPr>
        <w:spacing w:after="0" w:line="5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Comp store sales may be referred to as “same store” sales by other retail companies. The method for calculating comp store sales varies across the retail industry; therefore, our measure of comp store sales may not be comparable to that of other retail companies. Comparable store sales for a category such as home or apparel include sales from merchandise within such category combined across all divisions at the stores that fall within the Company’s definition of comparable stores for such period.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29" w:name="page30"/>
    <w:bookmarkEnd w:id="29"/>
    <w:p>
      <w:pPr>
        <w:ind w:right="180"/>
        <w:spacing w:after="0" w:line="266" w:lineRule="auto"/>
        <w:rPr>
          <w:sz w:val="20"/>
          <w:szCs w:val="20"/>
          <w:color w:val="auto"/>
        </w:rPr>
      </w:pPr>
      <w:r>
        <w:rPr>
          <w:rFonts w:ascii="Times New Roman" w:cs="Times New Roman" w:eastAsia="Times New Roman" w:hAnsi="Times New Roman"/>
          <w:sz w:val="18"/>
          <w:szCs w:val="18"/>
          <w:color w:val="auto"/>
        </w:rPr>
        <w:t>Historically, we defined customer traffic to be the number of transactions in stores included in the comp store sales calculation; going forward we refer to this as customer transactions. We define average ticket to be the average retail price of the units sold. We define average basket to be the average dollar value of transactions.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Revenues by Geography</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The percentages of our consolidated revenues by geography for the last two fiscal years are as follows:</w:t>
            </w:r>
          </w:p>
        </w:tc>
        <w:tc>
          <w:tcPr>
            <w:tcW w:w="19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57"/>
        </w:trPr>
        <w:tc>
          <w:tcPr>
            <w:tcW w:w="794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Fiscal 2024</w:t>
            </w:r>
          </w:p>
        </w:tc>
        <w:tc>
          <w:tcPr>
            <w:tcW w:w="14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Fiscal 2023</w:t>
            </w:r>
          </w:p>
        </w:tc>
      </w:tr>
      <w:tr>
        <w:trPr>
          <w:trHeight w:val="22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9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7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Northeast</w:t>
            </w:r>
          </w:p>
        </w:tc>
        <w:tc>
          <w:tcPr>
            <w:tcW w:w="19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22 %</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29"/>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Midwest</w:t>
            </w:r>
          </w:p>
        </w:tc>
        <w:tc>
          <w:tcPr>
            <w:tcW w:w="19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13</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7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South (including Puerto Rico)</w:t>
            </w:r>
          </w:p>
        </w:tc>
        <w:tc>
          <w:tcPr>
            <w:tcW w:w="19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28</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79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West</w:t>
            </w:r>
          </w:p>
        </w:tc>
        <w:tc>
          <w:tcPr>
            <w:tcW w:w="19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15</w:t>
            </w: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7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United States</w:t>
            </w:r>
          </w:p>
        </w:tc>
        <w:tc>
          <w:tcPr>
            <w:tcW w:w="19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78 %</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w:t>
            </w: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9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9</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9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12</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7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Australia</w:t>
            </w:r>
          </w:p>
        </w:tc>
        <w:tc>
          <w:tcPr>
            <w:tcW w:w="19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w:t>
            </w: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79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Total TJX</w:t>
            </w:r>
          </w:p>
        </w:tc>
        <w:tc>
          <w:tcPr>
            <w:tcW w:w="19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100 %</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Impact of Foreign Currency Exchange Rates</w:t>
      </w:r>
    </w:p>
    <w:p>
      <w:pPr>
        <w:spacing w:after="0" w:line="13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operating results are affected by foreign currency exchange rates as a result of changes in the value of the U.S. dollar or a division’s local currency in relation to other currencies. We specifically refer to “foreign currency” as the impact of translational foreign currency exchange and mark-to-market of inventory derivatives, as described in detail below. This does not include the impact foreign currency exchange rates can have on various transactions that are denominated in a currency other than an operating division’s local currency, which is referred to as “transactional foreign exchange,” and also described below.</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Translation Foreign Exchange</w:t>
      </w:r>
    </w:p>
    <w:p>
      <w:pPr>
        <w:spacing w:after="0" w:line="11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our consolidated financial statements, we translate the operations of TJX Canada and TJX International from local currencies into U.S. dollars using currency rates in effect at different points in time. Significant changes in foreign exchange rates between comparable prior periods can result in meaningful variations in assets, liabilities, net sales, net income and earnings per share as well as the net sales and operating results of these segments. Currency translation generally does not affect operating margins, or affects them only slightly, as sales and expenses of the foreign operations are translated at approximately the same rates within a given period.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Mark-to-Market Inventory Derivatives</w:t>
      </w:r>
    </w:p>
    <w:p>
      <w:pPr>
        <w:spacing w:after="0" w:line="130"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We routinely enter into inventory-related hedging instruments to mitigate the impact on earnings of changes in foreign currency exchange rates on merchandise purchases denominated in currencies other than the local currencies of our divisions, principally TJX Canada and TJX International. As we have not elected “hedge accounting” for these instruments, as defined by U.S. generally accepted accounting principles (“GAAP”), we record a mark-to-market gain or loss on the derivative instruments in our results of operations at the end of each reporting period. In subsequent periods, the income statement impact of the mark-to-market adjustment is effectively offset when the inventory being hedged is paid for. While these effects occur every reporting period, they are of much greater magnitude when there are sudden and significant changes in currency exchange rates during a short period of time. The mark-to-market adjustment on these derivatives does not affect net sales, but it does affect the cost of sales, operating margins and earnings we report.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Transactional Foreign Exchange</w:t>
      </w:r>
    </w:p>
    <w:p>
      <w:pPr>
        <w:spacing w:after="0" w:line="13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When discussing the impact on our results of the effect of foreign currency exchange rates on certain transactions, we refer to it as “transactional foreign exchange”. This primarily includes the impact that foreign currency exchange rates may have on the year-over-year comparison of merchandise margin as well as “foreign currency gains and losses” on transactions that are denominated in a currency other than the operating division's local currency. These two items can impact segment margin comparison of our foreign divisions and we have highlighted them when they are meaningful to understanding operating trends.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Cost of Sales, Including Buying and Occupancy Costs</w:t>
      </w:r>
    </w:p>
    <w:p>
      <w:pPr>
        <w:spacing w:after="0" w:line="11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Cost of sales, including buying and occupancy costs, as a percentage of net sales was 70.0% for fiscal 2024, a decrease of 2.4 percentage points compared to 72.4% of net sales for fiscal 2023.</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0" w:name="page31"/>
    <w:bookmarkEnd w:id="30"/>
    <w:p>
      <w:pPr>
        <w:ind w:right="80"/>
        <w:spacing w:after="0" w:line="282" w:lineRule="auto"/>
        <w:rPr>
          <w:sz w:val="20"/>
          <w:szCs w:val="20"/>
          <w:color w:val="auto"/>
        </w:rPr>
      </w:pPr>
      <w:r>
        <w:rPr>
          <w:rFonts w:ascii="Times New Roman" w:cs="Times New Roman" w:eastAsia="Times New Roman" w:hAnsi="Times New Roman"/>
          <w:sz w:val="18"/>
          <w:szCs w:val="18"/>
          <w:color w:val="auto"/>
        </w:rPr>
        <w:t>The decrease in the cost of sales ratio, including buying and occupancy costs, was primarily attributable to higher merchandise margin due to lower freight costs.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Selling, General and Administrative Expenses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expenses, as a percentage of net sales, were 19.3% for fiscal 2024, an increase of 1.4 percentage points compared to 17.9% for fiscal 2023.</w:t>
      </w:r>
    </w:p>
    <w:p>
      <w:pPr>
        <w:spacing w:after="0" w:line="117"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increase in SG&amp;A ratio for fiscal 2024 was attributable to higher incentive compensation costs and incremental store wage and payroll costs. In addition, this increase reflects a reserve related to a German government COVID program receivable, costs related to the closing of our HomeGoods e-commerce business and a contribution to our U.S. charitable foundation.</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Impairment on Equity Investment</w:t>
      </w:r>
    </w:p>
    <w:p>
      <w:pPr>
        <w:spacing w:after="0" w:line="116"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During fiscal 2023, we announced and completed the divestiture of our minority investment in Familia. As a result, we recorded an impairment charge of $218 million in the first quarter of fiscal 2023 representing the entire carrying value of the investment. Additionally, we realized a $54 million tax benefit when we completed the divestiture of this investment during the third quarter of fiscal 2023.</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(Income) Expense, net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interest (income) expense, net for the last two fiscal years are summarized below:</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57"/>
        </w:trPr>
        <w:tc>
          <w:tcPr>
            <w:tcW w:w="83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700" w:type="dxa"/>
            <w:vAlign w:val="bottom"/>
            <w:tcBorders>
              <w:bottom w:val="single" w:sz="8" w:color="auto"/>
            </w:tcBorders>
            <w:gridSpan w:val="3"/>
          </w:tcPr>
          <w:p>
            <w:pPr>
              <w:jc w:val="right"/>
              <w:ind w:right="690"/>
              <w:spacing w:after="0"/>
              <w:rPr>
                <w:sz w:val="20"/>
                <w:szCs w:val="20"/>
                <w:color w:val="auto"/>
              </w:rPr>
            </w:pPr>
            <w:r>
              <w:rPr>
                <w:rFonts w:ascii="Times New Roman" w:cs="Times New Roman" w:eastAsia="Times New Roman" w:hAnsi="Times New Roman"/>
                <w:sz w:val="18"/>
                <w:szCs w:val="18"/>
                <w:color w:val="auto"/>
              </w:rPr>
              <w:t>Fiscal Year Ended</w:t>
            </w:r>
          </w:p>
        </w:tc>
      </w:tr>
      <w:tr>
        <w:trPr>
          <w:trHeight w:val="169"/>
        </w:trPr>
        <w:tc>
          <w:tcPr>
            <w:tcW w:w="8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center"/>
              <w:ind w:right="110"/>
              <w:spacing w:after="0" w:line="169" w:lineRule="exact"/>
              <w:rPr>
                <w:sz w:val="20"/>
                <w:szCs w:val="20"/>
                <w:color w:val="auto"/>
              </w:rPr>
            </w:pPr>
            <w:r>
              <w:rPr>
                <w:rFonts w:ascii="Times New Roman" w:cs="Times New Roman" w:eastAsia="Times New Roman" w:hAnsi="Times New Roman"/>
                <w:sz w:val="18"/>
                <w:szCs w:val="18"/>
                <w:b w:val="1"/>
                <w:bCs w:val="1"/>
                <w:color w:val="auto"/>
                <w:w w:val="98"/>
              </w:rPr>
              <w:t>February 3,</w:t>
            </w:r>
          </w:p>
        </w:tc>
        <w:tc>
          <w:tcPr>
            <w:tcW w:w="200" w:type="dxa"/>
            <w:vAlign w:val="bottom"/>
          </w:tcPr>
          <w:p>
            <w:pPr>
              <w:spacing w:after="0"/>
              <w:rPr>
                <w:sz w:val="14"/>
                <w:szCs w:val="14"/>
                <w:color w:val="auto"/>
              </w:rPr>
            </w:pPr>
          </w:p>
        </w:tc>
        <w:tc>
          <w:tcPr>
            <w:tcW w:w="1240" w:type="dxa"/>
            <w:vAlign w:val="bottom"/>
          </w:tcPr>
          <w:p>
            <w:pPr>
              <w:jc w:val="right"/>
              <w:ind w:right="210"/>
              <w:spacing w:after="0" w:line="169" w:lineRule="exact"/>
              <w:rPr>
                <w:sz w:val="20"/>
                <w:szCs w:val="20"/>
                <w:color w:val="auto"/>
              </w:rPr>
            </w:pPr>
            <w:r>
              <w:rPr>
                <w:rFonts w:ascii="Times New Roman" w:cs="Times New Roman" w:eastAsia="Times New Roman" w:hAnsi="Times New Roman"/>
                <w:sz w:val="18"/>
                <w:szCs w:val="18"/>
                <w:color w:val="auto"/>
              </w:rPr>
              <w:t>January 28,</w:t>
            </w:r>
          </w:p>
        </w:tc>
      </w:tr>
      <w:tr>
        <w:trPr>
          <w:trHeight w:val="241"/>
        </w:trPr>
        <w:tc>
          <w:tcPr>
            <w:tcW w:w="8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r>
      <w:tr>
        <w:trPr>
          <w:trHeight w:val="225"/>
        </w:trPr>
        <w:tc>
          <w:tcPr>
            <w:tcW w:w="8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(53 weeks)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2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interest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8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(249)</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3"/>
        </w:trPr>
        <w:tc>
          <w:tcPr>
            <w:tcW w:w="83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bl>
    <w:p>
      <w:pPr>
        <w:spacing w:after="0" w:line="17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change in interest (income) expense, net for fiscal 2024 compared to fiscal 2023 was due to an increase in interest income driven by an increase in prevailing rates and a higher average cash balance.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Provision for Income Taxes</w:t>
      </w:r>
    </w:p>
    <w:p>
      <w:pPr>
        <w:spacing w:after="0" w:line="130"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7"/>
          <w:szCs w:val="17"/>
          <w:color w:val="auto"/>
        </w:rPr>
        <w:t>In 2021, the Organization for Economic Co-operation and Development announced an Inclusive Framework on Base Erosion and Profit Shifting including Pillar Two Model Rules defining the global minimum tax, which calls for the taxation of large multinational corporations at a minimum rate of 15%. Subsequently multiple sets of administrative guidance have been issued. Many non-US tax jurisdictions have either recently enacted legislation to adopt certain components of the Pillar Two Model Rules beginning in 2024 with the adoption of additional components in later years or announced their plans to enact legislation in future years. Considering we do not have material operations in jurisdictions with tax rates lower than the Pillar Two minimum, these rules are not expected to materially increase our global tax costs. There remains uncertainty as to the final Pillar Two model rules. We are continuing to evaluate the impacts of enacted legislation and pending legislation to enact Pillar Two Model Rules in the non-US tax jurisdictions we operate in.</w:t>
      </w:r>
    </w:p>
    <w:p>
      <w:pPr>
        <w:spacing w:after="0" w:line="6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August 2022, the Inflation Reduction Act of 2022 (“IRA”), was signed into law. Among other things, the IRA imposes a 15% corporate alternative minimum tax (the “Corporate AMT”) for tax years beginning after December 31, 2022 and levies a 1% excise tax on net stock repurchases after December 31, 2022. The excise tax on the net stock repurchase, Corporate AMT, or other provisions of the IRA did not have a material impact on our results of operations or financial position in fiscal 2024 or fiscal 2023.</w:t>
      </w:r>
    </w:p>
    <w:p>
      <w:pPr>
        <w:spacing w:after="0" w:line="7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effective income tax rate was 25.0% for fiscal 2024 compared to 24.5% for fiscal 2023. The increase in the fiscal 2024 effective income tax rate is primarily due to an increase of nondeductible items and a reduction of excess tax benefits from share-based compensation.</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Income and Diluted Earnings Per Share</w:t>
      </w:r>
    </w:p>
    <w:p>
      <w:pPr>
        <w:spacing w:after="0" w:line="13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Net income was $4.5 billion in fiscal 2024 compared to $3.5 billion in fiscal 2023. Diluted earnings per share in fiscal 2024 were $3.86 compared to $2.97 in fiscal 2023. The 53rd week in fiscal 2024 provided an estimated benefit of $0.10 per share. The $218 million impairment on our previously-held minority investment in Familia, net of the $54 million tax benefit, had a $0.14 negative impact on diluted earnings per share for fiscal 2023. Foreign currency had a neutral impact on diluted earnings per share in fiscal 2024 compared to a 0.06 negative impact on diluted earnings per share in fiscal 2023.</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0"/>
          <w:szCs w:val="20"/>
          <w:b w:val="1"/>
          <w:bCs w:val="1"/>
          <w:i w:val="1"/>
          <w:iCs w:val="1"/>
          <w:color w:val="auto"/>
        </w:rPr>
        <w:t>Segment Information</w:t>
      </w:r>
    </w:p>
    <w:p>
      <w:pPr>
        <w:spacing w:after="0" w:line="13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operate four main business segments. In the United States, our Marmaxx segment operates TJ Maxx, Marshalls, tjmaxx.com and marshalls.com and our HomeGoods segment operates HomeGoods and Homesense. Our TJX Canada segment operates Winners, HomeSense and Marshalls in Canada, and our TJX International segment operates TK Maxx, Homesense, tkmaxx.com, tkmaxx.de, and tkmaxx.at in Europe and TK Maxx in Australia. In addition to our four main segments, Sierra operates retail stores and sierra.com in the U.S. The results of Sierra are included in the Marmaxx segment.</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evaluate the performance of our segments based on “segment profit or loss,” which we define as pre-tax income or loss before general corporate expense and interest (income) expense, net, and certain separately disclosed unusual or infrequent items. “Segment profit or loss,” as we define the term, may not be comparable to similarly titled measures used by other companies. The terms “segment margin” or “segment profit margin” are used to describe segment profit or loss as a percentage of net sales. These measures of performance should not be considered an alternative to net income or cash flows from operating activities as an indicator of our performance or as a measure of liquidity.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Presented below is selected financial information related to our business segments.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0"/>
          <w:szCs w:val="20"/>
          <w:b w:val="1"/>
          <w:bCs w:val="1"/>
          <w:color w:val="auto"/>
        </w:rPr>
        <w:t>U.S. SEGMENTS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Marmaxx</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3"/>
          </w:tcPr>
          <w:p>
            <w:pPr>
              <w:jc w:val="right"/>
              <w:ind w:right="830"/>
              <w:spacing w:after="0"/>
              <w:rPr>
                <w:sz w:val="20"/>
                <w:szCs w:val="20"/>
                <w:color w:val="auto"/>
              </w:rPr>
            </w:pPr>
            <w:r>
              <w:rPr>
                <w:rFonts w:ascii="Times New Roman" w:cs="Times New Roman" w:eastAsia="Times New Roman" w:hAnsi="Times New Roman"/>
                <w:sz w:val="18"/>
                <w:szCs w:val="18"/>
                <w:color w:val="auto"/>
              </w:rPr>
              <w:t>Fiscal Year Ended</w:t>
            </w:r>
          </w:p>
        </w:tc>
      </w:tr>
      <w:tr>
        <w:trPr>
          <w:trHeight w:val="174"/>
        </w:trPr>
        <w:tc>
          <w:tcPr>
            <w:tcW w:w="8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jc w:val="center"/>
              <w:ind w:right="130"/>
              <w:spacing w:after="0" w:line="174" w:lineRule="exact"/>
              <w:rPr>
                <w:sz w:val="20"/>
                <w:szCs w:val="20"/>
                <w:color w:val="auto"/>
              </w:rPr>
            </w:pPr>
            <w:r>
              <w:rPr>
                <w:rFonts w:ascii="Times New Roman" w:cs="Times New Roman" w:eastAsia="Times New Roman" w:hAnsi="Times New Roman"/>
                <w:sz w:val="18"/>
                <w:szCs w:val="18"/>
                <w:b w:val="1"/>
                <w:bCs w:val="1"/>
                <w:color w:val="auto"/>
              </w:rPr>
              <w:t>February 3,</w:t>
            </w:r>
          </w:p>
        </w:tc>
        <w:tc>
          <w:tcPr>
            <w:tcW w:w="240" w:type="dxa"/>
            <w:vAlign w:val="bottom"/>
          </w:tcPr>
          <w:p>
            <w:pPr>
              <w:spacing w:after="0"/>
              <w:rPr>
                <w:sz w:val="15"/>
                <w:szCs w:val="15"/>
                <w:color w:val="auto"/>
              </w:rPr>
            </w:pPr>
          </w:p>
        </w:tc>
        <w:tc>
          <w:tcPr>
            <w:tcW w:w="1320" w:type="dxa"/>
            <w:vAlign w:val="bottom"/>
          </w:tcPr>
          <w:p>
            <w:pPr>
              <w:jc w:val="right"/>
              <w:ind w:right="270"/>
              <w:spacing w:after="0" w:line="174" w:lineRule="exact"/>
              <w:rPr>
                <w:sz w:val="20"/>
                <w:szCs w:val="20"/>
                <w:color w:val="auto"/>
              </w:rPr>
            </w:pPr>
            <w:r>
              <w:rPr>
                <w:rFonts w:ascii="Times New Roman" w:cs="Times New Roman" w:eastAsia="Times New Roman" w:hAnsi="Times New Roman"/>
                <w:sz w:val="18"/>
                <w:szCs w:val="18"/>
                <w:color w:val="auto"/>
              </w:rPr>
              <w:t>January 28,</w:t>
            </w:r>
          </w:p>
        </w:tc>
      </w:tr>
      <w:tr>
        <w:trPr>
          <w:trHeight w:val="238"/>
        </w:trPr>
        <w:tc>
          <w:tcPr>
            <w:tcW w:w="8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 dollars in millions</w:t>
            </w: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8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(53 weeks)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33,413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30,545</w:t>
            </w: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profit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4,597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3,883</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profit margin</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13.8 %</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12.7 %</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 store sales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6 %</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Stores in operation at end of period:</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TJ Maxx</w:t>
            </w:r>
          </w:p>
        </w:tc>
        <w:tc>
          <w:tcPr>
            <w:tcW w:w="220" w:type="dxa"/>
            <w:vAlign w:val="bottom"/>
          </w:tcPr>
          <w:p>
            <w:pPr>
              <w:spacing w:after="0"/>
              <w:rPr>
                <w:sz w:val="19"/>
                <w:szCs w:val="19"/>
                <w:color w:val="auto"/>
              </w:rPr>
            </w:pP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1,319</w:t>
            </w:r>
          </w:p>
        </w:tc>
        <w:tc>
          <w:tcPr>
            <w:tcW w:w="24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1,299</w:t>
            </w:r>
          </w:p>
        </w:tc>
      </w:tr>
      <w:tr>
        <w:trPr>
          <w:trHeight w:val="229"/>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Marshalls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1,197</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1,183</w:t>
            </w:r>
          </w:p>
        </w:tc>
      </w:tr>
      <w:tr>
        <w:trPr>
          <w:trHeight w:val="229"/>
        </w:trPr>
        <w:tc>
          <w:tcPr>
            <w:tcW w:w="80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Sierra</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95</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78</w:t>
            </w:r>
          </w:p>
        </w:tc>
      </w:tr>
      <w:tr>
        <w:trPr>
          <w:trHeight w:val="223"/>
        </w:trPr>
        <w:tc>
          <w:tcPr>
            <w:tcW w:w="808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2,611</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2,560</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square footage at end of period (in millions):</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TJ Maxx</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29</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Marshalls</w:t>
            </w:r>
          </w:p>
        </w:tc>
        <w:tc>
          <w:tcPr>
            <w:tcW w:w="220" w:type="dxa"/>
            <w:vAlign w:val="bottom"/>
          </w:tcPr>
          <w:p>
            <w:pPr>
              <w:spacing w:after="0"/>
              <w:rPr>
                <w:sz w:val="19"/>
                <w:szCs w:val="19"/>
                <w:color w:val="auto"/>
              </w:rPr>
            </w:pP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27</w:t>
            </w:r>
          </w:p>
        </w:tc>
        <w:tc>
          <w:tcPr>
            <w:tcW w:w="24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80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Sierra</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0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57</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56</w:t>
            </w: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Sales</w:t>
      </w:r>
    </w:p>
    <w:p>
      <w:pPr>
        <w:spacing w:after="0" w:line="11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Net sales for Marmaxx were $33.4 billion for fiscal 2024, an increase of 9% compared to $30.5 billion for fiscal 2023. The increase in net sales reflects a 6% increase from comp store sales, a 2% increase from the estimated impact of the 53rd week and a 1% increase from non-comp store sales.</w:t>
      </w:r>
    </w:p>
    <w:p>
      <w:pPr>
        <w:spacing w:after="0" w:line="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increase in comp store sales for fiscal 2024 was driven by an increase in customer transactions. For fiscal 2024, Marmaxx had strong home and apparel comp store sales growth. All geographies generally performed in line with the overall comp store sales increase.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Segment Profit Margin</w:t>
      </w:r>
    </w:p>
    <w:p>
      <w:pPr>
        <w:spacing w:after="0" w:line="13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Segment profit margin increased to 13.8% for fiscal 2024 compared to a segment profit margin of 12.7% for fiscal 2023. The increase in segment profit margin was primarily driven by higher merchandise margin, partially offset by incremental store wage and payroll costs and higher incentive compensation costs. Merchandise margin reflects lower freight costs and higher markon.</w:t>
      </w:r>
    </w:p>
    <w:p>
      <w:pPr>
        <w:spacing w:after="0" w:line="6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Our Marmaxx e-commerce sites, tjmaxx.com and marshalls.com, together with sierra.com, represented less than 3% of Marmaxx’s net sales for fiscal 2024 and fiscal 2023 and did not have a significant impact on year-over-year segment margin comparisons.</w:t>
      </w:r>
    </w:p>
    <w:p>
      <w:pPr>
        <w:spacing w:after="0" w:line="54"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 fiscal 2025, we expect to add approximately 45 Marmaxx net new stores and 26 new Sierra stores, which would increase selling square footage by approximately 2%.</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0"/>
          <w:szCs w:val="20"/>
          <w:b w:val="1"/>
          <w:bCs w:val="1"/>
          <w:i w:val="1"/>
          <w:iCs w:val="1"/>
          <w:color w:val="auto"/>
        </w:rPr>
        <w:t>HomeGoods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3"/>
          </w:tcPr>
          <w:p>
            <w:pPr>
              <w:jc w:val="right"/>
              <w:ind w:right="830"/>
              <w:spacing w:after="0"/>
              <w:rPr>
                <w:sz w:val="20"/>
                <w:szCs w:val="20"/>
                <w:color w:val="auto"/>
              </w:rPr>
            </w:pPr>
            <w:r>
              <w:rPr>
                <w:rFonts w:ascii="Times New Roman" w:cs="Times New Roman" w:eastAsia="Times New Roman" w:hAnsi="Times New Roman"/>
                <w:sz w:val="18"/>
                <w:szCs w:val="18"/>
                <w:color w:val="auto"/>
              </w:rPr>
              <w:t>Fiscal Year Ended</w:t>
            </w:r>
          </w:p>
        </w:tc>
      </w:tr>
      <w:tr>
        <w:trPr>
          <w:trHeight w:val="169"/>
        </w:trPr>
        <w:tc>
          <w:tcPr>
            <w:tcW w:w="8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jc w:val="center"/>
              <w:ind w:right="130"/>
              <w:spacing w:after="0" w:line="169" w:lineRule="exact"/>
              <w:rPr>
                <w:sz w:val="20"/>
                <w:szCs w:val="20"/>
                <w:color w:val="auto"/>
              </w:rPr>
            </w:pPr>
            <w:r>
              <w:rPr>
                <w:rFonts w:ascii="Times New Roman" w:cs="Times New Roman" w:eastAsia="Times New Roman" w:hAnsi="Times New Roman"/>
                <w:sz w:val="18"/>
                <w:szCs w:val="18"/>
                <w:b w:val="1"/>
                <w:bCs w:val="1"/>
                <w:color w:val="auto"/>
              </w:rPr>
              <w:t>February 3,</w:t>
            </w:r>
          </w:p>
        </w:tc>
        <w:tc>
          <w:tcPr>
            <w:tcW w:w="240" w:type="dxa"/>
            <w:vAlign w:val="bottom"/>
          </w:tcPr>
          <w:p>
            <w:pPr>
              <w:spacing w:after="0"/>
              <w:rPr>
                <w:sz w:val="14"/>
                <w:szCs w:val="14"/>
                <w:color w:val="auto"/>
              </w:rPr>
            </w:pPr>
          </w:p>
        </w:tc>
        <w:tc>
          <w:tcPr>
            <w:tcW w:w="1320" w:type="dxa"/>
            <w:vAlign w:val="bottom"/>
          </w:tcPr>
          <w:p>
            <w:pPr>
              <w:jc w:val="right"/>
              <w:ind w:right="270"/>
              <w:spacing w:after="0" w:line="169" w:lineRule="exact"/>
              <w:rPr>
                <w:sz w:val="20"/>
                <w:szCs w:val="20"/>
                <w:color w:val="auto"/>
              </w:rPr>
            </w:pPr>
            <w:r>
              <w:rPr>
                <w:rFonts w:ascii="Times New Roman" w:cs="Times New Roman" w:eastAsia="Times New Roman" w:hAnsi="Times New Roman"/>
                <w:sz w:val="18"/>
                <w:szCs w:val="18"/>
                <w:color w:val="auto"/>
              </w:rPr>
              <w:t>January 28,</w:t>
            </w:r>
          </w:p>
        </w:tc>
      </w:tr>
      <w:tr>
        <w:trPr>
          <w:trHeight w:val="241"/>
        </w:trPr>
        <w:tc>
          <w:tcPr>
            <w:tcW w:w="8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 dollars in millions</w:t>
            </w: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r>
      <w:tr>
        <w:trPr>
          <w:trHeight w:val="225"/>
        </w:trPr>
        <w:tc>
          <w:tcPr>
            <w:tcW w:w="8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(53 weeks)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8,990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8,264</w:t>
            </w: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profit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861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522</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profit margin</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9.6 %</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 store sales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3 %</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Stores in operation at end of period:</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HomeGoods</w:t>
            </w:r>
          </w:p>
        </w:tc>
        <w:tc>
          <w:tcPr>
            <w:tcW w:w="220" w:type="dxa"/>
            <w:vAlign w:val="bottom"/>
          </w:tcPr>
          <w:p>
            <w:pPr>
              <w:spacing w:after="0"/>
              <w:rPr>
                <w:sz w:val="19"/>
                <w:szCs w:val="19"/>
                <w:color w:val="auto"/>
              </w:rPr>
            </w:pP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919</w:t>
            </w:r>
          </w:p>
        </w:tc>
        <w:tc>
          <w:tcPr>
            <w:tcW w:w="24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894</w:t>
            </w:r>
          </w:p>
        </w:tc>
      </w:tr>
      <w:tr>
        <w:trPr>
          <w:trHeight w:val="229"/>
        </w:trPr>
        <w:tc>
          <w:tcPr>
            <w:tcW w:w="80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Homesense</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55</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w:t>
            </w:r>
          </w:p>
        </w:tc>
      </w:tr>
      <w:tr>
        <w:trPr>
          <w:trHeight w:val="223"/>
        </w:trPr>
        <w:tc>
          <w:tcPr>
            <w:tcW w:w="80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974</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940</w:t>
            </w: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square footage at end of period (in millions):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HomeGoods</w:t>
            </w:r>
          </w:p>
        </w:tc>
        <w:tc>
          <w:tcPr>
            <w:tcW w:w="220" w:type="dxa"/>
            <w:vAlign w:val="bottom"/>
          </w:tcPr>
          <w:p>
            <w:pPr>
              <w:spacing w:after="0"/>
              <w:rPr>
                <w:sz w:val="19"/>
                <w:szCs w:val="19"/>
                <w:color w:val="auto"/>
              </w:rPr>
            </w:pP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17</w:t>
            </w:r>
          </w:p>
        </w:tc>
        <w:tc>
          <w:tcPr>
            <w:tcW w:w="24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80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Homesense</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0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18</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Sales</w:t>
      </w:r>
    </w:p>
    <w:p>
      <w:pPr>
        <w:spacing w:after="0" w:line="13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Net sales for HomeGoods were $9.0 billion for fiscal 2024, an increase of 9%, compared to $8.3 billion for fiscal 2023. The increase in net sales reflects a 4% increase from non-comp store sales, a 3% increase from comp store sales and a 2% increase from the estimated impact of the 53rd week.</w:t>
      </w:r>
    </w:p>
    <w:p>
      <w:pPr>
        <w:spacing w:after="0" w:line="54"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increase in comp store sales for fiscal 2024 reflected an increase in customer transactions, partially offset by a decrease in average basket. All geographies performed in line with the overall comp store sales increase.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Segment Profit Margin</w:t>
      </w:r>
    </w:p>
    <w:p>
      <w:pPr>
        <w:spacing w:after="0" w:line="116"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Segment profit margin increased to 9.6% for fiscal 2024 compared to a segment profit margin of 6.3% for fiscal 2023. The increase in segment profit margin for fiscal 2024 was primarily driven by higher merchandise margin, due to lower freight costs, partially offset by incremental store wage and payroll costs, costs related to the closing of our HomeGoods e-commerce business and higher incentive compensation costs.</w:t>
      </w:r>
    </w:p>
    <w:p>
      <w:pPr>
        <w:spacing w:after="0" w:line="6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 the third quarter of fiscal 2024, we closed our HomeGoods e-commerce business on homegoods.com, which represented less than 1% of HomeGoods net sales for both fiscal 2024 and fiscal 2023.</w:t>
      </w:r>
    </w:p>
    <w:p>
      <w:pPr>
        <w:spacing w:after="0" w:line="54"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 fiscal 2025, we expect to add approximately 40 HomeGoods stores, of which 17 are expected to be Homesense stores. This would increase selling square footage by approximately 4%.</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0"/>
          <w:szCs w:val="20"/>
          <w:b w:val="1"/>
          <w:bCs w:val="1"/>
          <w:color w:val="auto"/>
        </w:rPr>
        <w:t>FOREIGN SEGMENTS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TJX Canada</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3"/>
          </w:tcPr>
          <w:p>
            <w:pPr>
              <w:jc w:val="right"/>
              <w:ind w:right="830"/>
              <w:spacing w:after="0"/>
              <w:rPr>
                <w:sz w:val="20"/>
                <w:szCs w:val="20"/>
                <w:color w:val="auto"/>
              </w:rPr>
            </w:pPr>
            <w:r>
              <w:rPr>
                <w:rFonts w:ascii="Times New Roman" w:cs="Times New Roman" w:eastAsia="Times New Roman" w:hAnsi="Times New Roman"/>
                <w:sz w:val="18"/>
                <w:szCs w:val="18"/>
                <w:color w:val="auto"/>
              </w:rPr>
              <w:t>Fiscal Year Ended</w:t>
            </w:r>
          </w:p>
        </w:tc>
      </w:tr>
      <w:tr>
        <w:trPr>
          <w:trHeight w:val="174"/>
        </w:trPr>
        <w:tc>
          <w:tcPr>
            <w:tcW w:w="8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jc w:val="center"/>
              <w:ind w:right="130"/>
              <w:spacing w:after="0" w:line="174" w:lineRule="exact"/>
              <w:rPr>
                <w:sz w:val="20"/>
                <w:szCs w:val="20"/>
                <w:color w:val="auto"/>
              </w:rPr>
            </w:pPr>
            <w:r>
              <w:rPr>
                <w:rFonts w:ascii="Times New Roman" w:cs="Times New Roman" w:eastAsia="Times New Roman" w:hAnsi="Times New Roman"/>
                <w:sz w:val="18"/>
                <w:szCs w:val="18"/>
                <w:b w:val="1"/>
                <w:bCs w:val="1"/>
                <w:color w:val="auto"/>
              </w:rPr>
              <w:t>February 3,</w:t>
            </w:r>
          </w:p>
        </w:tc>
        <w:tc>
          <w:tcPr>
            <w:tcW w:w="240" w:type="dxa"/>
            <w:vAlign w:val="bottom"/>
          </w:tcPr>
          <w:p>
            <w:pPr>
              <w:spacing w:after="0"/>
              <w:rPr>
                <w:sz w:val="15"/>
                <w:szCs w:val="15"/>
                <w:color w:val="auto"/>
              </w:rPr>
            </w:pPr>
          </w:p>
        </w:tc>
        <w:tc>
          <w:tcPr>
            <w:tcW w:w="1320" w:type="dxa"/>
            <w:vAlign w:val="bottom"/>
          </w:tcPr>
          <w:p>
            <w:pPr>
              <w:jc w:val="center"/>
              <w:ind w:right="150"/>
              <w:spacing w:after="0" w:line="174" w:lineRule="exact"/>
              <w:rPr>
                <w:sz w:val="20"/>
                <w:szCs w:val="20"/>
                <w:color w:val="auto"/>
              </w:rPr>
            </w:pPr>
            <w:r>
              <w:rPr>
                <w:rFonts w:ascii="Times New Roman" w:cs="Times New Roman" w:eastAsia="Times New Roman" w:hAnsi="Times New Roman"/>
                <w:sz w:val="18"/>
                <w:szCs w:val="18"/>
                <w:color w:val="auto"/>
              </w:rPr>
              <w:t>January 28,</w:t>
            </w:r>
          </w:p>
        </w:tc>
      </w:tr>
      <w:tr>
        <w:trPr>
          <w:trHeight w:val="238"/>
        </w:trPr>
        <w:tc>
          <w:tcPr>
            <w:tcW w:w="8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 dollars in millions</w:t>
            </w: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23"/>
        </w:trPr>
        <w:tc>
          <w:tcPr>
            <w:tcW w:w="8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(53 weeks)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5,046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4,912</w:t>
            </w: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profit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715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690</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profit margin</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14.2 %</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14.0 %</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 store sales</w:t>
            </w:r>
            <w:r>
              <w:rPr>
                <w:rFonts w:ascii="Times New Roman" w:cs="Times New Roman" w:eastAsia="Times New Roman" w:hAnsi="Times New Roman"/>
                <w:sz w:val="10"/>
                <w:szCs w:val="10"/>
                <w:color w:val="auto"/>
              </w:rPr>
              <w:t>(a)</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3 %</w:t>
            </w:r>
          </w:p>
        </w:tc>
        <w:tc>
          <w:tcPr>
            <w:tcW w:w="240" w:type="dxa"/>
            <w:vAlign w:val="bottom"/>
          </w:tcPr>
          <w:p>
            <w:pPr>
              <w:spacing w:after="0"/>
              <w:rPr>
                <w:sz w:val="19"/>
                <w:szCs w:val="19"/>
                <w:color w:val="auto"/>
              </w:rPr>
            </w:pPr>
          </w:p>
        </w:tc>
        <w:tc>
          <w:tcPr>
            <w:tcW w:w="13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N/A</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Stores in operation at end of period:</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Winners</w:t>
            </w:r>
          </w:p>
        </w:tc>
        <w:tc>
          <w:tcPr>
            <w:tcW w:w="220" w:type="dxa"/>
            <w:vAlign w:val="bottom"/>
          </w:tcPr>
          <w:p>
            <w:pPr>
              <w:spacing w:after="0"/>
              <w:rPr>
                <w:sz w:val="19"/>
                <w:szCs w:val="19"/>
                <w:color w:val="auto"/>
              </w:rPr>
            </w:pP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302</w:t>
            </w:r>
          </w:p>
        </w:tc>
        <w:tc>
          <w:tcPr>
            <w:tcW w:w="24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297</w:t>
            </w:r>
          </w:p>
        </w:tc>
      </w:tr>
      <w:tr>
        <w:trPr>
          <w:trHeight w:val="229"/>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HomeSense</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158</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151</w:t>
            </w:r>
          </w:p>
        </w:tc>
      </w:tr>
      <w:tr>
        <w:trPr>
          <w:trHeight w:val="229"/>
        </w:trPr>
        <w:tc>
          <w:tcPr>
            <w:tcW w:w="80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Marshalls</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106</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106</w:t>
            </w:r>
          </w:p>
        </w:tc>
      </w:tr>
      <w:tr>
        <w:trPr>
          <w:trHeight w:val="223"/>
        </w:trPr>
        <w:tc>
          <w:tcPr>
            <w:tcW w:w="808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566</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554</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square footage at end of period (in millions):</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Winners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7</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HomeSense</w:t>
            </w:r>
          </w:p>
        </w:tc>
        <w:tc>
          <w:tcPr>
            <w:tcW w:w="220" w:type="dxa"/>
            <w:vAlign w:val="bottom"/>
          </w:tcPr>
          <w:p>
            <w:pPr>
              <w:spacing w:after="0"/>
              <w:rPr>
                <w:sz w:val="19"/>
                <w:szCs w:val="19"/>
                <w:color w:val="auto"/>
              </w:rPr>
            </w:pP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w:t>
            </w:r>
          </w:p>
        </w:tc>
        <w:tc>
          <w:tcPr>
            <w:tcW w:w="24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80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Marshalls</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80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12</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r>
    </w:tbl>
    <w:p>
      <w:pPr>
        <w:spacing w:after="0" w:line="126"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 store sales reported for fiscal 2024 and was not applicable for fiscal 2023.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Sales</w:t>
      </w:r>
    </w:p>
    <w:p>
      <w:pPr>
        <w:spacing w:after="0" w:line="11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Net sales for TJX Canada were $5.0 billion for fiscal 2024, an increase of 3% compared to $4.9 billion for fiscal 2023. The increase in net sales reflects a 3% increase in comp store sales, a 2% increase from the estimated impact of the 53rd week and a 1% increase in non-comp store sales, partially offset by a negative foreign currency exchange rate impact of 3%. The increase in comp store sales was driven by an increase in customer transactions, partially offset by a decrease in average basket.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Segment Profit Margin</w:t>
      </w:r>
    </w:p>
    <w:p>
      <w:pPr>
        <w:spacing w:after="0" w:line="13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Segment profit margin increased to 14.2% for fiscal 2024 compared to a segment profit margin of 14.0% for fiscal 2023. The increase for fiscal 2024 was primarily driven by favorable supply chain costs and higher merchandise margin, partially offset by a prior year release of a COVID wage subsidy reserve, higher incentive compensation and administrative costs. Merchandise margin reflects lower freight costs, partially offset by lower markon and higher markdowns.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fiscal 2025, we expect to add approximately 10 stores in Canada, which would increase selling square footage by approximately 2%.</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0"/>
          <w:szCs w:val="20"/>
          <w:b w:val="1"/>
          <w:bCs w:val="1"/>
          <w:i w:val="1"/>
          <w:iCs w:val="1"/>
          <w:color w:val="auto"/>
        </w:rPr>
        <w:t>TJX International</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3"/>
          </w:tcPr>
          <w:p>
            <w:pPr>
              <w:jc w:val="right"/>
              <w:ind w:right="830"/>
              <w:spacing w:after="0"/>
              <w:rPr>
                <w:sz w:val="20"/>
                <w:szCs w:val="20"/>
                <w:color w:val="auto"/>
              </w:rPr>
            </w:pPr>
            <w:r>
              <w:rPr>
                <w:rFonts w:ascii="Times New Roman" w:cs="Times New Roman" w:eastAsia="Times New Roman" w:hAnsi="Times New Roman"/>
                <w:sz w:val="18"/>
                <w:szCs w:val="18"/>
                <w:color w:val="auto"/>
              </w:rPr>
              <w:t>Fiscal Year Ended</w:t>
            </w:r>
          </w:p>
        </w:tc>
      </w:tr>
      <w:tr>
        <w:trPr>
          <w:trHeight w:val="169"/>
        </w:trPr>
        <w:tc>
          <w:tcPr>
            <w:tcW w:w="8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jc w:val="center"/>
              <w:ind w:right="130"/>
              <w:spacing w:after="0" w:line="169" w:lineRule="exact"/>
              <w:rPr>
                <w:sz w:val="20"/>
                <w:szCs w:val="20"/>
                <w:color w:val="auto"/>
              </w:rPr>
            </w:pPr>
            <w:r>
              <w:rPr>
                <w:rFonts w:ascii="Times New Roman" w:cs="Times New Roman" w:eastAsia="Times New Roman" w:hAnsi="Times New Roman"/>
                <w:sz w:val="18"/>
                <w:szCs w:val="18"/>
                <w:b w:val="1"/>
                <w:bCs w:val="1"/>
                <w:color w:val="auto"/>
              </w:rPr>
              <w:t>February 3,</w:t>
            </w:r>
          </w:p>
        </w:tc>
        <w:tc>
          <w:tcPr>
            <w:tcW w:w="240" w:type="dxa"/>
            <w:vAlign w:val="bottom"/>
          </w:tcPr>
          <w:p>
            <w:pPr>
              <w:spacing w:after="0"/>
              <w:rPr>
                <w:sz w:val="14"/>
                <w:szCs w:val="14"/>
                <w:color w:val="auto"/>
              </w:rPr>
            </w:pPr>
          </w:p>
        </w:tc>
        <w:tc>
          <w:tcPr>
            <w:tcW w:w="1320" w:type="dxa"/>
            <w:vAlign w:val="bottom"/>
          </w:tcPr>
          <w:p>
            <w:pPr>
              <w:jc w:val="center"/>
              <w:ind w:right="150"/>
              <w:spacing w:after="0" w:line="169" w:lineRule="exact"/>
              <w:rPr>
                <w:sz w:val="20"/>
                <w:szCs w:val="20"/>
                <w:color w:val="auto"/>
              </w:rPr>
            </w:pPr>
            <w:r>
              <w:rPr>
                <w:rFonts w:ascii="Times New Roman" w:cs="Times New Roman" w:eastAsia="Times New Roman" w:hAnsi="Times New Roman"/>
                <w:sz w:val="18"/>
                <w:szCs w:val="18"/>
                <w:color w:val="auto"/>
              </w:rPr>
              <w:t>January 28,</w:t>
            </w:r>
          </w:p>
        </w:tc>
      </w:tr>
      <w:tr>
        <w:trPr>
          <w:trHeight w:val="241"/>
        </w:trPr>
        <w:tc>
          <w:tcPr>
            <w:tcW w:w="8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 dollars in millions</w:t>
            </w: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25"/>
        </w:trPr>
        <w:tc>
          <w:tcPr>
            <w:tcW w:w="8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(53 weeks)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6,768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6,215</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profit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332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347</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profit margin</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4.9 %</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r>
      <w:tr>
        <w:trPr>
          <w:trHeight w:val="229"/>
        </w:trPr>
        <w:tc>
          <w:tcPr>
            <w:tcW w:w="80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Comp store sales</w:t>
            </w:r>
            <w:r>
              <w:rPr>
                <w:rFonts w:ascii="Times New Roman" w:cs="Times New Roman" w:eastAsia="Times New Roman" w:hAnsi="Times New Roman"/>
                <w:sz w:val="21"/>
                <w:szCs w:val="21"/>
                <w:color w:val="auto"/>
                <w:vertAlign w:val="superscript"/>
              </w:rPr>
              <w:t>(a)</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3 %</w:t>
            </w:r>
          </w:p>
        </w:tc>
        <w:tc>
          <w:tcPr>
            <w:tcW w:w="240" w:type="dxa"/>
            <w:vAlign w:val="bottom"/>
          </w:tcPr>
          <w:p>
            <w:pPr>
              <w:spacing w:after="0"/>
              <w:rPr>
                <w:sz w:val="19"/>
                <w:szCs w:val="19"/>
                <w:color w:val="auto"/>
              </w:rPr>
            </w:pPr>
          </w:p>
        </w:tc>
        <w:tc>
          <w:tcPr>
            <w:tcW w:w="13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N/A</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Stores in operation at end of period:</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TK Maxx</w:t>
            </w:r>
          </w:p>
        </w:tc>
        <w:tc>
          <w:tcPr>
            <w:tcW w:w="220" w:type="dxa"/>
            <w:vAlign w:val="bottom"/>
          </w:tcPr>
          <w:p>
            <w:pPr>
              <w:spacing w:after="0"/>
              <w:rPr>
                <w:sz w:val="19"/>
                <w:szCs w:val="19"/>
                <w:color w:val="auto"/>
              </w:rPr>
            </w:pP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644</w:t>
            </w:r>
          </w:p>
        </w:tc>
        <w:tc>
          <w:tcPr>
            <w:tcW w:w="24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629</w:t>
            </w:r>
          </w:p>
        </w:tc>
      </w:tr>
      <w:tr>
        <w:trPr>
          <w:trHeight w:val="229"/>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Homesense</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79</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78</w:t>
            </w:r>
          </w:p>
        </w:tc>
      </w:tr>
      <w:tr>
        <w:trPr>
          <w:trHeight w:val="230"/>
        </w:trPr>
        <w:tc>
          <w:tcPr>
            <w:tcW w:w="80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TK Maxx Australia</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80</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74</w:t>
            </w:r>
          </w:p>
        </w:tc>
      </w:tr>
      <w:tr>
        <w:trPr>
          <w:trHeight w:val="223"/>
        </w:trPr>
        <w:tc>
          <w:tcPr>
            <w:tcW w:w="808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803</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781</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square footage at end of period (in millions):</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TK Maxx</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13</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Homesense</w:t>
            </w:r>
          </w:p>
        </w:tc>
        <w:tc>
          <w:tcPr>
            <w:tcW w:w="220" w:type="dxa"/>
            <w:vAlign w:val="bottom"/>
          </w:tcPr>
          <w:p>
            <w:pPr>
              <w:spacing w:after="0"/>
              <w:rPr>
                <w:sz w:val="19"/>
                <w:szCs w:val="19"/>
                <w:color w:val="auto"/>
              </w:rPr>
            </w:pP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w:t>
            </w:r>
          </w:p>
        </w:tc>
        <w:tc>
          <w:tcPr>
            <w:tcW w:w="24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80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TK Maxx Australia</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0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15</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w:t>
            </w:r>
          </w:p>
        </w:tc>
      </w:tr>
    </w:tbl>
    <w:p>
      <w:pPr>
        <w:spacing w:after="0" w:line="112"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 store sales reported for fiscal 2024 and was not applicable for fiscal 2023.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Sales</w:t>
      </w:r>
    </w:p>
    <w:p>
      <w:pPr>
        <w:spacing w:after="0" w:line="130"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Net sales for TJX International were $6.8 billion for fiscal 2024, an increase of 9% compared to $6.2 billion for fiscal 2023. The increase in net sales reflects a 3% increase in comp store sales, a positive foreign currency exchange rate impact of 3%, a 2% increase from the estimated impact of the 53rd week and a 1% increase from non-comp store sales. The increase in comp store sales was driven by an increase in customer transactions.</w:t>
      </w:r>
    </w:p>
    <w:p>
      <w:pPr>
        <w:spacing w:after="0" w:line="6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E-commerce sales were approximately 3% of TJX International’s net sales for both fiscal 2024 and fiscal 2023. In addition to tkmaxx.com, during the second quarter of fiscal 2024, TJX International made online shopping available in Germany at tkmaxx.de and in Austria at tkmaxx.at.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Segment Profit Margin</w:t>
      </w:r>
    </w:p>
    <w:p>
      <w:pPr>
        <w:spacing w:after="0" w:line="11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Segment profit margin decreased to 4.9% for fiscal 2024 compared to a segment profit margin of 5.6% for fiscal 2023. This decrease was due to a reserve related to a German government COVID program receivable, higher incentive compensation and administrative costs and incremental store wage, partially offset by higher merchandise margin. Merchandise margin reflects lower freight costs and higher markon.</w:t>
      </w:r>
    </w:p>
    <w:p>
      <w:pPr>
        <w:spacing w:after="0" w:line="6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fiscal 2025, we expect to add approximately 15 net new stores in Europe and approximately 5 net new stores in Australia, which would increase selling square footage by approximately 2%.</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CORPORATE EXPENSE</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3"/>
          </w:tcPr>
          <w:p>
            <w:pPr>
              <w:jc w:val="right"/>
              <w:ind w:right="690"/>
              <w:spacing w:after="0"/>
              <w:rPr>
                <w:sz w:val="20"/>
                <w:szCs w:val="20"/>
                <w:color w:val="auto"/>
              </w:rPr>
            </w:pPr>
            <w:r>
              <w:rPr>
                <w:rFonts w:ascii="Times New Roman" w:cs="Times New Roman" w:eastAsia="Times New Roman" w:hAnsi="Times New Roman"/>
                <w:sz w:val="18"/>
                <w:szCs w:val="18"/>
                <w:color w:val="auto"/>
              </w:rPr>
              <w:t>Fiscal Year Ended</w:t>
            </w:r>
          </w:p>
        </w:tc>
      </w:tr>
      <w:tr>
        <w:trPr>
          <w:trHeight w:val="169"/>
        </w:trPr>
        <w:tc>
          <w:tcPr>
            <w:tcW w:w="8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w w:val="98"/>
              </w:rPr>
              <w:t>February 3,</w:t>
            </w:r>
          </w:p>
        </w:tc>
        <w:tc>
          <w:tcPr>
            <w:tcW w:w="240" w:type="dxa"/>
            <w:vAlign w:val="bottom"/>
          </w:tcPr>
          <w:p>
            <w:pPr>
              <w:spacing w:after="0"/>
              <w:rPr>
                <w:sz w:val="14"/>
                <w:szCs w:val="14"/>
                <w:color w:val="auto"/>
              </w:rPr>
            </w:pPr>
          </w:p>
        </w:tc>
        <w:tc>
          <w:tcPr>
            <w:tcW w:w="1240" w:type="dxa"/>
            <w:vAlign w:val="bottom"/>
          </w:tcPr>
          <w:p>
            <w:pPr>
              <w:jc w:val="center"/>
              <w:ind w:right="110"/>
              <w:spacing w:after="0" w:line="169" w:lineRule="exact"/>
              <w:rPr>
                <w:sz w:val="20"/>
                <w:szCs w:val="20"/>
                <w:color w:val="auto"/>
              </w:rPr>
            </w:pPr>
            <w:r>
              <w:rPr>
                <w:rFonts w:ascii="Times New Roman" w:cs="Times New Roman" w:eastAsia="Times New Roman" w:hAnsi="Times New Roman"/>
                <w:sz w:val="18"/>
                <w:szCs w:val="18"/>
                <w:color w:val="auto"/>
              </w:rPr>
              <w:t>January 28,</w:t>
            </w:r>
          </w:p>
        </w:tc>
      </w:tr>
      <w:tr>
        <w:trPr>
          <w:trHeight w:val="241"/>
        </w:trPr>
        <w:tc>
          <w:tcPr>
            <w:tcW w:w="8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r>
      <w:tr>
        <w:trPr>
          <w:trHeight w:val="225"/>
        </w:trPr>
        <w:tc>
          <w:tcPr>
            <w:tcW w:w="8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(53 weeks)</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8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corporate expense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708</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r>
    </w:tbl>
    <w:p>
      <w:pPr>
        <w:spacing w:after="0" w:line="11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General corporate expense for segment reporting purposes represents those costs not specifically related to the operations of our business segments. General corporate expenses are primarily included in SG&amp;A expenses. The mark-to-market adjustment of our fuel and inventory hedges is included in cost of sales, including buying and occupancy costs.</w:t>
      </w:r>
    </w:p>
    <w:p>
      <w:pPr>
        <w:spacing w:after="0" w:line="6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increase in general corporate expense for fiscal 2024 was primarily driven by higher incentive and share-based compensation costs and a contribution to TJX’s U.S. charitable foundation.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0"/>
          <w:szCs w:val="20"/>
          <w:b w:val="1"/>
          <w:bCs w:val="1"/>
          <w:color w:val="auto"/>
        </w:rPr>
        <w:t>ANALYSIS OF FINANCIAL CONDITION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Liquidity and Capital Resources</w:t>
      </w:r>
    </w:p>
    <w:p>
      <w:pPr>
        <w:spacing w:after="0" w:line="11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liquidity requirements have traditionally been funded through cash generated from operations, supplemented, as needed, by short-term bank borrowings and the issuance of commercial paper. As of February 3, 2024, there were no short-term bank borrowings or commercial paper outstanding. We believe our existing cash and cash equivalents, internally generated funds and our credit facilities, under which facilities we have $1.5 billion available as of the period ended February 3, 2024, as described in Note J—Long-Term Debt and Credit Lines of Notes to Consolidated Financial Statements, are adequate to meet our operating needs for the foreseeable future.</w:t>
      </w:r>
    </w:p>
    <w:p>
      <w:pPr>
        <w:spacing w:after="0" w:line="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of February 3, 2024, we held $5.6 billion in cash. Approximately $1.4 billion of our cash was held by our foreign subsidiaries with $804 million held in countries where we intend to indefinitely reinvest any undistributed earnings. We have provided for all applicable state and foreign withholding taxes on all undistributed earnings of our foreign subsidiaries in Canada, Puerto Rico, Italy, India, Hong Kong and Vietnam through February 3, 2024. If we repatriate cash from such subsidiaries, we should not incur additional tax expense and our cash would be reduced by the amount of withholding taxes paid.</w:t>
      </w:r>
    </w:p>
    <w:p>
      <w:pPr>
        <w:spacing w:after="0" w:line="7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monitor debt financing markets on an ongoing basis and from time to time may incur additional long-term indebtedness depending on prevailing market conditions, liquidity requirements, existing economic conditions and other factors. In fiscal 2024, we have used, and in the future we may continue to use, operating cash flow and cash on hand to repay portions of our indebtedness, depending on prevailing market conditions, liquidity requirements, existing economic conditions, contractual restrictions and other factors. As such, we may, from time to time, seek to retire, redeem, prepay or purchase our outstanding debt through redemptions, cash purchases, prepayments, refinancings and/or exchanges, in open market purchases, privately negotiated transactions, by tender offer or otherwise. If we use our operating cash flow and/or cash on hand to repay our debt, it will reduce the amount of cash available for additional capital expenditures.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Operating Activities</w:t>
      </w:r>
    </w:p>
    <w:p>
      <w:pPr>
        <w:spacing w:after="0" w:line="13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$6.1 billion in fiscal 2024 and $4.1 billion in fiscal 2023. Our operating cash flows increased by $2 billion compared to fiscal 2023 primarily due to a $1 billion increase in net income, a $466 million increase in accrued expenses reflecting higher incentive compensation costs and a $461 million change in merchandise inventories net of accounts payable.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Investing Activities</w:t>
      </w:r>
    </w:p>
    <w:p>
      <w:pPr>
        <w:spacing w:after="0" w:line="116"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Investing activities resulted in net cash outflows of $1.7 billion in fiscal 2024 and $1.5 billion in fiscal 2023. The cash outflows for both periods were primarily driven by capital expenditures.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 include capital expenditures for the last two fiscal years as set forth in the table below:</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3"/>
          </w:tcPr>
          <w:p>
            <w:pPr>
              <w:jc w:val="right"/>
              <w:ind w:right="690"/>
              <w:spacing w:after="0"/>
              <w:rPr>
                <w:sz w:val="20"/>
                <w:szCs w:val="20"/>
                <w:color w:val="auto"/>
              </w:rPr>
            </w:pPr>
            <w:r>
              <w:rPr>
                <w:rFonts w:ascii="Times New Roman" w:cs="Times New Roman" w:eastAsia="Times New Roman" w:hAnsi="Times New Roman"/>
                <w:sz w:val="18"/>
                <w:szCs w:val="18"/>
                <w:color w:val="auto"/>
              </w:rPr>
              <w:t>Fiscal Year Ended</w:t>
            </w:r>
          </w:p>
        </w:tc>
      </w:tr>
      <w:tr>
        <w:trPr>
          <w:trHeight w:val="174"/>
        </w:trPr>
        <w:tc>
          <w:tcPr>
            <w:tcW w:w="8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ind w:right="150"/>
              <w:spacing w:after="0" w:line="174" w:lineRule="exact"/>
              <w:rPr>
                <w:sz w:val="20"/>
                <w:szCs w:val="20"/>
                <w:color w:val="auto"/>
              </w:rPr>
            </w:pPr>
            <w:r>
              <w:rPr>
                <w:rFonts w:ascii="Times New Roman" w:cs="Times New Roman" w:eastAsia="Times New Roman" w:hAnsi="Times New Roman"/>
                <w:sz w:val="18"/>
                <w:szCs w:val="18"/>
                <w:b w:val="1"/>
                <w:bCs w:val="1"/>
                <w:color w:val="auto"/>
              </w:rPr>
              <w:t>February 3,</w:t>
            </w:r>
          </w:p>
        </w:tc>
        <w:tc>
          <w:tcPr>
            <w:tcW w:w="240" w:type="dxa"/>
            <w:vAlign w:val="bottom"/>
          </w:tcPr>
          <w:p>
            <w:pPr>
              <w:spacing w:after="0"/>
              <w:rPr>
                <w:sz w:val="15"/>
                <w:szCs w:val="15"/>
                <w:color w:val="auto"/>
              </w:rPr>
            </w:pPr>
          </w:p>
        </w:tc>
        <w:tc>
          <w:tcPr>
            <w:tcW w:w="1240" w:type="dxa"/>
            <w:vAlign w:val="bottom"/>
          </w:tcPr>
          <w:p>
            <w:pPr>
              <w:jc w:val="right"/>
              <w:ind w:right="210"/>
              <w:spacing w:after="0" w:line="174" w:lineRule="exact"/>
              <w:rPr>
                <w:sz w:val="20"/>
                <w:szCs w:val="20"/>
                <w:color w:val="auto"/>
              </w:rPr>
            </w:pPr>
            <w:r>
              <w:rPr>
                <w:rFonts w:ascii="Times New Roman" w:cs="Times New Roman" w:eastAsia="Times New Roman" w:hAnsi="Times New Roman"/>
                <w:sz w:val="18"/>
                <w:szCs w:val="18"/>
                <w:color w:val="auto"/>
              </w:rPr>
              <w:t>January 28,</w:t>
            </w:r>
          </w:p>
        </w:tc>
      </w:tr>
      <w:tr>
        <w:trPr>
          <w:trHeight w:val="238"/>
        </w:trPr>
        <w:tc>
          <w:tcPr>
            <w:tcW w:w="8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stores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30"/>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Store renovations and improvements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725</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r>
      <w:tr>
        <w:trPr>
          <w:trHeight w:val="230"/>
        </w:trPr>
        <w:tc>
          <w:tcPr>
            <w:tcW w:w="8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and distribution centers</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844</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r>
      <w:tr>
        <w:trPr>
          <w:trHeight w:val="223"/>
        </w:trPr>
        <w:tc>
          <w:tcPr>
            <w:tcW w:w="83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1,722</w:t>
            </w:r>
          </w:p>
        </w:tc>
        <w:tc>
          <w:tcPr>
            <w:tcW w:w="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1,457</w:t>
            </w:r>
          </w:p>
        </w:tc>
      </w:tr>
    </w:tbl>
    <w:p>
      <w:pPr>
        <w:spacing w:after="0" w:line="13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expect our capital expenditures in fiscal 2025 will be in the range of approximately $2.0 billion to $2.1 billion, including approximately $1.0 billion to $1.1 billion for our offices and distribution centers (including buying and merchandising systems and other information systems) to support growth, approximately $0.8 billion for store renovations and approximately $0.2 billion for new stores. We plan to fund these expenditures with our existing cash balances and through internally generated funds.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Financing Activities</w:t>
      </w:r>
    </w:p>
    <w:p>
      <w:pPr>
        <w:spacing w:after="0" w:line="13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resulted in net cash outflows of $4.2 billion in fiscal 2024 compared to net cash outflows of $3.3 billion in fiscal 2023. The cash outflows for both periods were primarily driven by equity repurchases and dividend payments. Additionally, fiscal 2024 included a $500 million debt repayment upon maturity.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11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cash outflows in fiscal 2024 were due to the repayment of our $500 million 2.500% ten-year Notes due May 2023 during the second quarter of fiscal 2024, upon maturity. See Note J—Long-Term Debt and Credit Lines of Notes to Consolidated Financial Statements for additional information.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w:t>
      </w:r>
    </w:p>
    <w:p>
      <w:pPr>
        <w:spacing w:after="0" w:line="11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Under our stock repurchase program, we paid $2.5 billion to repurchase and retire 29.0 million shares of our stock in fiscal 2024. We paid $2.3 billion to repurchase and retire 34.9 million shares of our stock in fiscal 2023.</w:t>
      </w:r>
    </w:p>
    <w:p>
      <w:pPr>
        <w:spacing w:after="0" w:line="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February 2024, we announced that our Board of Directors had approved a new stock repurchase program that authorizes the repurchase of up to an additional $2.5 billion of our common stock from time to time. We currently plan to repurchase approximately $2 billion to $2.5 billion of stock under our stock repurchase programs in fiscal 2025. We determine the timing and amount of repurchases based on our assessment of various factors including excess cash flow, liquidity, economic and market conditions, our assessment of prospects for our business, legal requirements, and other factors. The timing and amount of these purchases may change. As of February 3, 2024, approximately $3.5 billion remained available under our existing stock repurchase programs. For further information regarding equity repurchases, see Note D—Capital Stock and Earnings Per Share of Notes to Consolidated Financial Statements.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IRA levies a 1% excise tax on net stock repurchases after December 31, 2022. Beginning on January 1, 2023, these purchases are subject to the excise tax. The excise tax on the net stock repurchase portion of the IRA did not have a material impact on our results of operations or financial position in fiscal 2024 or fiscal 2023. See Note K—Income Taxes of Notes to Consolidated Financial Statements for additional information.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declared quarterly dividends on our common stock which totaled $1.33 per share in fiscal 2024 and $1.18 per share in fiscal 2023. Cash payments for dividends on our common stock totaled $1.5 billion for fiscal 2024 and $1.3 billion for fiscal 2023. We expect to pay quarterly dividends for fiscal 2025 of $0.375 per share, or an annual dividend of $1.50 per share, subject to the declaration and approval by our Board of Directors. This would represent a 13% increase over the per share dividends declared and paid in fiscal 2024.</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Contractual Obligations</w:t>
      </w:r>
    </w:p>
    <w:p>
      <w:pPr>
        <w:spacing w:after="0" w:line="13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See the descriptions of our financing arrangements, commitments and contingencies, and contractual obligations outlined below and within the following Notes to Consolidated Financial Statements.</w:t>
      </w:r>
    </w:p>
    <w:p>
      <w:pPr>
        <w:spacing w:after="0" w:line="54" w:lineRule="exact"/>
        <w:rPr>
          <w:sz w:val="20"/>
          <w:szCs w:val="20"/>
          <w:color w:val="auto"/>
        </w:rPr>
      </w:pPr>
    </w:p>
    <w:p>
      <w:pPr>
        <w:ind w:left="660" w:right="680" w:hanging="324"/>
        <w:spacing w:after="0" w:line="282" w:lineRule="auto"/>
        <w:rPr>
          <w:sz w:val="20"/>
          <w:szCs w:val="20"/>
          <w:color w:val="auto"/>
        </w:rPr>
      </w:pPr>
      <w:r>
        <w:rPr>
          <w:rFonts w:ascii="Times New Roman" w:cs="Times New Roman" w:eastAsia="Times New Roman" w:hAnsi="Times New Roman"/>
          <w:sz w:val="18"/>
          <w:szCs w:val="18"/>
          <w:color w:val="auto"/>
        </w:rPr>
        <w:t>– See Note J—Long-Term Debt and Credit Lines of Notes to Consolidated Financial Statements for future payments under long-term debt arrangements (including current installments).</w:t>
      </w:r>
    </w:p>
    <w:p>
      <w:pPr>
        <w:spacing w:after="0" w:line="26" w:lineRule="exact"/>
        <w:rPr>
          <w:sz w:val="20"/>
          <w:szCs w:val="20"/>
          <w:color w:val="auto"/>
        </w:rPr>
      </w:pPr>
    </w:p>
    <w:p>
      <w:pPr>
        <w:ind w:left="660" w:right="80" w:hanging="324"/>
        <w:spacing w:after="0" w:line="258" w:lineRule="auto"/>
        <w:rPr>
          <w:sz w:val="20"/>
          <w:szCs w:val="20"/>
          <w:color w:val="auto"/>
        </w:rPr>
      </w:pPr>
      <w:r>
        <w:rPr>
          <w:rFonts w:ascii="Times New Roman" w:cs="Times New Roman" w:eastAsia="Times New Roman" w:hAnsi="Times New Roman"/>
          <w:sz w:val="18"/>
          <w:szCs w:val="18"/>
          <w:color w:val="auto"/>
        </w:rPr>
        <w:t>– See Note L—Leases of Notes to Consolidated Financial Statements. Operating lease liabilities exclude legally binding minimum lease payments for approximately 170 leases signed but not yet commenced and include options to extend lease terms that are now deemed reasonably certain of being exercised according to our Lease Accounting Policy. The balances do not include variable costs for insurance, real estate taxes, other operating expenses and, in some cases, rent payments based on a percentage of sales; these items totaled approximately one-third of the total minimum rent for fiscal 2024.</w:t>
      </w:r>
    </w:p>
    <w:p>
      <w:pPr>
        <w:spacing w:after="0" w:line="48" w:lineRule="exact"/>
        <w:rPr>
          <w:sz w:val="20"/>
          <w:szCs w:val="20"/>
          <w:color w:val="auto"/>
        </w:rPr>
      </w:pPr>
    </w:p>
    <w:p>
      <w:pPr>
        <w:ind w:left="660" w:right="60" w:hanging="324"/>
        <w:spacing w:after="0" w:line="266" w:lineRule="auto"/>
        <w:rPr>
          <w:sz w:val="20"/>
          <w:szCs w:val="20"/>
          <w:color w:val="auto"/>
        </w:rPr>
      </w:pPr>
      <w:r>
        <w:rPr>
          <w:rFonts w:ascii="Times New Roman" w:cs="Times New Roman" w:eastAsia="Times New Roman" w:hAnsi="Times New Roman"/>
          <w:sz w:val="18"/>
          <w:szCs w:val="18"/>
          <w:color w:val="auto"/>
        </w:rPr>
        <w:t>– See Note M—Accrued Expenses and Other Liabilities, Current and Long Term of Notes to Consolidated Financial Statements for long-term liabilities for which it is not reasonably possible for us to predict when they may be paid, which includes $0.6 billion for employee compensation and benefits and $0.2 billion for uncertain tax positions.</w:t>
      </w:r>
    </w:p>
    <w:p>
      <w:pPr>
        <w:spacing w:after="0" w:line="40" w:lineRule="exact"/>
        <w:rPr>
          <w:sz w:val="20"/>
          <w:szCs w:val="20"/>
          <w:color w:val="auto"/>
        </w:rPr>
      </w:pPr>
    </w:p>
    <w:p>
      <w:pPr>
        <w:ind w:left="660" w:right="140" w:hanging="324"/>
        <w:spacing w:after="0" w:line="282" w:lineRule="auto"/>
        <w:rPr>
          <w:sz w:val="20"/>
          <w:szCs w:val="20"/>
          <w:color w:val="auto"/>
        </w:rPr>
      </w:pPr>
      <w:r>
        <w:rPr>
          <w:rFonts w:ascii="Times New Roman" w:cs="Times New Roman" w:eastAsia="Times New Roman" w:hAnsi="Times New Roman"/>
          <w:sz w:val="18"/>
          <w:szCs w:val="18"/>
          <w:color w:val="auto"/>
        </w:rPr>
        <w:t>– We also have non-cancellable purchase obligations under purchase orders for merchandise and under agreements for capital items, products and services used in our business, including executive employment and other agreements.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89" w:right="4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0"/>
          <w:szCs w:val="20"/>
          <w:b w:val="1"/>
          <w:bCs w:val="1"/>
          <w:color w:val="auto"/>
        </w:rPr>
        <w:t>CRITICAL ACCOUNTING ESTIMATES</w:t>
      </w:r>
    </w:p>
    <w:p>
      <w:pPr>
        <w:spacing w:after="0" w:line="13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GAAP which requires us to make certain estimates and judgments that impact our reported results. These judgments and estimates are based on historical experience and other factors which we continually review and believe are reasonable. We consider our most critical accounting estimates, involving uncertainty requiring management estimates and judgments, to be those relating to the areas described below.</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Inventory Valuation</w:t>
      </w:r>
    </w:p>
    <w:p>
      <w:pPr>
        <w:spacing w:after="0" w:line="11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use the retail method for valuing inventory for all our businesses except TK Maxx in Australia. The businesses that utilize the retail method have some inventory that is initially valued at cost before the retail method is applied as it has not been fully processed for sale (i.e. inventory in transit and unprocessed inventory in our distribution centers). Under the retail method, the cost value of inventory and gross margins are determined by calculating a cost-to-retail ratio and applying it to the retail value of inventory. It involves management estimates with regard to markdowns and inventory shrinkage. Under the retail method, permanent markdowns are reflected in inventory valuation when the price of an item is reduced. We have a specific policy as to when and how markdowns are to be taken, greatly reducing management’s discretion and the need for management estimates as to markdowns. Inventory shrinkage requires estimating a shrinkage rate for interim periods; however, we take a full physical inventory near the fiscal year-end to determine shrinkage at year-end. We do not generally enter into arrangements with vendors that provide for rebates and allowances that could ultimately affect the value of inventory.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Reserves for Uncertain Tax Positions</w:t>
      </w:r>
    </w:p>
    <w:p>
      <w:pPr>
        <w:spacing w:after="0" w:line="13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Similar to many large corporations, our income and other tax returns and reports are regularly audited by federal, state and local tax authorities in the United States and in foreign jurisdictions where we operate, and such authorities may challenge positions we take. We are engaged in various administrative and judicial proceedings in multiple jurisdictions with respect to assessments, claims, deficiencies and refunds and other tax matters, which proceedings are in various stages of negotiation, assessment, examination, litigation and settlement. The outcomes of these proceedings are uncertain. In accordance with GAAP, we evaluate our uncertain tax positions based on our understanding of the facts, circumstances and information available at the reporting date, and we accrue for exposure when we believe that it is more likely than not, based on the technical merits, that the positions we have taken will not be sustained. However, in the next twelve months and in future periods, the amounts we accrue for uncertain tax positions from time to time or ultimately pay, as the result of the final resolutions of examinations, judicial or administrative proceedings, changes in facts, law, or legal interpretations, expiration of applicable statute of limitations or other resolutions of, or changes in, tax positions may differ either positively or negatively from the amounts we have accrued, and may result in reductions to or additions to accruals, refund claims or payments for periods not currently under examination or for which no claims have been made. Final resolutions of our tax positions or changes in accruals for uncertain tax positions could result in additional tax expense or benefit and could have a material impact on our results of operations of the period in which an examination or proceeding is resolved or in the period in which a changed outcome becomes probable and reasonably estimable.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Loss Contingencies</w:t>
      </w:r>
    </w:p>
    <w:p>
      <w:pPr>
        <w:spacing w:after="0" w:line="11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Certain conditions may exist as of the date the consolidated financial statements are issued that may result in a loss to us but will not be resolved until one or more future events occur or fail to occur. Our management, with the assistance of our legal counsel, assesses such contingent liabilities. Such assessments inherently involve the exercise of judgment. In assessing loss contingencies related to legal proceedings that are pending against us or claims that may result in such proceedings, our legal counsel assists us in evaluating the perceived merits of any legal proceedings or claims as well as the perceived merits of the relief sought or expected to be sought therein.</w:t>
      </w:r>
    </w:p>
    <w:p>
      <w:pPr>
        <w:spacing w:after="0" w:line="75"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If the assessment of a contingency indicates that it is probable that a material loss has been incurred and the amount of the liability can be reasonably estimated, we will accrue for the estimated liability in the consolidated financial statements. If the assessment indicates that a potentially material loss contingency is not probable, but is reasonably possible, or is probable but cannot be reasonably estimated, we will disclose the nature of the contingent liability, together with an estimate of the range of the possible loss or a statement that such loss is not reasonably estimable.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130"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For a discussion of any new accounting pronouncements, see Note A—Basis of Presentation and Summary of Accounting Policies of Notes to Consolidated Financial Statements included in this annual report on Form 10-K, including the dates of adoption and estimated effects on our results of operations, financial position or cash flows. We do not expect any other recently issued accounting pronouncements will have a material effect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90"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2"/>
          <w:szCs w:val="22"/>
          <w:b w:val="1"/>
          <w:bCs w:val="1"/>
          <w:color w:val="auto"/>
        </w:rPr>
        <w:t>ITEM 7A. Quantitative and Qualitative Disclosure about Market Risk</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exposed to market risks in the ordinary course of business. Some potential market risks are discussed below:</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FOREIGN CURRENCY EXCHANGE RISK</w:t>
      </w:r>
    </w:p>
    <w:p>
      <w:pPr>
        <w:spacing w:after="0" w:line="13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are exposed to foreign currency exchange rate risk on the translation of our foreign operations into the U.S. dollar and on purchases of goods in currencies that are not the local currencies of stores where the goods are sold and on intercompany debt and interest payable between and among our domestic and international operations. Our currency risk primarily relates to our activity in the Canadian dollar, British pound and Euro. As more fully described in Note E—Financial Instruments of Notes to Consolidated Financial Statements, we use derivative financial instruments to hedge a portion of certain merchandise purchase commitments, primarily at our international operations, and a portion of our intercompany transactions with and within our international operations. We enter into derivative contracts only for the purpose of hedging the underlying economic exposure. We utilize currency forward and swap contracts, designed to offset the gains or losses on the underlying exposures. The contracts are executed with banks we believe are creditworthy and are denominated in currencies of major industrial countries. Our foreign exchange risk management policy prohibits us from using derivative financial instruments for trading or other speculative purposes and we do not use any leveraged derivative financial instruments. We have performed a sensitivity analysis assuming a hypothetical 10% movement in the translation of our foreign operations into our reporting currency. The analysis indicated a potential impact of approximately $105 million on our pre-tax income in fiscal 2024 and approximately $104 million in fiscal 2023.</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EQUITY PRICE AND OTHER MARKET RISK</w:t>
      </w:r>
    </w:p>
    <w:p>
      <w:pPr>
        <w:spacing w:after="0" w:line="11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assets of our funded qualified pension plan, a portion of which are equity securities, are subject to the risks and uncertainties of the financial markets. We invest the pension assets (described further in Note I—Pension Plans and Other Retirement Benefits of Notes to Consolidated Financial Statements) in a manner that attempts to manage our exposure to market uncertainties. Investments, in general, are exposed to various risks, such as interest rate, credit, and overall market volatility risks. A significant decline in the financial markets could adversely affect the value of our pension plan assets and the funded status of our pension plan, resulting in increased required contributions to the plan or other plan-related liabilities. Our pension plan investment policy prohibits the use of derivatives for speculative purposes.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8. Financial Statements and Supplementary Data</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information required by this Item may be found on pages </w:t>
      </w:r>
      <w:r>
        <w:rPr>
          <w:rFonts w:ascii="Times New Roman" w:cs="Times New Roman" w:eastAsia="Times New Roman" w:hAnsi="Times New Roman"/>
          <w:sz w:val="18"/>
          <w:szCs w:val="18"/>
          <w:u w:val="single" w:color="auto"/>
          <w:color w:val="0000FF"/>
        </w:rPr>
        <w:t>F-1</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0000FF"/>
        </w:rPr>
        <w:t>F-35</w:t>
      </w:r>
      <w:r>
        <w:rPr>
          <w:rFonts w:ascii="Times New Roman" w:cs="Times New Roman" w:eastAsia="Times New Roman" w:hAnsi="Times New Roman"/>
          <w:sz w:val="18"/>
          <w:szCs w:val="18"/>
          <w:color w:val="auto"/>
        </w:rPr>
        <w:t xml:space="preserve"> of this annual report on Form 10-K.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 Changes in and Disagreements with Accountants on Accounting and Financial Disclosure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9A. Controls and Procedures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Evaluation of Disclosure Controls and Procedures</w:t>
      </w:r>
    </w:p>
    <w:p>
      <w:pPr>
        <w:spacing w:after="0" w:line="12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have carried out an evaluation, under the supervision and with the participation of our management, including our Chief Executive Officer and Chief Financial Officer, of the effectiveness of the design and operation of our disclosure controls and procedures, as defined in Rules 13a-15(e) and 15d-15(e) under the Exchange Act, as of the end of the period covered by this report pursuant to Rules 13a-15 and 15d-15 of the Exchange Act. Based upon that evaluation, our Chief Executive Officer and Chief Financial Officer concluded that our disclosure controls and procedures are effective at a reasonable assurance level in ensuring that information required to be disclosed by us in the reports that we file or submit under the Exchange Act is (i) recorded, processed, summarized and reported within the time periods specified in the SEC’s rules and forms; and (ii) accumulated and communicated to our management, including our principal executive and principal financial officers, or persons performing similar functions, as appropriate to allow timely decisions regarding required disclosures. Management recognizes that any controls and procedures, no matter how well designed and operated, can provide only reasonable assurance of achieving their objectives and management necessarily applies its judgment in evaluating the cost-benefit relationship of implementing controls and procedures.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 Changes in Internal Control Over Financial Reporting</w:t>
      </w:r>
    </w:p>
    <w:p>
      <w:pPr>
        <w:spacing w:after="0" w:line="11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fourth quarter of fiscal 2024 identified in connection with our Chief Executive Officer’s and Chief Financial Officer’s evaluation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7" w:right="3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0"/>
          <w:szCs w:val="20"/>
          <w:color w:val="auto"/>
        </w:rPr>
        <w:t>(c) Management’s Annual Report on Internal Control Over Financial Reporting</w:t>
      </w:r>
    </w:p>
    <w:p>
      <w:pPr>
        <w:spacing w:after="0" w:line="12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Internal control over financial reporting is defined in Rules 13a-15(f) and 15d-15(f) promulgated under the Exchange Act as a process designed by, or under the supervision of, our principal executive and principal financial officers, or persons performing similar functions, and effected by our Board of Directors, management and other personnel, to provide reasonable assurance regarding the reliability of financial reporting and the preparation of financial statements for external purposes in accordance with GAAP and includes those policies and procedures that:</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Pertain to the maintenance of records that in reasonable detail accurately and fairly reflect the transactions and dispositions of the assets of TJX;</w:t>
      </w:r>
    </w:p>
    <w:p>
      <w:pPr>
        <w:spacing w:after="0" w:line="90" w:lineRule="exact"/>
        <w:rPr>
          <w:sz w:val="20"/>
          <w:szCs w:val="20"/>
          <w:color w:val="auto"/>
        </w:rPr>
      </w:pPr>
    </w:p>
    <w:p>
      <w:pPr>
        <w:ind w:left="660" w:right="180" w:hanging="324"/>
        <w:spacing w:after="0" w:line="282" w:lineRule="auto"/>
        <w:rPr>
          <w:sz w:val="20"/>
          <w:szCs w:val="20"/>
          <w:color w:val="auto"/>
        </w:rPr>
      </w:pPr>
      <w:r>
        <w:rPr>
          <w:rFonts w:ascii="Times New Roman" w:cs="Times New Roman" w:eastAsia="Times New Roman" w:hAnsi="Times New Roman"/>
          <w:sz w:val="18"/>
          <w:szCs w:val="18"/>
          <w:color w:val="auto"/>
        </w:rPr>
        <w:t>– Provide reasonable assurance that transactions are recorded as necessary to permit preparation of financial statements in accordance with GAAP, and that receipts and expenditures of TJX are being made only in accordance with authorizations of management and directors of TJX; and</w:t>
      </w:r>
    </w:p>
    <w:p>
      <w:pPr>
        <w:spacing w:after="0" w:line="26" w:lineRule="exact"/>
        <w:rPr>
          <w:sz w:val="20"/>
          <w:szCs w:val="20"/>
          <w:color w:val="auto"/>
        </w:rPr>
      </w:pPr>
    </w:p>
    <w:p>
      <w:pPr>
        <w:ind w:left="660" w:right="260" w:hanging="324"/>
        <w:spacing w:after="0" w:line="282" w:lineRule="auto"/>
        <w:rPr>
          <w:sz w:val="20"/>
          <w:szCs w:val="20"/>
          <w:color w:val="auto"/>
        </w:rPr>
      </w:pPr>
      <w:r>
        <w:rPr>
          <w:rFonts w:ascii="Times New Roman" w:cs="Times New Roman" w:eastAsia="Times New Roman" w:hAnsi="Times New Roman"/>
          <w:sz w:val="18"/>
          <w:szCs w:val="18"/>
          <w:color w:val="auto"/>
        </w:rPr>
        <w:t>– Provide reasonable assurance regarding prevention or timely detection of unauthorized acquisition, use or disposition of TJX’s assets that could have a material effect on the consolidated financial statements.</w:t>
      </w:r>
    </w:p>
    <w:p>
      <w:pPr>
        <w:spacing w:after="0" w:line="5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 xml:space="preserve">Under the supervision and with the participation of our management, including our Chief Executive Officer and Chief Financial Officer, we conducted an evaluation of the effectiveness of our internal control over financial reporting as of February 3, 2024 based on criteria established in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Integrated Framework 2013 </w:t>
      </w:r>
      <w:r>
        <w:rPr>
          <w:rFonts w:ascii="Times New Roman" w:cs="Times New Roman" w:eastAsia="Times New Roman" w:hAnsi="Times New Roman"/>
          <w:sz w:val="18"/>
          <w:szCs w:val="18"/>
          <w:color w:val="auto"/>
        </w:rPr>
        <w:t>issued by the Committee of Sponsoring Organizations of the Treadway Commission (“COSO”). Based on that evaluation,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concluded that its internal control over financial reporting was effective as of February 3, 2024.</w:t>
      </w:r>
    </w:p>
    <w:p>
      <w:pPr>
        <w:spacing w:after="0" w:line="7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PricewaterhouseCoopers LLP, the independent registered public accounting firm that audited and reported on the consolidated financial statements contained herein, has audited the effectiveness of our internal control over financial reporting as of February 3, 2024, and has issued an attestation report on the effectiveness of our internal controls over financial reporting included herein.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9B. Other Information</w:t>
      </w:r>
    </w:p>
    <w:p>
      <w:pPr>
        <w:spacing w:after="0" w:line="1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fiscal quarter ended February 3, 2024, none of our directors or officers adopted, modified, or terminated a “Rule 10b5-1 trading arrangement” or “non-Rule 10b5-1 trading arrangement,” as those terms defined in Item 408(a) of Regulation S-K.</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9C. Disclosure Regarding Foreign Jurisdictions that Prevent Inspections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0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32"/>
          <w:szCs w:val="32"/>
          <w:b w:val="1"/>
          <w:bCs w:val="1"/>
          <w:color w:val="auto"/>
        </w:rPr>
        <w:t>PART III</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Directors, Executive Officers and Corporate Governance</w:t>
      </w:r>
    </w:p>
    <w:p>
      <w:pPr>
        <w:spacing w:after="0" w:line="11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information concerning our executive officers is set forth under the heading “Information about our Executive Officers” in Part I of this report. TJX will file with the Securities and Exchange Commission (SEC) a definitive proxy statement no later than 120 days after the close of its fiscal year ended February 3, 2024 (“Proxy Statement”). The other information required by this Item and not given in this Item will appear under the headings “Election of Directors” and “Corporate Governance,” including in “Board Leadership and Committees,” and “Audit and Finance Committee Report” and, if applicable, “Beneficial Ownership” in our Proxy Statement, which sections are incorporated herein by reference.</w:t>
      </w:r>
    </w:p>
    <w:p>
      <w:pPr>
        <w:spacing w:after="0" w:line="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addition to our Global Code of Conduct, TJX has a Code of Ethics for TJX Executives governing its Executive Chairman, Chief Executive Officer and President, Chief Financial Officer, Principal Accounting Officer and other senior operating, financial and legal executives. The Code of Ethics for TJX Executives is designed to ensure integrity in TJX’s financial reports and public disclosures. TJX also has a Directors Code of Business Conduct and Ethics which promotes honest and ethical conduct, compliance with applicable laws, rules and regulations and the avoidance of conflicts of interest. Both of these codes of conduct are published at tjx.com. We intend to disclose any future amendments to, or waivers from, the Code of Ethics for TJX Executives or the Directors Code of Business Conduct and Ethics within four business days of the waiver or amendment through a website posting or by filing a Current Report on Form 8-K with the SEC.</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2"/>
          <w:szCs w:val="22"/>
          <w:b w:val="1"/>
          <w:bCs w:val="1"/>
          <w:color w:val="auto"/>
        </w:rPr>
        <w:t>ITEM 11. Executive Compensation</w:t>
      </w:r>
    </w:p>
    <w:p>
      <w:pPr>
        <w:spacing w:after="0" w:line="98"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The information required by this Item will appear under the headings “Compensation Program Risk Assessment,” “Compensation Discussion and Analysis,” “Compensation Tables” and “Director Compensation” in our Proxy Statement, which sections (excluding “Compensation Tables - Pay versus Performance”) are incorporated herein by reference.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12. Security Ownership of Certain Beneficial Owners and Management and Related Stockholder Matters</w:t>
      </w:r>
    </w:p>
    <w:p>
      <w:pPr>
        <w:spacing w:after="0" w:line="11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appear under the headings “Equity Compensation Plan Information” and “Beneficial Ownership” in our Proxy Statement, which sections are incorporated herein by reference.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13. Certain Relationships and Related Transactions, and Director Independence</w:t>
      </w:r>
    </w:p>
    <w:p>
      <w:pPr>
        <w:spacing w:after="0" w:line="111" w:lineRule="exact"/>
        <w:rPr>
          <w:sz w:val="20"/>
          <w:szCs w:val="20"/>
          <w:color w:val="auto"/>
        </w:rPr>
      </w:pPr>
    </w:p>
    <w:p>
      <w:pPr>
        <w:ind w:right="240"/>
        <w:spacing w:after="0" w:line="312" w:lineRule="auto"/>
        <w:rPr>
          <w:sz w:val="20"/>
          <w:szCs w:val="20"/>
          <w:color w:val="auto"/>
        </w:rPr>
      </w:pPr>
      <w:r>
        <w:rPr>
          <w:rFonts w:ascii="Times New Roman" w:cs="Times New Roman" w:eastAsia="Times New Roman" w:hAnsi="Times New Roman"/>
          <w:sz w:val="17"/>
          <w:szCs w:val="17"/>
          <w:color w:val="auto"/>
        </w:rPr>
        <w:t>The information required by this Item will appear under the heading “Election of Directors,” including in “Board Independence” and under the heading “Corporate Governance,” including in “Transactions with Related Persons” in our Proxy Statement, which sections are incorporated herein by reference.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14. Principal Accountant Fees and Services</w:t>
      </w:r>
    </w:p>
    <w:p>
      <w:pPr>
        <w:spacing w:after="0" w:line="1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appear under the headings “Auditor Fees,” “Pre-Approval Policies” and “Audit and Finance Committee Report” in our Proxy Statement, which sections are incorporated herein by reference.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PART IV</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15. Exhibits, Financial Statement Schedule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 FINANCIAL STATEMENT SCHEDULE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list of the consolidated financial information included herein, see Index to the Consolidated Financial Statements on page F-1.</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Schedule II – Valuation and Qualifying Accounts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Balance</w:t>
            </w:r>
          </w:p>
        </w:tc>
        <w:tc>
          <w:tcPr>
            <w:tcW w:w="1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Amounts Charged</w:t>
            </w:r>
          </w:p>
        </w:tc>
        <w:tc>
          <w:tcPr>
            <w:tcW w:w="120" w:type="dxa"/>
            <w:vAlign w:val="bottom"/>
          </w:tcPr>
          <w:p>
            <w:pPr>
              <w:spacing w:after="0"/>
              <w:rPr>
                <w:sz w:val="18"/>
                <w:szCs w:val="18"/>
                <w:color w:val="auto"/>
              </w:rPr>
            </w:pPr>
          </w:p>
        </w:tc>
        <w:tc>
          <w:tcPr>
            <w:tcW w:w="12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Write-Offs</w:t>
            </w:r>
          </w:p>
        </w:tc>
        <w:tc>
          <w:tcPr>
            <w:tcW w:w="280" w:type="dxa"/>
            <w:vAlign w:val="bottom"/>
          </w:tcPr>
          <w:p>
            <w:pPr>
              <w:spacing w:after="0"/>
              <w:rPr>
                <w:sz w:val="18"/>
                <w:szCs w:val="18"/>
                <w:color w:val="auto"/>
              </w:rPr>
            </w:pPr>
          </w:p>
        </w:tc>
        <w:tc>
          <w:tcPr>
            <w:tcW w:w="11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Balance</w:t>
            </w:r>
          </w:p>
        </w:tc>
        <w:tc>
          <w:tcPr>
            <w:tcW w:w="0" w:type="dxa"/>
            <w:vAlign w:val="bottom"/>
          </w:tcPr>
          <w:p>
            <w:pPr>
              <w:spacing w:after="0"/>
              <w:rPr>
                <w:sz w:val="1"/>
                <w:szCs w:val="1"/>
                <w:color w:val="auto"/>
              </w:rPr>
            </w:pPr>
          </w:p>
        </w:tc>
      </w:tr>
      <w:tr>
        <w:trPr>
          <w:trHeight w:val="175"/>
        </w:trPr>
        <w:tc>
          <w:tcPr>
            <w:tcW w:w="42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9"/>
              </w:rPr>
              <w:t>Beginning of</w:t>
            </w:r>
          </w:p>
        </w:tc>
        <w:tc>
          <w:tcPr>
            <w:tcW w:w="14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center"/>
              <w:ind w:right="150"/>
              <w:spacing w:after="0" w:line="176" w:lineRule="exact"/>
              <w:rPr>
                <w:sz w:val="20"/>
                <w:szCs w:val="20"/>
                <w:color w:val="auto"/>
              </w:rPr>
            </w:pPr>
            <w:r>
              <w:rPr>
                <w:rFonts w:ascii="Times New Roman" w:cs="Times New Roman" w:eastAsia="Times New Roman" w:hAnsi="Times New Roman"/>
                <w:sz w:val="18"/>
                <w:szCs w:val="18"/>
                <w:color w:val="auto"/>
                <w:w w:val="98"/>
              </w:rPr>
              <w:t>End of</w:t>
            </w:r>
          </w:p>
        </w:tc>
        <w:tc>
          <w:tcPr>
            <w:tcW w:w="0" w:type="dxa"/>
            <w:vAlign w:val="bottom"/>
          </w:tcPr>
          <w:p>
            <w:pPr>
              <w:spacing w:after="0"/>
              <w:rPr>
                <w:sz w:val="1"/>
                <w:szCs w:val="1"/>
                <w:color w:val="auto"/>
              </w:rPr>
            </w:pPr>
          </w:p>
        </w:tc>
      </w:tr>
      <w:tr>
        <w:trPr>
          <w:trHeight w:val="239"/>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5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7"/>
              </w:rPr>
              <w:t>Period</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to Net Income</w:t>
            </w: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Against Reserve</w:t>
            </w: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rPr>
              <w:t>Period</w:t>
            </w:r>
          </w:p>
        </w:tc>
        <w:tc>
          <w:tcPr>
            <w:tcW w:w="0" w:type="dxa"/>
            <w:vAlign w:val="bottom"/>
          </w:tcPr>
          <w:p>
            <w:pPr>
              <w:spacing w:after="0"/>
              <w:rPr>
                <w:sz w:val="1"/>
                <w:szCs w:val="1"/>
                <w:color w:val="auto"/>
              </w:rPr>
            </w:pPr>
          </w:p>
        </w:tc>
      </w:tr>
      <w:tr>
        <w:trPr>
          <w:trHeight w:val="227"/>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Sales Return Reserve:</w:t>
            </w:r>
          </w:p>
        </w:tc>
        <w:tc>
          <w:tcPr>
            <w:tcW w:w="15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Fiscal Year Ended February 3, 2024</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5,802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5,800</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Fiscal Year Ended January 28, 2023</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5,594</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30"/>
        </w:trPr>
        <w:tc>
          <w:tcPr>
            <w:tcW w:w="42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Fiscal Year Ended January 29, 2022</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5,627</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5,653</w:t>
            </w:r>
          </w:p>
        </w:tc>
        <w:tc>
          <w:tcPr>
            <w:tcW w:w="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844"/>
        </w:trPr>
        <w:tc>
          <w:tcPr>
            <w:tcW w:w="42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6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0"/>
          <w:szCs w:val="20"/>
          <w:b w:val="1"/>
          <w:bCs w:val="1"/>
          <w:color w:val="auto"/>
        </w:rPr>
        <w:t>(b) EXHIBITS</w:t>
      </w:r>
    </w:p>
    <w:p>
      <w:pPr>
        <w:spacing w:after="0" w:line="13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Listed below are all exhibits filed as part of this report. Some exhibits are filed by the Registrant with the Securities and Exchange Commission pursuant to Rule 12b-32 under the Exchange Act.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74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6"/>
                <w:szCs w:val="16"/>
                <w:b w:val="1"/>
                <w:bCs w:val="1"/>
                <w:color w:val="auto"/>
              </w:rPr>
              <w:t>Incorporate by Reference</w:t>
            </w:r>
          </w:p>
        </w:tc>
        <w:tc>
          <w:tcPr>
            <w:tcW w:w="0" w:type="dxa"/>
            <w:vAlign w:val="bottom"/>
          </w:tcPr>
          <w:p>
            <w:pPr>
              <w:spacing w:after="0"/>
              <w:rPr>
                <w:sz w:val="1"/>
                <w:szCs w:val="1"/>
                <w:color w:val="auto"/>
              </w:rPr>
            </w:pPr>
          </w:p>
        </w:tc>
      </w:tr>
      <w:tr>
        <w:trPr>
          <w:trHeight w:val="161"/>
        </w:trPr>
        <w:tc>
          <w:tcPr>
            <w:tcW w:w="80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rPr>
              <w:t>Exhibit</w:t>
            </w:r>
          </w:p>
        </w:tc>
        <w:tc>
          <w:tcPr>
            <w:tcW w:w="7520" w:type="dxa"/>
            <w:vAlign w:val="bottom"/>
            <w:gridSpan w:val="36"/>
            <w:vMerge w:val="restart"/>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88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rPr>
              <w:t>Exhibit</w:t>
            </w:r>
          </w:p>
        </w:tc>
        <w:tc>
          <w:tcPr>
            <w:tcW w:w="108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w w:val="99"/>
              </w:rPr>
              <w:t>Filing</w:t>
            </w:r>
          </w:p>
        </w:tc>
        <w:tc>
          <w:tcPr>
            <w:tcW w:w="0" w:type="dxa"/>
            <w:vAlign w:val="bottom"/>
          </w:tcPr>
          <w:p>
            <w:pPr>
              <w:spacing w:after="0"/>
              <w:rPr>
                <w:sz w:val="1"/>
                <w:szCs w:val="1"/>
                <w:color w:val="auto"/>
              </w:rPr>
            </w:pPr>
          </w:p>
        </w:tc>
      </w:tr>
      <w:tr>
        <w:trPr>
          <w:trHeight w:val="214"/>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No.</w:t>
            </w:r>
          </w:p>
        </w:tc>
        <w:tc>
          <w:tcPr>
            <w:tcW w:w="7520" w:type="dxa"/>
            <w:vAlign w:val="bottom"/>
            <w:tcBorders>
              <w:bottom w:val="single" w:sz="8" w:color="auto"/>
            </w:tcBorders>
            <w:gridSpan w:val="36"/>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No.</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0" w:type="dxa"/>
            <w:vAlign w:val="bottom"/>
          </w:tcPr>
          <w:p>
            <w:pPr>
              <w:spacing w:after="0"/>
              <w:rPr>
                <w:sz w:val="1"/>
                <w:szCs w:val="1"/>
                <w:color w:val="auto"/>
              </w:rPr>
            </w:pPr>
          </w:p>
        </w:tc>
      </w:tr>
      <w:tr>
        <w:trPr>
          <w:trHeight w:val="191"/>
        </w:trPr>
        <w:tc>
          <w:tcPr>
            <w:tcW w:w="80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6"/>
                <w:szCs w:val="16"/>
                <w:color w:val="auto"/>
              </w:rPr>
              <w:t>3(i).1</w:t>
            </w:r>
          </w:p>
        </w:tc>
        <w:tc>
          <w:tcPr>
            <w:tcW w:w="7520" w:type="dxa"/>
            <w:vAlign w:val="bottom"/>
            <w:gridSpan w:val="36"/>
            <w:shd w:val="clear" w:color="auto" w:fill="CCEEFF"/>
          </w:tcPr>
          <w:p>
            <w:pPr>
              <w:spacing w:after="0" w:line="171" w:lineRule="exact"/>
              <w:rPr>
                <w:rFonts w:ascii="Times New Roman" w:cs="Times New Roman" w:eastAsia="Times New Roman" w:hAnsi="Times New Roman"/>
                <w:sz w:val="16"/>
                <w:szCs w:val="16"/>
                <w:color w:val="0000FF"/>
              </w:rPr>
            </w:pPr>
            <w:hyperlink r:id="rId52">
              <w:r>
                <w:rPr>
                  <w:rFonts w:ascii="Times New Roman" w:cs="Times New Roman" w:eastAsia="Times New Roman" w:hAnsi="Times New Roman"/>
                  <w:sz w:val="16"/>
                  <w:szCs w:val="16"/>
                  <w:color w:val="0000FF"/>
                </w:rPr>
                <w:t>Fifth Restated Certificate of Incorporation</w:t>
              </w:r>
            </w:hyperlink>
          </w:p>
        </w:tc>
        <w:tc>
          <w:tcPr>
            <w:tcW w:w="78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6"/>
                <w:szCs w:val="16"/>
                <w:color w:val="auto"/>
              </w:rPr>
              <w:t>10-K</w:t>
            </w:r>
          </w:p>
        </w:tc>
        <w:tc>
          <w:tcPr>
            <w:tcW w:w="88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6"/>
                <w:szCs w:val="16"/>
                <w:color w:val="auto"/>
              </w:rPr>
              <w:t>3(i).1</w:t>
            </w:r>
          </w:p>
        </w:tc>
        <w:tc>
          <w:tcPr>
            <w:tcW w:w="108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6"/>
                <w:szCs w:val="16"/>
                <w:color w:val="auto"/>
              </w:rPr>
              <w:t>4/3/2019</w:t>
            </w:r>
          </w:p>
        </w:tc>
        <w:tc>
          <w:tcPr>
            <w:tcW w:w="0" w:type="dxa"/>
            <w:vAlign w:val="bottom"/>
          </w:tcPr>
          <w:p>
            <w:pPr>
              <w:spacing w:after="0"/>
              <w:rPr>
                <w:sz w:val="1"/>
                <w:szCs w:val="1"/>
                <w:color w:val="auto"/>
              </w:rPr>
            </w:pPr>
          </w:p>
        </w:tc>
      </w:tr>
      <w:tr>
        <w:trPr>
          <w:trHeight w:val="175"/>
        </w:trPr>
        <w:tc>
          <w:tcPr>
            <w:tcW w:w="800" w:type="dxa"/>
            <w:vAlign w:val="bottom"/>
            <w:tcBorders>
              <w:top w:val="single" w:sz="8" w:color="CCEEFF"/>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3(ii).1</w:t>
            </w:r>
          </w:p>
        </w:tc>
        <w:tc>
          <w:tcPr>
            <w:tcW w:w="2740" w:type="dxa"/>
            <w:vAlign w:val="bottom"/>
            <w:tcBorders>
              <w:top w:val="single" w:sz="8" w:color="0000FF"/>
            </w:tcBorders>
            <w:gridSpan w:val="8"/>
          </w:tcPr>
          <w:p>
            <w:pPr>
              <w:spacing w:after="0" w:line="175" w:lineRule="exact"/>
              <w:rPr>
                <w:rFonts w:ascii="Times New Roman" w:cs="Times New Roman" w:eastAsia="Times New Roman" w:hAnsi="Times New Roman"/>
                <w:sz w:val="16"/>
                <w:szCs w:val="16"/>
                <w:color w:val="0000FF"/>
              </w:rPr>
            </w:pPr>
            <w:hyperlink r:id="rId53">
              <w:r>
                <w:rPr>
                  <w:rFonts w:ascii="Times New Roman" w:cs="Times New Roman" w:eastAsia="Times New Roman" w:hAnsi="Times New Roman"/>
                  <w:sz w:val="16"/>
                  <w:szCs w:val="16"/>
                  <w:color w:val="0000FF"/>
                </w:rPr>
                <w:t>By-laws of TJX, as amended</w:t>
              </w:r>
            </w:hyperlink>
          </w:p>
        </w:tc>
        <w:tc>
          <w:tcPr>
            <w:tcW w:w="4780" w:type="dxa"/>
            <w:vAlign w:val="bottom"/>
            <w:tcBorders>
              <w:top w:val="single" w:sz="8" w:color="CCEEFF"/>
            </w:tcBorders>
            <w:gridSpan w:val="28"/>
          </w:tcPr>
          <w:p>
            <w:pPr>
              <w:spacing w:after="0"/>
              <w:rPr>
                <w:sz w:val="15"/>
                <w:szCs w:val="15"/>
                <w:color w:val="auto"/>
              </w:rPr>
            </w:pPr>
          </w:p>
        </w:tc>
        <w:tc>
          <w:tcPr>
            <w:tcW w:w="780" w:type="dxa"/>
            <w:vAlign w:val="bottom"/>
            <w:tcBorders>
              <w:top w:val="single" w:sz="8" w:color="CCEEFF"/>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880" w:type="dxa"/>
            <w:vAlign w:val="bottom"/>
            <w:tcBorders>
              <w:top w:val="single" w:sz="8" w:color="CCEEFF"/>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3.1</w:t>
            </w:r>
          </w:p>
        </w:tc>
        <w:tc>
          <w:tcPr>
            <w:tcW w:w="1080" w:type="dxa"/>
            <w:vAlign w:val="bottom"/>
            <w:tcBorders>
              <w:top w:val="single" w:sz="8" w:color="CCEEFF"/>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2/5/2018</w:t>
            </w: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4.01</w:t>
            </w:r>
          </w:p>
        </w:tc>
        <w:tc>
          <w:tcPr>
            <w:tcW w:w="5660" w:type="dxa"/>
            <w:vAlign w:val="bottom"/>
            <w:tcBorders>
              <w:bottom w:val="single" w:sz="8" w:color="0000FF"/>
            </w:tcBorders>
            <w:gridSpan w:val="12"/>
            <w:shd w:val="clear" w:color="auto" w:fill="CCEEFF"/>
          </w:tcPr>
          <w:p>
            <w:pPr>
              <w:spacing w:after="0" w:line="175" w:lineRule="exact"/>
              <w:rPr>
                <w:rFonts w:ascii="Times New Roman" w:cs="Times New Roman" w:eastAsia="Times New Roman" w:hAnsi="Times New Roman"/>
                <w:sz w:val="16"/>
                <w:szCs w:val="16"/>
                <w:color w:val="0000FF"/>
              </w:rPr>
            </w:pPr>
            <w:hyperlink r:id="rId54">
              <w:r>
                <w:rPr>
                  <w:rFonts w:ascii="Times New Roman" w:cs="Times New Roman" w:eastAsia="Times New Roman" w:hAnsi="Times New Roman"/>
                  <w:sz w:val="16"/>
                  <w:szCs w:val="16"/>
                  <w:color w:val="0000FF"/>
                </w:rPr>
                <w:t>Indenture between TJX and U.S. Bank National Association dated September 12, 2016</w:t>
              </w:r>
            </w:hyperlink>
          </w:p>
        </w:tc>
        <w:tc>
          <w:tcPr>
            <w:tcW w:w="1860" w:type="dxa"/>
            <w:vAlign w:val="bottom"/>
            <w:tcBorders>
              <w:bottom w:val="single" w:sz="8" w:color="CCEEFF"/>
            </w:tcBorders>
            <w:gridSpan w:val="24"/>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88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4.1</w:t>
            </w:r>
          </w:p>
        </w:tc>
        <w:tc>
          <w:tcPr>
            <w:tcW w:w="108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9/12/2016</w:t>
            </w:r>
          </w:p>
        </w:tc>
        <w:tc>
          <w:tcPr>
            <w:tcW w:w="0" w:type="dxa"/>
            <w:vAlign w:val="bottom"/>
          </w:tcPr>
          <w:p>
            <w:pPr>
              <w:spacing w:after="0"/>
              <w:rPr>
                <w:sz w:val="1"/>
                <w:szCs w:val="1"/>
                <w:color w:val="auto"/>
              </w:rPr>
            </w:pPr>
          </w:p>
        </w:tc>
      </w:tr>
      <w:tr>
        <w:trPr>
          <w:trHeight w:val="175"/>
        </w:trPr>
        <w:tc>
          <w:tcPr>
            <w:tcW w:w="8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4.02</w:t>
            </w:r>
          </w:p>
        </w:tc>
        <w:tc>
          <w:tcPr>
            <w:tcW w:w="7520" w:type="dxa"/>
            <w:vAlign w:val="bottom"/>
            <w:gridSpan w:val="36"/>
          </w:tcPr>
          <w:p>
            <w:pPr>
              <w:spacing w:after="0" w:line="175" w:lineRule="exact"/>
              <w:rPr>
                <w:rFonts w:ascii="Times New Roman" w:cs="Times New Roman" w:eastAsia="Times New Roman" w:hAnsi="Times New Roman"/>
                <w:sz w:val="16"/>
                <w:szCs w:val="16"/>
                <w:color w:val="0000FF"/>
              </w:rPr>
            </w:pPr>
            <w:hyperlink r:id="rId55">
              <w:r>
                <w:rPr>
                  <w:rFonts w:ascii="Times New Roman" w:cs="Times New Roman" w:eastAsia="Times New Roman" w:hAnsi="Times New Roman"/>
                  <w:sz w:val="16"/>
                  <w:szCs w:val="16"/>
                  <w:color w:val="0000FF"/>
                </w:rPr>
                <w:t>First Supplemental Indenture dated as of September 12, 2016 by and between TJX and U.S. Bank National</w:t>
              </w:r>
            </w:hyperlink>
          </w:p>
        </w:tc>
        <w:tc>
          <w:tcPr>
            <w:tcW w:w="7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8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4.2</w:t>
            </w:r>
          </w:p>
        </w:tc>
        <w:tc>
          <w:tcPr>
            <w:tcW w:w="10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9/12/2016</w:t>
            </w: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6940" w:type="dxa"/>
            <w:vAlign w:val="bottom"/>
            <w:tcBorders>
              <w:top w:val="single" w:sz="8" w:color="0000FF"/>
            </w:tcBorders>
            <w:gridSpan w:val="22"/>
          </w:tcPr>
          <w:p>
            <w:pPr>
              <w:spacing w:after="0" w:line="142" w:lineRule="exact"/>
              <w:rPr>
                <w:rFonts w:ascii="Times New Roman" w:cs="Times New Roman" w:eastAsia="Times New Roman" w:hAnsi="Times New Roman"/>
                <w:sz w:val="16"/>
                <w:szCs w:val="16"/>
                <w:color w:val="0000FF"/>
              </w:rPr>
            </w:pPr>
            <w:hyperlink r:id="rId55">
              <w:r>
                <w:rPr>
                  <w:rFonts w:ascii="Times New Roman" w:cs="Times New Roman" w:eastAsia="Times New Roman" w:hAnsi="Times New Roman"/>
                  <w:sz w:val="16"/>
                  <w:szCs w:val="16"/>
                  <w:color w:val="0000FF"/>
                </w:rPr>
                <w:t>Association, as Trustee, including the form of Global Note attached as Annex A thereto</w:t>
              </w:r>
            </w:hyperlink>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2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4.03</w:t>
            </w:r>
          </w:p>
        </w:tc>
        <w:tc>
          <w:tcPr>
            <w:tcW w:w="7520" w:type="dxa"/>
            <w:vAlign w:val="bottom"/>
            <w:gridSpan w:val="36"/>
            <w:shd w:val="clear" w:color="auto" w:fill="CCEEFF"/>
          </w:tcPr>
          <w:p>
            <w:pPr>
              <w:spacing w:after="0" w:line="175" w:lineRule="exact"/>
              <w:rPr>
                <w:rFonts w:ascii="Times New Roman" w:cs="Times New Roman" w:eastAsia="Times New Roman" w:hAnsi="Times New Roman"/>
                <w:sz w:val="16"/>
                <w:szCs w:val="16"/>
                <w:color w:val="0000FF"/>
              </w:rPr>
            </w:pPr>
            <w:hyperlink r:id="rId56">
              <w:r>
                <w:rPr>
                  <w:rFonts w:ascii="Times New Roman" w:cs="Times New Roman" w:eastAsia="Times New Roman" w:hAnsi="Times New Roman"/>
                  <w:sz w:val="16"/>
                  <w:szCs w:val="16"/>
                  <w:color w:val="0000FF"/>
                </w:rPr>
                <w:t>Indenture dated as of April 1, 2020 between The TJX Companies, Inc. and U.S. Bank National Association, as</w:t>
              </w:r>
            </w:hyperlink>
          </w:p>
        </w:tc>
        <w:tc>
          <w:tcPr>
            <w:tcW w:w="7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8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4.1</w:t>
            </w:r>
          </w:p>
        </w:tc>
        <w:tc>
          <w:tcPr>
            <w:tcW w:w="10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4/1/2020</w:t>
            </w:r>
          </w:p>
        </w:tc>
        <w:tc>
          <w:tcPr>
            <w:tcW w:w="0" w:type="dxa"/>
            <w:vAlign w:val="bottom"/>
          </w:tcPr>
          <w:p>
            <w:pPr>
              <w:spacing w:after="0"/>
              <w:rPr>
                <w:sz w:val="1"/>
                <w:szCs w:val="1"/>
                <w:color w:val="auto"/>
              </w:rPr>
            </w:pPr>
          </w:p>
        </w:tc>
      </w:tr>
      <w:tr>
        <w:trPr>
          <w:trHeight w:val="142"/>
        </w:trPr>
        <w:tc>
          <w:tcPr>
            <w:tcW w:w="800" w:type="dxa"/>
            <w:vAlign w:val="bottom"/>
            <w:tcBorders>
              <w:top w:val="single" w:sz="8" w:color="CCEEFF"/>
            </w:tcBorders>
            <w:shd w:val="clear" w:color="auto" w:fill="CCEEFF"/>
          </w:tcPr>
          <w:p>
            <w:pPr>
              <w:spacing w:after="0"/>
              <w:rPr>
                <w:sz w:val="12"/>
                <w:szCs w:val="12"/>
                <w:color w:val="auto"/>
              </w:rPr>
            </w:pPr>
          </w:p>
        </w:tc>
        <w:tc>
          <w:tcPr>
            <w:tcW w:w="7180" w:type="dxa"/>
            <w:vAlign w:val="bottom"/>
            <w:tcBorders>
              <w:top w:val="single" w:sz="8" w:color="0000FF"/>
            </w:tcBorders>
            <w:gridSpan w:val="25"/>
            <w:shd w:val="clear" w:color="auto" w:fill="CCEEFF"/>
          </w:tcPr>
          <w:p>
            <w:pPr>
              <w:spacing w:after="0" w:line="142" w:lineRule="exact"/>
              <w:rPr>
                <w:rFonts w:ascii="Times New Roman" w:cs="Times New Roman" w:eastAsia="Times New Roman" w:hAnsi="Times New Roman"/>
                <w:sz w:val="16"/>
                <w:szCs w:val="16"/>
                <w:color w:val="0000FF"/>
              </w:rPr>
            </w:pPr>
            <w:hyperlink r:id="rId56">
              <w:r>
                <w:rPr>
                  <w:rFonts w:ascii="Times New Roman" w:cs="Times New Roman" w:eastAsia="Times New Roman" w:hAnsi="Times New Roman"/>
                  <w:sz w:val="16"/>
                  <w:szCs w:val="16"/>
                  <w:color w:val="0000FF"/>
                </w:rPr>
                <w:t>Trustee</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4.04</w:t>
            </w:r>
          </w:p>
        </w:tc>
        <w:tc>
          <w:tcPr>
            <w:tcW w:w="7520" w:type="dxa"/>
            <w:vAlign w:val="bottom"/>
            <w:gridSpan w:val="36"/>
          </w:tcPr>
          <w:p>
            <w:pPr>
              <w:spacing w:after="0" w:line="175" w:lineRule="exact"/>
              <w:rPr>
                <w:rFonts w:ascii="Times New Roman" w:cs="Times New Roman" w:eastAsia="Times New Roman" w:hAnsi="Times New Roman"/>
                <w:sz w:val="16"/>
                <w:szCs w:val="16"/>
                <w:color w:val="0000FF"/>
              </w:rPr>
            </w:pPr>
            <w:hyperlink r:id="rId57">
              <w:r>
                <w:rPr>
                  <w:rFonts w:ascii="Times New Roman" w:cs="Times New Roman" w:eastAsia="Times New Roman" w:hAnsi="Times New Roman"/>
                  <w:sz w:val="16"/>
                  <w:szCs w:val="16"/>
                  <w:color w:val="0000FF"/>
                </w:rPr>
                <w:t>Third Supplemental Indenture, dated as of April 1, 2020 by and between TJX and U.S. Bank National Association,</w:t>
              </w:r>
            </w:hyperlink>
          </w:p>
        </w:tc>
        <w:tc>
          <w:tcPr>
            <w:tcW w:w="7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8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4.4</w:t>
            </w:r>
          </w:p>
        </w:tc>
        <w:tc>
          <w:tcPr>
            <w:tcW w:w="10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4/1/2020</w:t>
            </w: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7460" w:type="dxa"/>
            <w:vAlign w:val="bottom"/>
            <w:tcBorders>
              <w:top w:val="single" w:sz="8" w:color="0000FF"/>
            </w:tcBorders>
            <w:gridSpan w:val="34"/>
          </w:tcPr>
          <w:p>
            <w:pPr>
              <w:spacing w:after="0" w:line="142" w:lineRule="exact"/>
              <w:rPr>
                <w:rFonts w:ascii="Times New Roman" w:cs="Times New Roman" w:eastAsia="Times New Roman" w:hAnsi="Times New Roman"/>
                <w:sz w:val="16"/>
                <w:szCs w:val="16"/>
                <w:color w:val="0000FF"/>
              </w:rPr>
            </w:pPr>
            <w:hyperlink r:id="rId57">
              <w:r>
                <w:rPr>
                  <w:rFonts w:ascii="Times New Roman" w:cs="Times New Roman" w:eastAsia="Times New Roman" w:hAnsi="Times New Roman"/>
                  <w:sz w:val="16"/>
                  <w:szCs w:val="16"/>
                  <w:color w:val="0000FF"/>
                </w:rPr>
                <w:t>as Trustee, including the form of Global Note attached as Annex A thereto</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2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4.05</w:t>
            </w:r>
          </w:p>
        </w:tc>
        <w:tc>
          <w:tcPr>
            <w:tcW w:w="7520" w:type="dxa"/>
            <w:vAlign w:val="bottom"/>
            <w:gridSpan w:val="36"/>
            <w:shd w:val="clear" w:color="auto" w:fill="CCEEFF"/>
          </w:tcPr>
          <w:p>
            <w:pPr>
              <w:spacing w:after="0" w:line="175" w:lineRule="exact"/>
              <w:rPr>
                <w:rFonts w:ascii="Times New Roman" w:cs="Times New Roman" w:eastAsia="Times New Roman" w:hAnsi="Times New Roman"/>
                <w:sz w:val="16"/>
                <w:szCs w:val="16"/>
                <w:color w:val="0000FF"/>
              </w:rPr>
            </w:pPr>
            <w:hyperlink r:id="rId58">
              <w:r>
                <w:rPr>
                  <w:rFonts w:ascii="Times New Roman" w:cs="Times New Roman" w:eastAsia="Times New Roman" w:hAnsi="Times New Roman"/>
                  <w:sz w:val="16"/>
                  <w:szCs w:val="16"/>
                  <w:color w:val="0000FF"/>
                </w:rPr>
                <w:t>Fourth Supplemental Indenture, dated as of April 1, 2020 by and between TJX and U.S. Bank National</w:t>
              </w:r>
            </w:hyperlink>
          </w:p>
        </w:tc>
        <w:tc>
          <w:tcPr>
            <w:tcW w:w="7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8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4.5</w:t>
            </w:r>
          </w:p>
        </w:tc>
        <w:tc>
          <w:tcPr>
            <w:tcW w:w="10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4/1/2020</w:t>
            </w:r>
          </w:p>
        </w:tc>
        <w:tc>
          <w:tcPr>
            <w:tcW w:w="0" w:type="dxa"/>
            <w:vAlign w:val="bottom"/>
          </w:tcPr>
          <w:p>
            <w:pPr>
              <w:spacing w:after="0"/>
              <w:rPr>
                <w:sz w:val="1"/>
                <w:szCs w:val="1"/>
                <w:color w:val="auto"/>
              </w:rPr>
            </w:pPr>
          </w:p>
        </w:tc>
      </w:tr>
      <w:tr>
        <w:trPr>
          <w:trHeight w:val="142"/>
        </w:trPr>
        <w:tc>
          <w:tcPr>
            <w:tcW w:w="800" w:type="dxa"/>
            <w:vAlign w:val="bottom"/>
            <w:tcBorders>
              <w:top w:val="single" w:sz="8" w:color="CCEEFF"/>
            </w:tcBorders>
            <w:shd w:val="clear" w:color="auto" w:fill="CCEEFF"/>
          </w:tcPr>
          <w:p>
            <w:pPr>
              <w:spacing w:after="0"/>
              <w:rPr>
                <w:sz w:val="12"/>
                <w:szCs w:val="12"/>
                <w:color w:val="auto"/>
              </w:rPr>
            </w:pPr>
          </w:p>
        </w:tc>
        <w:tc>
          <w:tcPr>
            <w:tcW w:w="6680" w:type="dxa"/>
            <w:vAlign w:val="bottom"/>
            <w:tcBorders>
              <w:top w:val="single" w:sz="8" w:color="0000FF"/>
            </w:tcBorders>
            <w:gridSpan w:val="21"/>
            <w:shd w:val="clear" w:color="auto" w:fill="CCEEFF"/>
          </w:tcPr>
          <w:p>
            <w:pPr>
              <w:spacing w:after="0" w:line="142" w:lineRule="exact"/>
              <w:rPr>
                <w:rFonts w:ascii="Times New Roman" w:cs="Times New Roman" w:eastAsia="Times New Roman" w:hAnsi="Times New Roman"/>
                <w:sz w:val="16"/>
                <w:szCs w:val="16"/>
                <w:color w:val="0000FF"/>
              </w:rPr>
            </w:pPr>
            <w:hyperlink r:id="rId58">
              <w:r>
                <w:rPr>
                  <w:rFonts w:ascii="Times New Roman" w:cs="Times New Roman" w:eastAsia="Times New Roman" w:hAnsi="Times New Roman"/>
                  <w:sz w:val="16"/>
                  <w:szCs w:val="16"/>
                  <w:color w:val="0000FF"/>
                </w:rPr>
                <w:t>Association, as Trustee, including the form of Global Note attached as Annex A thereto</w:t>
              </w:r>
            </w:hyperlink>
          </w:p>
        </w:tc>
        <w:tc>
          <w:tcPr>
            <w:tcW w:w="320" w:type="dxa"/>
            <w:vAlign w:val="bottom"/>
            <w:tcBorders>
              <w:top w:val="single" w:sz="8" w:color="CCEEFF"/>
            </w:tcBorders>
            <w:gridSpan w:val="2"/>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4.06</w:t>
            </w:r>
          </w:p>
        </w:tc>
        <w:tc>
          <w:tcPr>
            <w:tcW w:w="7520" w:type="dxa"/>
            <w:vAlign w:val="bottom"/>
            <w:gridSpan w:val="36"/>
          </w:tcPr>
          <w:p>
            <w:pPr>
              <w:spacing w:after="0" w:line="175" w:lineRule="exact"/>
              <w:rPr>
                <w:rFonts w:ascii="Times New Roman" w:cs="Times New Roman" w:eastAsia="Times New Roman" w:hAnsi="Times New Roman"/>
                <w:sz w:val="16"/>
                <w:szCs w:val="16"/>
                <w:color w:val="0000FF"/>
              </w:rPr>
            </w:pPr>
            <w:hyperlink r:id="rId59">
              <w:r>
                <w:rPr>
                  <w:rFonts w:ascii="Times New Roman" w:cs="Times New Roman" w:eastAsia="Times New Roman" w:hAnsi="Times New Roman"/>
                  <w:sz w:val="16"/>
                  <w:szCs w:val="16"/>
                  <w:color w:val="0000FF"/>
                </w:rPr>
                <w:t>Fifth Supplemental Indenture, dated as of November 30, 2020 by and between TJX and U.S. Bank National</w:t>
              </w:r>
            </w:hyperlink>
          </w:p>
        </w:tc>
        <w:tc>
          <w:tcPr>
            <w:tcW w:w="7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8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4.1</w:t>
            </w:r>
          </w:p>
        </w:tc>
        <w:tc>
          <w:tcPr>
            <w:tcW w:w="10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12/3/2020</w:t>
            </w: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7000" w:type="dxa"/>
            <w:vAlign w:val="bottom"/>
            <w:tcBorders>
              <w:top w:val="single" w:sz="8" w:color="0000FF"/>
            </w:tcBorders>
            <w:gridSpan w:val="23"/>
          </w:tcPr>
          <w:p>
            <w:pPr>
              <w:spacing w:after="0" w:line="142" w:lineRule="exact"/>
              <w:rPr>
                <w:rFonts w:ascii="Times New Roman" w:cs="Times New Roman" w:eastAsia="Times New Roman" w:hAnsi="Times New Roman"/>
                <w:sz w:val="16"/>
                <w:szCs w:val="16"/>
                <w:color w:val="0000FF"/>
              </w:rPr>
            </w:pPr>
            <w:hyperlink r:id="rId59">
              <w:r>
                <w:rPr>
                  <w:rFonts w:ascii="Times New Roman" w:cs="Times New Roman" w:eastAsia="Times New Roman" w:hAnsi="Times New Roman"/>
                  <w:sz w:val="16"/>
                  <w:szCs w:val="16"/>
                  <w:color w:val="0000FF"/>
                </w:rPr>
                <w:t>Association, as Trustee, including the form of Global Note attached as Annex A thereto.</w:t>
              </w:r>
            </w:hyperlink>
          </w:p>
        </w:tc>
        <w:tc>
          <w:tcPr>
            <w:tcW w:w="6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2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4.07</w:t>
            </w:r>
          </w:p>
        </w:tc>
        <w:tc>
          <w:tcPr>
            <w:tcW w:w="7520" w:type="dxa"/>
            <w:vAlign w:val="bottom"/>
            <w:gridSpan w:val="36"/>
            <w:shd w:val="clear" w:color="auto" w:fill="CCEEFF"/>
          </w:tcPr>
          <w:p>
            <w:pPr>
              <w:spacing w:after="0" w:line="175" w:lineRule="exact"/>
              <w:rPr>
                <w:rFonts w:ascii="Times New Roman" w:cs="Times New Roman" w:eastAsia="Times New Roman" w:hAnsi="Times New Roman"/>
                <w:sz w:val="16"/>
                <w:szCs w:val="16"/>
                <w:color w:val="0000FF"/>
              </w:rPr>
            </w:pPr>
            <w:hyperlink r:id="rId60">
              <w:r>
                <w:rPr>
                  <w:rFonts w:ascii="Times New Roman" w:cs="Times New Roman" w:eastAsia="Times New Roman" w:hAnsi="Times New Roman"/>
                  <w:sz w:val="16"/>
                  <w:szCs w:val="16"/>
                  <w:color w:val="0000FF"/>
                </w:rPr>
                <w:t>Sixth Supplemental Indenture, dated as of November 30, 2020 by and TJX and U.S. Bank National Association, as</w:t>
              </w:r>
            </w:hyperlink>
          </w:p>
        </w:tc>
        <w:tc>
          <w:tcPr>
            <w:tcW w:w="7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8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4.2</w:t>
            </w:r>
          </w:p>
        </w:tc>
        <w:tc>
          <w:tcPr>
            <w:tcW w:w="10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12/3/2020</w:t>
            </w:r>
          </w:p>
        </w:tc>
        <w:tc>
          <w:tcPr>
            <w:tcW w:w="0" w:type="dxa"/>
            <w:vAlign w:val="bottom"/>
          </w:tcPr>
          <w:p>
            <w:pPr>
              <w:spacing w:after="0"/>
              <w:rPr>
                <w:sz w:val="1"/>
                <w:szCs w:val="1"/>
                <w:color w:val="auto"/>
              </w:rPr>
            </w:pPr>
          </w:p>
        </w:tc>
      </w:tr>
      <w:tr>
        <w:trPr>
          <w:trHeight w:val="163"/>
        </w:trPr>
        <w:tc>
          <w:tcPr>
            <w:tcW w:w="800" w:type="dxa"/>
            <w:vAlign w:val="bottom"/>
            <w:tcBorders>
              <w:top w:val="single" w:sz="8" w:color="CCEEFF"/>
            </w:tcBorders>
            <w:shd w:val="clear" w:color="auto" w:fill="CCEEFF"/>
          </w:tcPr>
          <w:p>
            <w:pPr>
              <w:spacing w:after="0"/>
              <w:rPr>
                <w:sz w:val="14"/>
                <w:szCs w:val="14"/>
                <w:color w:val="auto"/>
              </w:rPr>
            </w:pPr>
          </w:p>
        </w:tc>
        <w:tc>
          <w:tcPr>
            <w:tcW w:w="7480" w:type="dxa"/>
            <w:vAlign w:val="bottom"/>
            <w:tcBorders>
              <w:top w:val="single" w:sz="8" w:color="0000FF"/>
            </w:tcBorders>
            <w:gridSpan w:val="35"/>
            <w:shd w:val="clear" w:color="auto" w:fill="CCEEFF"/>
          </w:tcPr>
          <w:p>
            <w:pPr>
              <w:spacing w:after="0" w:line="142" w:lineRule="exact"/>
              <w:rPr>
                <w:rFonts w:ascii="Times New Roman" w:cs="Times New Roman" w:eastAsia="Times New Roman" w:hAnsi="Times New Roman"/>
                <w:sz w:val="16"/>
                <w:szCs w:val="16"/>
                <w:color w:val="0000FF"/>
              </w:rPr>
            </w:pPr>
            <w:hyperlink r:id="rId60">
              <w:r>
                <w:rPr>
                  <w:rFonts w:ascii="Times New Roman" w:cs="Times New Roman" w:eastAsia="Times New Roman" w:hAnsi="Times New Roman"/>
                  <w:sz w:val="16"/>
                  <w:szCs w:val="16"/>
                  <w:color w:val="0000FF"/>
                </w:rPr>
                <w:t>Trustee, including the form of Global Note attached as Annex A thereto</w:t>
              </w:r>
            </w:hyperlink>
          </w:p>
        </w:tc>
        <w:tc>
          <w:tcPr>
            <w:tcW w:w="4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00" w:type="dxa"/>
            <w:vAlign w:val="bottom"/>
            <w:tcBorders>
              <w:top w:val="single" w:sz="8" w:color="CCEEFF"/>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4.08</w:t>
            </w:r>
          </w:p>
        </w:tc>
        <w:tc>
          <w:tcPr>
            <w:tcW w:w="4660" w:type="dxa"/>
            <w:vAlign w:val="bottom"/>
            <w:tcBorders>
              <w:top w:val="single" w:sz="8" w:color="0000FF"/>
            </w:tcBorders>
            <w:gridSpan w:val="10"/>
          </w:tcPr>
          <w:p>
            <w:pPr>
              <w:spacing w:after="0" w:line="175" w:lineRule="exact"/>
              <w:rPr>
                <w:rFonts w:ascii="Times New Roman" w:cs="Times New Roman" w:eastAsia="Times New Roman" w:hAnsi="Times New Roman"/>
                <w:sz w:val="16"/>
                <w:szCs w:val="16"/>
                <w:color w:val="0000FF"/>
              </w:rPr>
            </w:pPr>
            <w:hyperlink r:id="rId61">
              <w:r>
                <w:rPr>
                  <w:rFonts w:ascii="Times New Roman" w:cs="Times New Roman" w:eastAsia="Times New Roman" w:hAnsi="Times New Roman"/>
                  <w:sz w:val="16"/>
                  <w:szCs w:val="16"/>
                  <w:color w:val="0000FF"/>
                </w:rPr>
                <w:t>Description of Registrant's Securities</w:t>
              </w:r>
            </w:hyperlink>
          </w:p>
        </w:tc>
        <w:tc>
          <w:tcPr>
            <w:tcW w:w="2860" w:type="dxa"/>
            <w:vAlign w:val="bottom"/>
            <w:tcBorders>
              <w:top w:val="single" w:sz="8" w:color="CCEEFF"/>
            </w:tcBorders>
            <w:gridSpan w:val="26"/>
          </w:tcPr>
          <w:p>
            <w:pPr>
              <w:spacing w:after="0"/>
              <w:rPr>
                <w:sz w:val="15"/>
                <w:szCs w:val="15"/>
                <w:color w:val="auto"/>
              </w:rPr>
            </w:pPr>
          </w:p>
        </w:tc>
        <w:tc>
          <w:tcPr>
            <w:tcW w:w="780" w:type="dxa"/>
            <w:vAlign w:val="bottom"/>
            <w:tcBorders>
              <w:top w:val="single" w:sz="8" w:color="CCEEFF"/>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10-K</w:t>
            </w:r>
          </w:p>
        </w:tc>
        <w:tc>
          <w:tcPr>
            <w:tcW w:w="880" w:type="dxa"/>
            <w:vAlign w:val="bottom"/>
            <w:tcBorders>
              <w:top w:val="single" w:sz="8" w:color="CCEEFF"/>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4.06</w:t>
            </w:r>
          </w:p>
        </w:tc>
        <w:tc>
          <w:tcPr>
            <w:tcW w:w="1080" w:type="dxa"/>
            <w:vAlign w:val="bottom"/>
            <w:tcBorders>
              <w:top w:val="single" w:sz="8" w:color="CCEEFF"/>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3/27/2020</w:t>
            </w: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10.01</w:t>
            </w:r>
          </w:p>
        </w:tc>
        <w:tc>
          <w:tcPr>
            <w:tcW w:w="7520" w:type="dxa"/>
            <w:vAlign w:val="bottom"/>
            <w:gridSpan w:val="36"/>
            <w:shd w:val="clear" w:color="auto" w:fill="CCEEFF"/>
          </w:tcPr>
          <w:p>
            <w:pPr>
              <w:spacing w:after="0" w:line="175" w:lineRule="exact"/>
              <w:rPr>
                <w:rFonts w:ascii="Times New Roman" w:cs="Times New Roman" w:eastAsia="Times New Roman" w:hAnsi="Times New Roman"/>
                <w:sz w:val="16"/>
                <w:szCs w:val="16"/>
                <w:color w:val="0000FF"/>
              </w:rPr>
            </w:pPr>
            <w:hyperlink r:id="rId62">
              <w:r>
                <w:rPr>
                  <w:rFonts w:ascii="Times New Roman" w:cs="Times New Roman" w:eastAsia="Times New Roman" w:hAnsi="Times New Roman"/>
                  <w:sz w:val="16"/>
                  <w:szCs w:val="16"/>
                  <w:color w:val="0000FF"/>
                </w:rPr>
                <w:t>The Executive Severance Plan effective September 27, 2018*</w:t>
              </w:r>
            </w:hyperlink>
          </w:p>
        </w:tc>
        <w:tc>
          <w:tcPr>
            <w:tcW w:w="7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10-Q</w:t>
            </w:r>
          </w:p>
        </w:tc>
        <w:tc>
          <w:tcPr>
            <w:tcW w:w="8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10.2</w:t>
            </w:r>
          </w:p>
        </w:tc>
        <w:tc>
          <w:tcPr>
            <w:tcW w:w="10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12/4/2018</w:t>
            </w:r>
          </w:p>
        </w:tc>
        <w:tc>
          <w:tcPr>
            <w:tcW w:w="0" w:type="dxa"/>
            <w:vAlign w:val="bottom"/>
          </w:tcPr>
          <w:p>
            <w:pPr>
              <w:spacing w:after="0"/>
              <w:rPr>
                <w:sz w:val="1"/>
                <w:szCs w:val="1"/>
                <w:color w:val="auto"/>
              </w:rPr>
            </w:pPr>
          </w:p>
        </w:tc>
      </w:tr>
      <w:tr>
        <w:trPr>
          <w:trHeight w:val="21"/>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10.02</w:t>
            </w:r>
          </w:p>
        </w:tc>
        <w:tc>
          <w:tcPr>
            <w:tcW w:w="7520" w:type="dxa"/>
            <w:vAlign w:val="bottom"/>
            <w:gridSpan w:val="36"/>
          </w:tcPr>
          <w:p>
            <w:pPr>
              <w:spacing w:after="0" w:line="175" w:lineRule="exact"/>
              <w:rPr>
                <w:rFonts w:ascii="Times New Roman" w:cs="Times New Roman" w:eastAsia="Times New Roman" w:hAnsi="Times New Roman"/>
                <w:sz w:val="16"/>
                <w:szCs w:val="16"/>
                <w:color w:val="0000FF"/>
              </w:rPr>
            </w:pPr>
            <w:hyperlink r:id="rId63">
              <w:r>
                <w:rPr>
                  <w:rFonts w:ascii="Times New Roman" w:cs="Times New Roman" w:eastAsia="Times New Roman" w:hAnsi="Times New Roman"/>
                  <w:sz w:val="16"/>
                  <w:szCs w:val="16"/>
                  <w:color w:val="0000FF"/>
                </w:rPr>
                <w:t>The Executive Severance Plan Participation Agreement dated September 27, 2018 between Carol Meyrowitz and</w:t>
              </w:r>
            </w:hyperlink>
          </w:p>
        </w:tc>
        <w:tc>
          <w:tcPr>
            <w:tcW w:w="7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10-Q</w:t>
            </w:r>
          </w:p>
        </w:tc>
        <w:tc>
          <w:tcPr>
            <w:tcW w:w="8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10.3</w:t>
            </w:r>
          </w:p>
        </w:tc>
        <w:tc>
          <w:tcPr>
            <w:tcW w:w="10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12/4/2018</w:t>
            </w: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7360" w:type="dxa"/>
            <w:vAlign w:val="bottom"/>
            <w:tcBorders>
              <w:top w:val="single" w:sz="8" w:color="0000FF"/>
            </w:tcBorders>
            <w:gridSpan w:val="30"/>
          </w:tcPr>
          <w:p>
            <w:pPr>
              <w:spacing w:after="0" w:line="142" w:lineRule="exact"/>
              <w:rPr>
                <w:rFonts w:ascii="Times New Roman" w:cs="Times New Roman" w:eastAsia="Times New Roman" w:hAnsi="Times New Roman"/>
                <w:sz w:val="16"/>
                <w:szCs w:val="16"/>
                <w:color w:val="0000FF"/>
              </w:rPr>
            </w:pPr>
            <w:hyperlink r:id="rId63">
              <w:r>
                <w:rPr>
                  <w:rFonts w:ascii="Times New Roman" w:cs="Times New Roman" w:eastAsia="Times New Roman" w:hAnsi="Times New Roman"/>
                  <w:sz w:val="16"/>
                  <w:szCs w:val="16"/>
                  <w:color w:val="0000FF"/>
                </w:rPr>
                <w:t>TJX*</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10.03</w:t>
            </w:r>
          </w:p>
        </w:tc>
        <w:tc>
          <w:tcPr>
            <w:tcW w:w="7520" w:type="dxa"/>
            <w:vAlign w:val="bottom"/>
            <w:gridSpan w:val="36"/>
            <w:shd w:val="clear" w:color="auto" w:fill="CCEEFF"/>
          </w:tcPr>
          <w:p>
            <w:pPr>
              <w:spacing w:after="0" w:line="175" w:lineRule="exact"/>
              <w:rPr>
                <w:rFonts w:ascii="Times New Roman" w:cs="Times New Roman" w:eastAsia="Times New Roman" w:hAnsi="Times New Roman"/>
                <w:sz w:val="16"/>
                <w:szCs w:val="16"/>
                <w:color w:val="0000FF"/>
              </w:rPr>
            </w:pPr>
            <w:hyperlink r:id="rId64">
              <w:r>
                <w:rPr>
                  <w:rFonts w:ascii="Times New Roman" w:cs="Times New Roman" w:eastAsia="Times New Roman" w:hAnsi="Times New Roman"/>
                  <w:sz w:val="16"/>
                  <w:szCs w:val="16"/>
                  <w:color w:val="0000FF"/>
                </w:rPr>
                <w:t>The Employment Agreement dated February 1, 2019 between Carol Meyrowitz and TJX*</w:t>
              </w:r>
            </w:hyperlink>
          </w:p>
        </w:tc>
        <w:tc>
          <w:tcPr>
            <w:tcW w:w="7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10-K</w:t>
            </w:r>
          </w:p>
        </w:tc>
        <w:tc>
          <w:tcPr>
            <w:tcW w:w="8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10.03</w:t>
            </w:r>
          </w:p>
        </w:tc>
        <w:tc>
          <w:tcPr>
            <w:tcW w:w="10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4/3/2019</w:t>
            </w:r>
          </w:p>
        </w:tc>
        <w:tc>
          <w:tcPr>
            <w:tcW w:w="0" w:type="dxa"/>
            <w:vAlign w:val="bottom"/>
          </w:tcPr>
          <w:p>
            <w:pPr>
              <w:spacing w:after="0"/>
              <w:rPr>
                <w:sz w:val="1"/>
                <w:szCs w:val="1"/>
                <w:color w:val="auto"/>
              </w:rPr>
            </w:pP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10.04</w:t>
            </w:r>
          </w:p>
        </w:tc>
        <w:tc>
          <w:tcPr>
            <w:tcW w:w="7520" w:type="dxa"/>
            <w:vAlign w:val="bottom"/>
            <w:gridSpan w:val="36"/>
          </w:tcPr>
          <w:p>
            <w:pPr>
              <w:spacing w:after="0" w:line="175" w:lineRule="exact"/>
              <w:rPr>
                <w:rFonts w:ascii="Times New Roman" w:cs="Times New Roman" w:eastAsia="Times New Roman" w:hAnsi="Times New Roman"/>
                <w:sz w:val="16"/>
                <w:szCs w:val="16"/>
                <w:color w:val="0000FF"/>
              </w:rPr>
            </w:pPr>
            <w:hyperlink r:id="rId65">
              <w:r>
                <w:rPr>
                  <w:rFonts w:ascii="Times New Roman" w:cs="Times New Roman" w:eastAsia="Times New Roman" w:hAnsi="Times New Roman"/>
                  <w:sz w:val="16"/>
                  <w:szCs w:val="16"/>
                  <w:color w:val="0000FF"/>
                </w:rPr>
                <w:t>The Amendment to the Employment Agreement between Carol Meyrowitz and TJX effective as of January 28,</w:t>
              </w:r>
            </w:hyperlink>
          </w:p>
        </w:tc>
        <w:tc>
          <w:tcPr>
            <w:tcW w:w="7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10-K</w:t>
            </w:r>
          </w:p>
        </w:tc>
        <w:tc>
          <w:tcPr>
            <w:tcW w:w="8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10.04</w:t>
            </w:r>
          </w:p>
        </w:tc>
        <w:tc>
          <w:tcPr>
            <w:tcW w:w="10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3/30/2022</w:t>
            </w: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480" w:type="dxa"/>
            <w:vAlign w:val="bottom"/>
            <w:tcBorders>
              <w:top w:val="single" w:sz="8" w:color="0000FF"/>
            </w:tcBorders>
            <w:gridSpan w:val="3"/>
          </w:tcPr>
          <w:p>
            <w:pPr>
              <w:spacing w:after="0" w:line="142" w:lineRule="exact"/>
              <w:rPr>
                <w:rFonts w:ascii="Times New Roman" w:cs="Times New Roman" w:eastAsia="Times New Roman" w:hAnsi="Times New Roman"/>
                <w:sz w:val="16"/>
                <w:szCs w:val="16"/>
                <w:color w:val="0000FF"/>
              </w:rPr>
            </w:pPr>
            <w:hyperlink r:id="rId65">
              <w:r>
                <w:rPr>
                  <w:rFonts w:ascii="Times New Roman" w:cs="Times New Roman" w:eastAsia="Times New Roman" w:hAnsi="Times New Roman"/>
                  <w:sz w:val="16"/>
                  <w:szCs w:val="16"/>
                  <w:color w:val="0000FF"/>
                </w:rPr>
                <w:t>2022*</w:t>
              </w:r>
            </w:hyperlink>
          </w:p>
        </w:tc>
        <w:tc>
          <w:tcPr>
            <w:tcW w:w="160" w:type="dxa"/>
            <w:vAlign w:val="bottom"/>
            <w:tcBorders>
              <w:top w:val="single" w:sz="8" w:color="0000FF"/>
            </w:tcBorders>
          </w:tcPr>
          <w:p>
            <w:pPr>
              <w:spacing w:after="0"/>
              <w:rPr>
                <w:sz w:val="12"/>
                <w:szCs w:val="12"/>
                <w:color w:val="auto"/>
              </w:rPr>
            </w:pPr>
          </w:p>
        </w:tc>
        <w:tc>
          <w:tcPr>
            <w:tcW w:w="76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54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260" w:type="dxa"/>
            <w:vAlign w:val="bottom"/>
            <w:tcBorders>
              <w:top w:val="single" w:sz="8" w:color="0000FF"/>
            </w:tcBorders>
          </w:tcPr>
          <w:p>
            <w:pPr>
              <w:spacing w:after="0"/>
              <w:rPr>
                <w:sz w:val="12"/>
                <w:szCs w:val="12"/>
                <w:color w:val="auto"/>
              </w:rPr>
            </w:pPr>
          </w:p>
        </w:tc>
        <w:tc>
          <w:tcPr>
            <w:tcW w:w="66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8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10.05</w:t>
            </w:r>
          </w:p>
        </w:tc>
        <w:tc>
          <w:tcPr>
            <w:tcW w:w="7520" w:type="dxa"/>
            <w:vAlign w:val="bottom"/>
            <w:gridSpan w:val="36"/>
            <w:shd w:val="clear" w:color="auto" w:fill="CCEEFF"/>
          </w:tcPr>
          <w:p>
            <w:pPr>
              <w:spacing w:after="0" w:line="175" w:lineRule="exact"/>
              <w:rPr>
                <w:rFonts w:ascii="Times New Roman" w:cs="Times New Roman" w:eastAsia="Times New Roman" w:hAnsi="Times New Roman"/>
                <w:sz w:val="16"/>
                <w:szCs w:val="16"/>
                <w:color w:val="0000FF"/>
              </w:rPr>
            </w:pPr>
            <w:hyperlink r:id="rId66">
              <w:r>
                <w:rPr>
                  <w:rFonts w:ascii="Times New Roman" w:cs="Times New Roman" w:eastAsia="Times New Roman" w:hAnsi="Times New Roman"/>
                  <w:sz w:val="16"/>
                  <w:szCs w:val="16"/>
                  <w:color w:val="0000FF"/>
                </w:rPr>
                <w:t>The Executive Severance Plan Participation Agreement dated September 27, 2018 between Ernie Herrman and</w:t>
              </w:r>
            </w:hyperlink>
          </w:p>
        </w:tc>
        <w:tc>
          <w:tcPr>
            <w:tcW w:w="7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10-Q</w:t>
            </w:r>
          </w:p>
        </w:tc>
        <w:tc>
          <w:tcPr>
            <w:tcW w:w="8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10.4</w:t>
            </w:r>
          </w:p>
        </w:tc>
        <w:tc>
          <w:tcPr>
            <w:tcW w:w="10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12/4/2018</w:t>
            </w:r>
          </w:p>
        </w:tc>
        <w:tc>
          <w:tcPr>
            <w:tcW w:w="0" w:type="dxa"/>
            <w:vAlign w:val="bottom"/>
          </w:tcPr>
          <w:p>
            <w:pPr>
              <w:spacing w:after="0"/>
              <w:rPr>
                <w:sz w:val="1"/>
                <w:szCs w:val="1"/>
                <w:color w:val="auto"/>
              </w:rPr>
            </w:pPr>
          </w:p>
        </w:tc>
      </w:tr>
      <w:tr>
        <w:trPr>
          <w:trHeight w:val="142"/>
        </w:trPr>
        <w:tc>
          <w:tcPr>
            <w:tcW w:w="800" w:type="dxa"/>
            <w:vAlign w:val="bottom"/>
            <w:tcBorders>
              <w:top w:val="single" w:sz="8" w:color="CCEEFF"/>
            </w:tcBorders>
            <w:shd w:val="clear" w:color="auto" w:fill="CCEEFF"/>
          </w:tcPr>
          <w:p>
            <w:pPr>
              <w:spacing w:after="0"/>
              <w:rPr>
                <w:sz w:val="12"/>
                <w:szCs w:val="12"/>
                <w:color w:val="auto"/>
              </w:rPr>
            </w:pPr>
          </w:p>
        </w:tc>
        <w:tc>
          <w:tcPr>
            <w:tcW w:w="7200" w:type="dxa"/>
            <w:vAlign w:val="bottom"/>
            <w:tcBorders>
              <w:top w:val="single" w:sz="8" w:color="0000FF"/>
            </w:tcBorders>
            <w:gridSpan w:val="26"/>
            <w:shd w:val="clear" w:color="auto" w:fill="CCEEFF"/>
          </w:tcPr>
          <w:p>
            <w:pPr>
              <w:spacing w:after="0" w:line="142" w:lineRule="exact"/>
              <w:rPr>
                <w:rFonts w:ascii="Times New Roman" w:cs="Times New Roman" w:eastAsia="Times New Roman" w:hAnsi="Times New Roman"/>
                <w:sz w:val="16"/>
                <w:szCs w:val="16"/>
                <w:color w:val="0000FF"/>
              </w:rPr>
            </w:pPr>
            <w:hyperlink r:id="rId66">
              <w:r>
                <w:rPr>
                  <w:rFonts w:ascii="Times New Roman" w:cs="Times New Roman" w:eastAsia="Times New Roman" w:hAnsi="Times New Roman"/>
                  <w:sz w:val="16"/>
                  <w:szCs w:val="16"/>
                  <w:color w:val="0000FF"/>
                </w:rPr>
                <w:t>TJX*</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gridSpan w:val="3"/>
            <w:shd w:val="clear" w:color="auto" w:fill="CCEEFF"/>
          </w:tcPr>
          <w:p>
            <w:pPr>
              <w:spacing w:after="0"/>
              <w:rPr>
                <w:sz w:val="12"/>
                <w:szCs w:val="12"/>
                <w:color w:val="auto"/>
              </w:rPr>
            </w:pPr>
          </w:p>
        </w:tc>
        <w:tc>
          <w:tcPr>
            <w:tcW w:w="78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10.06</w:t>
            </w:r>
          </w:p>
        </w:tc>
        <w:tc>
          <w:tcPr>
            <w:tcW w:w="7520" w:type="dxa"/>
            <w:vAlign w:val="bottom"/>
            <w:gridSpan w:val="36"/>
          </w:tcPr>
          <w:p>
            <w:pPr>
              <w:spacing w:after="0" w:line="175" w:lineRule="exact"/>
              <w:rPr>
                <w:rFonts w:ascii="Times New Roman" w:cs="Times New Roman" w:eastAsia="Times New Roman" w:hAnsi="Times New Roman"/>
                <w:sz w:val="16"/>
                <w:szCs w:val="16"/>
                <w:color w:val="0000FF"/>
              </w:rPr>
            </w:pPr>
            <w:hyperlink r:id="rId67">
              <w:r>
                <w:rPr>
                  <w:rFonts w:ascii="Times New Roman" w:cs="Times New Roman" w:eastAsia="Times New Roman" w:hAnsi="Times New Roman"/>
                  <w:sz w:val="16"/>
                  <w:szCs w:val="16"/>
                  <w:color w:val="0000FF"/>
                </w:rPr>
                <w:t>The Employment Agreement dated February 1, 2019 between Ernie Herrman and TJX*</w:t>
              </w:r>
            </w:hyperlink>
          </w:p>
        </w:tc>
        <w:tc>
          <w:tcPr>
            <w:tcW w:w="7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10-K</w:t>
            </w:r>
          </w:p>
        </w:tc>
        <w:tc>
          <w:tcPr>
            <w:tcW w:w="8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10.05</w:t>
            </w:r>
          </w:p>
        </w:tc>
        <w:tc>
          <w:tcPr>
            <w:tcW w:w="10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4/3/2019</w:t>
            </w: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2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10.07</w:t>
            </w:r>
          </w:p>
        </w:tc>
        <w:tc>
          <w:tcPr>
            <w:tcW w:w="7520" w:type="dxa"/>
            <w:vAlign w:val="bottom"/>
            <w:gridSpan w:val="36"/>
            <w:shd w:val="clear" w:color="auto" w:fill="CCEEFF"/>
          </w:tcPr>
          <w:p>
            <w:pPr>
              <w:spacing w:after="0" w:line="175" w:lineRule="exact"/>
              <w:rPr>
                <w:rFonts w:ascii="Times New Roman" w:cs="Times New Roman" w:eastAsia="Times New Roman" w:hAnsi="Times New Roman"/>
                <w:sz w:val="16"/>
                <w:szCs w:val="16"/>
                <w:color w:val="0000FF"/>
              </w:rPr>
            </w:pPr>
            <w:hyperlink r:id="rId68">
              <w:r>
                <w:rPr>
                  <w:rFonts w:ascii="Times New Roman" w:cs="Times New Roman" w:eastAsia="Times New Roman" w:hAnsi="Times New Roman"/>
                  <w:sz w:val="16"/>
                  <w:szCs w:val="16"/>
                  <w:color w:val="0000FF"/>
                </w:rPr>
                <w:t>The Amendment to the Employment Agreement between Ernie Herrman and TJX effective as of January 28,</w:t>
              </w:r>
            </w:hyperlink>
          </w:p>
        </w:tc>
        <w:tc>
          <w:tcPr>
            <w:tcW w:w="7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10-K</w:t>
            </w:r>
          </w:p>
        </w:tc>
        <w:tc>
          <w:tcPr>
            <w:tcW w:w="8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10.07</w:t>
            </w:r>
          </w:p>
        </w:tc>
        <w:tc>
          <w:tcPr>
            <w:tcW w:w="10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3/30/2022</w:t>
            </w:r>
          </w:p>
        </w:tc>
        <w:tc>
          <w:tcPr>
            <w:tcW w:w="0" w:type="dxa"/>
            <w:vAlign w:val="bottom"/>
          </w:tcPr>
          <w:p>
            <w:pPr>
              <w:spacing w:after="0"/>
              <w:rPr>
                <w:sz w:val="1"/>
                <w:szCs w:val="1"/>
                <w:color w:val="auto"/>
              </w:rPr>
            </w:pPr>
          </w:p>
        </w:tc>
      </w:tr>
      <w:tr>
        <w:trPr>
          <w:trHeight w:val="163"/>
        </w:trPr>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420" w:type="dxa"/>
            <w:vAlign w:val="bottom"/>
            <w:tcBorders>
              <w:top w:val="single" w:sz="8" w:color="0000FF"/>
              <w:bottom w:val="single" w:sz="8" w:color="0000FF"/>
            </w:tcBorders>
            <w:gridSpan w:val="2"/>
            <w:shd w:val="clear" w:color="auto" w:fill="CCEEFF"/>
          </w:tcPr>
          <w:p>
            <w:pPr>
              <w:spacing w:after="0" w:line="142" w:lineRule="exact"/>
              <w:rPr>
                <w:rFonts w:ascii="Times New Roman" w:cs="Times New Roman" w:eastAsia="Times New Roman" w:hAnsi="Times New Roman"/>
                <w:sz w:val="16"/>
                <w:szCs w:val="16"/>
                <w:color w:val="0000FF"/>
                <w:w w:val="99"/>
              </w:rPr>
            </w:pPr>
            <w:hyperlink r:id="rId68">
              <w:r>
                <w:rPr>
                  <w:rFonts w:ascii="Times New Roman" w:cs="Times New Roman" w:eastAsia="Times New Roman" w:hAnsi="Times New Roman"/>
                  <w:sz w:val="16"/>
                  <w:szCs w:val="16"/>
                  <w:color w:val="0000FF"/>
                  <w:w w:val="99"/>
                </w:rPr>
                <w:t>2022*</w:t>
              </w:r>
            </w:hyperlink>
          </w:p>
        </w:tc>
        <w:tc>
          <w:tcPr>
            <w:tcW w:w="60" w:type="dxa"/>
            <w:vAlign w:val="bottom"/>
            <w:tcBorders>
              <w:top w:val="single" w:sz="8" w:color="0000FF"/>
              <w:bottom w:val="single" w:sz="8" w:color="CCEEFF"/>
            </w:tcBorders>
            <w:shd w:val="clear" w:color="auto" w:fill="CCEEFF"/>
          </w:tcPr>
          <w:p>
            <w:pPr>
              <w:spacing w:after="0"/>
              <w:rPr>
                <w:sz w:val="14"/>
                <w:szCs w:val="14"/>
                <w:color w:val="auto"/>
              </w:rPr>
            </w:pPr>
          </w:p>
        </w:tc>
        <w:tc>
          <w:tcPr>
            <w:tcW w:w="160" w:type="dxa"/>
            <w:vAlign w:val="bottom"/>
            <w:tcBorders>
              <w:top w:val="single" w:sz="8" w:color="0000FF"/>
              <w:bottom w:val="single" w:sz="8" w:color="CCEEFF"/>
            </w:tcBorders>
            <w:shd w:val="clear" w:color="auto" w:fill="CCEEFF"/>
          </w:tcPr>
          <w:p>
            <w:pPr>
              <w:spacing w:after="0"/>
              <w:rPr>
                <w:sz w:val="14"/>
                <w:szCs w:val="14"/>
                <w:color w:val="auto"/>
              </w:rPr>
            </w:pPr>
          </w:p>
        </w:tc>
        <w:tc>
          <w:tcPr>
            <w:tcW w:w="760" w:type="dxa"/>
            <w:vAlign w:val="bottom"/>
            <w:tcBorders>
              <w:top w:val="single" w:sz="8" w:color="0000FF"/>
              <w:bottom w:val="single" w:sz="8" w:color="CCEEFF"/>
            </w:tcBorders>
            <w:shd w:val="clear" w:color="auto" w:fill="CCEEFF"/>
          </w:tcPr>
          <w:p>
            <w:pPr>
              <w:spacing w:after="0"/>
              <w:rPr>
                <w:sz w:val="14"/>
                <w:szCs w:val="14"/>
                <w:color w:val="auto"/>
              </w:rPr>
            </w:pPr>
          </w:p>
        </w:tc>
        <w:tc>
          <w:tcPr>
            <w:tcW w:w="480" w:type="dxa"/>
            <w:vAlign w:val="bottom"/>
            <w:tcBorders>
              <w:top w:val="single" w:sz="8" w:color="0000FF"/>
              <w:bottom w:val="single" w:sz="8" w:color="CCEEFF"/>
            </w:tcBorders>
            <w:shd w:val="clear" w:color="auto" w:fill="CCEEFF"/>
          </w:tcPr>
          <w:p>
            <w:pPr>
              <w:spacing w:after="0"/>
              <w:rPr>
                <w:sz w:val="14"/>
                <w:szCs w:val="14"/>
                <w:color w:val="auto"/>
              </w:rPr>
            </w:pPr>
          </w:p>
        </w:tc>
        <w:tc>
          <w:tcPr>
            <w:tcW w:w="540" w:type="dxa"/>
            <w:vAlign w:val="bottom"/>
            <w:tcBorders>
              <w:top w:val="single" w:sz="8" w:color="0000FF"/>
              <w:bottom w:val="single" w:sz="8" w:color="CCEEFF"/>
            </w:tcBorders>
            <w:shd w:val="clear" w:color="auto" w:fill="CCEEFF"/>
          </w:tcPr>
          <w:p>
            <w:pPr>
              <w:spacing w:after="0"/>
              <w:rPr>
                <w:sz w:val="14"/>
                <w:szCs w:val="14"/>
                <w:color w:val="auto"/>
              </w:rPr>
            </w:pPr>
          </w:p>
        </w:tc>
        <w:tc>
          <w:tcPr>
            <w:tcW w:w="320" w:type="dxa"/>
            <w:vAlign w:val="bottom"/>
            <w:tcBorders>
              <w:top w:val="single" w:sz="8" w:color="0000FF"/>
              <w:bottom w:val="single" w:sz="8" w:color="CCEEFF"/>
            </w:tcBorders>
            <w:shd w:val="clear" w:color="auto" w:fill="CCEEFF"/>
          </w:tcPr>
          <w:p>
            <w:pPr>
              <w:spacing w:after="0"/>
              <w:rPr>
                <w:sz w:val="14"/>
                <w:szCs w:val="14"/>
                <w:color w:val="auto"/>
              </w:rPr>
            </w:pPr>
          </w:p>
        </w:tc>
        <w:tc>
          <w:tcPr>
            <w:tcW w:w="1260" w:type="dxa"/>
            <w:vAlign w:val="bottom"/>
            <w:tcBorders>
              <w:top w:val="single" w:sz="8" w:color="0000FF"/>
              <w:bottom w:val="single" w:sz="8" w:color="CCEEFF"/>
            </w:tcBorders>
            <w:shd w:val="clear" w:color="auto" w:fill="CCEEFF"/>
          </w:tcPr>
          <w:p>
            <w:pPr>
              <w:spacing w:after="0"/>
              <w:rPr>
                <w:sz w:val="14"/>
                <w:szCs w:val="14"/>
                <w:color w:val="auto"/>
              </w:rPr>
            </w:pPr>
          </w:p>
        </w:tc>
        <w:tc>
          <w:tcPr>
            <w:tcW w:w="660" w:type="dxa"/>
            <w:vAlign w:val="bottom"/>
            <w:tcBorders>
              <w:top w:val="single" w:sz="8" w:color="0000FF"/>
              <w:bottom w:val="single" w:sz="8" w:color="CCEEFF"/>
            </w:tcBorders>
            <w:shd w:val="clear" w:color="auto" w:fill="CCEEFF"/>
          </w:tcPr>
          <w:p>
            <w:pPr>
              <w:spacing w:after="0"/>
              <w:rPr>
                <w:sz w:val="14"/>
                <w:szCs w:val="14"/>
                <w:color w:val="auto"/>
              </w:rPr>
            </w:pPr>
          </w:p>
        </w:tc>
        <w:tc>
          <w:tcPr>
            <w:tcW w:w="180" w:type="dxa"/>
            <w:vAlign w:val="bottom"/>
            <w:tcBorders>
              <w:top w:val="single" w:sz="8" w:color="0000FF"/>
              <w:bottom w:val="single" w:sz="8" w:color="CCEEFF"/>
            </w:tcBorders>
            <w:shd w:val="clear" w:color="auto" w:fill="CCEEFF"/>
          </w:tcPr>
          <w:p>
            <w:pPr>
              <w:spacing w:after="0"/>
              <w:rPr>
                <w:sz w:val="14"/>
                <w:szCs w:val="14"/>
                <w:color w:val="auto"/>
              </w:rPr>
            </w:pPr>
          </w:p>
        </w:tc>
        <w:tc>
          <w:tcPr>
            <w:tcW w:w="8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12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120" w:type="dxa"/>
            <w:vAlign w:val="bottom"/>
            <w:tcBorders>
              <w:top w:val="single" w:sz="8" w:color="0000FF"/>
              <w:bottom w:val="single" w:sz="8" w:color="CCEEFF"/>
            </w:tcBorders>
            <w:shd w:val="clear" w:color="auto" w:fill="CCEEFF"/>
          </w:tcPr>
          <w:p>
            <w:pPr>
              <w:spacing w:after="0"/>
              <w:rPr>
                <w:sz w:val="14"/>
                <w:szCs w:val="14"/>
                <w:color w:val="auto"/>
              </w:rPr>
            </w:pPr>
          </w:p>
        </w:tc>
        <w:tc>
          <w:tcPr>
            <w:tcW w:w="400" w:type="dxa"/>
            <w:vAlign w:val="bottom"/>
            <w:tcBorders>
              <w:top w:val="single" w:sz="8" w:color="0000FF"/>
              <w:bottom w:val="single" w:sz="8" w:color="CCEEFF"/>
            </w:tcBorders>
            <w:shd w:val="clear" w:color="auto" w:fill="CCEEFF"/>
          </w:tcPr>
          <w:p>
            <w:pPr>
              <w:spacing w:after="0"/>
              <w:rPr>
                <w:sz w:val="14"/>
                <w:szCs w:val="14"/>
                <w:color w:val="auto"/>
              </w:rPr>
            </w:pPr>
          </w:p>
        </w:tc>
        <w:tc>
          <w:tcPr>
            <w:tcW w:w="120" w:type="dxa"/>
            <w:vAlign w:val="bottom"/>
            <w:tcBorders>
              <w:top w:val="single" w:sz="8" w:color="0000FF"/>
              <w:bottom w:val="single" w:sz="8" w:color="CCEEFF"/>
            </w:tcBorders>
            <w:shd w:val="clear" w:color="auto" w:fill="CCEEFF"/>
          </w:tcPr>
          <w:p>
            <w:pPr>
              <w:spacing w:after="0"/>
              <w:rPr>
                <w:sz w:val="14"/>
                <w:szCs w:val="14"/>
                <w:color w:val="auto"/>
              </w:rPr>
            </w:pPr>
          </w:p>
        </w:tc>
        <w:tc>
          <w:tcPr>
            <w:tcW w:w="160" w:type="dxa"/>
            <w:vAlign w:val="bottom"/>
            <w:tcBorders>
              <w:top w:val="single" w:sz="8" w:color="0000FF"/>
              <w:bottom w:val="single" w:sz="8" w:color="CCEEFF"/>
            </w:tcBorders>
            <w:shd w:val="clear" w:color="auto" w:fill="CCEEFF"/>
          </w:tcPr>
          <w:p>
            <w:pPr>
              <w:spacing w:after="0"/>
              <w:rPr>
                <w:sz w:val="14"/>
                <w:szCs w:val="14"/>
                <w:color w:val="auto"/>
              </w:rPr>
            </w:pPr>
          </w:p>
        </w:tc>
        <w:tc>
          <w:tcPr>
            <w:tcW w:w="260" w:type="dxa"/>
            <w:vAlign w:val="bottom"/>
            <w:tcBorders>
              <w:top w:val="single" w:sz="8" w:color="0000FF"/>
              <w:bottom w:val="single" w:sz="8" w:color="CCEEFF"/>
            </w:tcBorders>
            <w:shd w:val="clear" w:color="auto" w:fill="CCEEFF"/>
          </w:tcPr>
          <w:p>
            <w:pPr>
              <w:spacing w:after="0"/>
              <w:rPr>
                <w:sz w:val="14"/>
                <w:szCs w:val="14"/>
                <w:color w:val="auto"/>
              </w:rPr>
            </w:pPr>
          </w:p>
        </w:tc>
        <w:tc>
          <w:tcPr>
            <w:tcW w:w="60" w:type="dxa"/>
            <w:vAlign w:val="bottom"/>
            <w:tcBorders>
              <w:top w:val="single" w:sz="8" w:color="0000FF"/>
              <w:bottom w:val="single" w:sz="8" w:color="CCEEFF"/>
            </w:tcBorders>
            <w:shd w:val="clear" w:color="auto" w:fill="CCEEFF"/>
          </w:tcPr>
          <w:p>
            <w:pPr>
              <w:spacing w:after="0"/>
              <w:rPr>
                <w:sz w:val="14"/>
                <w:szCs w:val="14"/>
                <w:color w:val="auto"/>
              </w:rPr>
            </w:pPr>
          </w:p>
        </w:tc>
        <w:tc>
          <w:tcPr>
            <w:tcW w:w="60" w:type="dxa"/>
            <w:vAlign w:val="bottom"/>
            <w:tcBorders>
              <w:top w:val="single" w:sz="8" w:color="0000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780" w:type="dxa"/>
            <w:vAlign w:val="bottom"/>
            <w:tcBorders>
              <w:top w:val="single" w:sz="8" w:color="CCEEFF"/>
              <w:bottom w:val="single" w:sz="8" w:color="CCEEFF"/>
            </w:tcBorders>
            <w:shd w:val="clear" w:color="auto" w:fill="CCEEFF"/>
          </w:tcPr>
          <w:p>
            <w:pPr>
              <w:spacing w:after="0"/>
              <w:rPr>
                <w:sz w:val="14"/>
                <w:szCs w:val="14"/>
                <w:color w:val="auto"/>
              </w:rPr>
            </w:pPr>
          </w:p>
        </w:tc>
        <w:tc>
          <w:tcPr>
            <w:tcW w:w="880" w:type="dxa"/>
            <w:vAlign w:val="bottom"/>
            <w:tcBorders>
              <w:top w:val="single" w:sz="8" w:color="CCEEFF"/>
              <w:bottom w:val="single" w:sz="8" w:color="CCEEFF"/>
            </w:tcBorders>
            <w:shd w:val="clear" w:color="auto" w:fill="CCEEFF"/>
          </w:tcPr>
          <w:p>
            <w:pPr>
              <w:spacing w:after="0"/>
              <w:rPr>
                <w:sz w:val="14"/>
                <w:szCs w:val="14"/>
                <w:color w:val="auto"/>
              </w:rPr>
            </w:pPr>
          </w:p>
        </w:tc>
        <w:tc>
          <w:tcPr>
            <w:tcW w:w="108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10.08</w:t>
            </w:r>
          </w:p>
        </w:tc>
        <w:tc>
          <w:tcPr>
            <w:tcW w:w="7520" w:type="dxa"/>
            <w:vAlign w:val="bottom"/>
            <w:gridSpan w:val="36"/>
          </w:tcPr>
          <w:p>
            <w:pPr>
              <w:spacing w:after="0" w:line="175" w:lineRule="exact"/>
              <w:rPr>
                <w:rFonts w:ascii="Times New Roman" w:cs="Times New Roman" w:eastAsia="Times New Roman" w:hAnsi="Times New Roman"/>
                <w:sz w:val="16"/>
                <w:szCs w:val="16"/>
                <w:color w:val="0000FF"/>
              </w:rPr>
            </w:pPr>
            <w:hyperlink r:id="rId69">
              <w:r>
                <w:rPr>
                  <w:rFonts w:ascii="Times New Roman" w:cs="Times New Roman" w:eastAsia="Times New Roman" w:hAnsi="Times New Roman"/>
                  <w:sz w:val="16"/>
                  <w:szCs w:val="16"/>
                  <w:color w:val="0000FF"/>
                </w:rPr>
                <w:t>The Employment Agreement dated February 2, 2018 between Scott Goldenberg and TJX*</w:t>
              </w:r>
            </w:hyperlink>
          </w:p>
        </w:tc>
        <w:tc>
          <w:tcPr>
            <w:tcW w:w="7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10-K</w:t>
            </w:r>
          </w:p>
        </w:tc>
        <w:tc>
          <w:tcPr>
            <w:tcW w:w="8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10.5</w:t>
            </w:r>
          </w:p>
        </w:tc>
        <w:tc>
          <w:tcPr>
            <w:tcW w:w="10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4/4/2018</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2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10.09</w:t>
            </w:r>
          </w:p>
        </w:tc>
        <w:tc>
          <w:tcPr>
            <w:tcW w:w="7520" w:type="dxa"/>
            <w:vAlign w:val="bottom"/>
            <w:gridSpan w:val="36"/>
            <w:shd w:val="clear" w:color="auto" w:fill="CCEEFF"/>
          </w:tcPr>
          <w:p>
            <w:pPr>
              <w:spacing w:after="0" w:line="175" w:lineRule="exact"/>
              <w:rPr>
                <w:rFonts w:ascii="Times New Roman" w:cs="Times New Roman" w:eastAsia="Times New Roman" w:hAnsi="Times New Roman"/>
                <w:sz w:val="16"/>
                <w:szCs w:val="16"/>
                <w:color w:val="0000FF"/>
              </w:rPr>
            </w:pPr>
            <w:hyperlink r:id="rId70">
              <w:r>
                <w:rPr>
                  <w:rFonts w:ascii="Times New Roman" w:cs="Times New Roman" w:eastAsia="Times New Roman" w:hAnsi="Times New Roman"/>
                  <w:sz w:val="16"/>
                  <w:szCs w:val="16"/>
                  <w:color w:val="0000FF"/>
                </w:rPr>
                <w:t>The Executive Severance Plan Participation Agreement dated September 27, 2018 between Scott Goldenberg and</w:t>
              </w:r>
            </w:hyperlink>
          </w:p>
        </w:tc>
        <w:tc>
          <w:tcPr>
            <w:tcW w:w="7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10-Q</w:t>
            </w:r>
          </w:p>
        </w:tc>
        <w:tc>
          <w:tcPr>
            <w:tcW w:w="8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10.5</w:t>
            </w:r>
          </w:p>
        </w:tc>
        <w:tc>
          <w:tcPr>
            <w:tcW w:w="10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12/4/2018</w:t>
            </w:r>
          </w:p>
        </w:tc>
        <w:tc>
          <w:tcPr>
            <w:tcW w:w="0" w:type="dxa"/>
            <w:vAlign w:val="bottom"/>
          </w:tcPr>
          <w:p>
            <w:pPr>
              <w:spacing w:after="0"/>
              <w:rPr>
                <w:sz w:val="1"/>
                <w:szCs w:val="1"/>
                <w:color w:val="auto"/>
              </w:rPr>
            </w:pPr>
          </w:p>
        </w:tc>
      </w:tr>
      <w:tr>
        <w:trPr>
          <w:trHeight w:val="142"/>
        </w:trPr>
        <w:tc>
          <w:tcPr>
            <w:tcW w:w="800" w:type="dxa"/>
            <w:vAlign w:val="bottom"/>
            <w:tcBorders>
              <w:top w:val="single" w:sz="8" w:color="CCEEFF"/>
            </w:tcBorders>
            <w:shd w:val="clear" w:color="auto" w:fill="CCEEFF"/>
          </w:tcPr>
          <w:p>
            <w:pPr>
              <w:spacing w:after="0"/>
              <w:rPr>
                <w:sz w:val="12"/>
                <w:szCs w:val="12"/>
                <w:color w:val="auto"/>
              </w:rPr>
            </w:pPr>
          </w:p>
        </w:tc>
        <w:tc>
          <w:tcPr>
            <w:tcW w:w="7400" w:type="dxa"/>
            <w:vAlign w:val="bottom"/>
            <w:tcBorders>
              <w:top w:val="single" w:sz="8" w:color="0000FF"/>
            </w:tcBorders>
            <w:gridSpan w:val="32"/>
            <w:shd w:val="clear" w:color="auto" w:fill="CCEEFF"/>
          </w:tcPr>
          <w:p>
            <w:pPr>
              <w:spacing w:after="0" w:line="142" w:lineRule="exact"/>
              <w:rPr>
                <w:rFonts w:ascii="Times New Roman" w:cs="Times New Roman" w:eastAsia="Times New Roman" w:hAnsi="Times New Roman"/>
                <w:sz w:val="16"/>
                <w:szCs w:val="16"/>
                <w:color w:val="0000FF"/>
              </w:rPr>
            </w:pPr>
            <w:hyperlink r:id="rId70">
              <w:r>
                <w:rPr>
                  <w:rFonts w:ascii="Times New Roman" w:cs="Times New Roman" w:eastAsia="Times New Roman" w:hAnsi="Times New Roman"/>
                  <w:sz w:val="16"/>
                  <w:szCs w:val="16"/>
                  <w:color w:val="0000FF"/>
                </w:rPr>
                <w:t>TJX*</w:t>
              </w:r>
            </w:hyperlink>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gridSpan w:val="3"/>
            <w:shd w:val="clear" w:color="auto" w:fill="CCEEFF"/>
          </w:tcPr>
          <w:p>
            <w:pPr>
              <w:spacing w:after="0"/>
              <w:rPr>
                <w:sz w:val="12"/>
                <w:szCs w:val="12"/>
                <w:color w:val="auto"/>
              </w:rPr>
            </w:pPr>
          </w:p>
        </w:tc>
        <w:tc>
          <w:tcPr>
            <w:tcW w:w="78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10.10</w:t>
            </w:r>
          </w:p>
        </w:tc>
        <w:tc>
          <w:tcPr>
            <w:tcW w:w="7520" w:type="dxa"/>
            <w:vAlign w:val="bottom"/>
            <w:gridSpan w:val="36"/>
          </w:tcPr>
          <w:p>
            <w:pPr>
              <w:spacing w:after="0" w:line="175" w:lineRule="exact"/>
              <w:rPr>
                <w:rFonts w:ascii="Times New Roman" w:cs="Times New Roman" w:eastAsia="Times New Roman" w:hAnsi="Times New Roman"/>
                <w:sz w:val="16"/>
                <w:szCs w:val="16"/>
                <w:color w:val="0000FF"/>
              </w:rPr>
            </w:pPr>
            <w:hyperlink r:id="rId71">
              <w:r>
                <w:rPr>
                  <w:rFonts w:ascii="Times New Roman" w:cs="Times New Roman" w:eastAsia="Times New Roman" w:hAnsi="Times New Roman"/>
                  <w:sz w:val="16"/>
                  <w:szCs w:val="16"/>
                  <w:color w:val="0000FF"/>
                </w:rPr>
                <w:t>The Amendment to the Employment Agreement between Scott Goldenberg and TJX effective as of February 13,</w:t>
              </w:r>
            </w:hyperlink>
          </w:p>
        </w:tc>
        <w:tc>
          <w:tcPr>
            <w:tcW w:w="7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10-K</w:t>
            </w:r>
          </w:p>
        </w:tc>
        <w:tc>
          <w:tcPr>
            <w:tcW w:w="8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10.13</w:t>
            </w:r>
          </w:p>
        </w:tc>
        <w:tc>
          <w:tcPr>
            <w:tcW w:w="10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4/3/2019</w:t>
            </w: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480" w:type="dxa"/>
            <w:vAlign w:val="bottom"/>
            <w:tcBorders>
              <w:top w:val="single" w:sz="8" w:color="0000FF"/>
            </w:tcBorders>
            <w:gridSpan w:val="3"/>
          </w:tcPr>
          <w:p>
            <w:pPr>
              <w:spacing w:after="0" w:line="142" w:lineRule="exact"/>
              <w:rPr>
                <w:rFonts w:ascii="Times New Roman" w:cs="Times New Roman" w:eastAsia="Times New Roman" w:hAnsi="Times New Roman"/>
                <w:sz w:val="16"/>
                <w:szCs w:val="16"/>
                <w:color w:val="0000FF"/>
              </w:rPr>
            </w:pPr>
            <w:hyperlink r:id="rId71">
              <w:r>
                <w:rPr>
                  <w:rFonts w:ascii="Times New Roman" w:cs="Times New Roman" w:eastAsia="Times New Roman" w:hAnsi="Times New Roman"/>
                  <w:sz w:val="16"/>
                  <w:szCs w:val="16"/>
                  <w:color w:val="0000FF"/>
                </w:rPr>
                <w:t>2019*</w:t>
              </w:r>
            </w:hyperlink>
          </w:p>
        </w:tc>
        <w:tc>
          <w:tcPr>
            <w:tcW w:w="160" w:type="dxa"/>
            <w:vAlign w:val="bottom"/>
            <w:tcBorders>
              <w:top w:val="single" w:sz="8" w:color="0000FF"/>
            </w:tcBorders>
          </w:tcPr>
          <w:p>
            <w:pPr>
              <w:spacing w:after="0"/>
              <w:rPr>
                <w:sz w:val="12"/>
                <w:szCs w:val="12"/>
                <w:color w:val="auto"/>
              </w:rPr>
            </w:pPr>
          </w:p>
        </w:tc>
        <w:tc>
          <w:tcPr>
            <w:tcW w:w="76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54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260" w:type="dxa"/>
            <w:vAlign w:val="bottom"/>
            <w:tcBorders>
              <w:top w:val="single" w:sz="8" w:color="0000FF"/>
            </w:tcBorders>
          </w:tcPr>
          <w:p>
            <w:pPr>
              <w:spacing w:after="0"/>
              <w:rPr>
                <w:sz w:val="12"/>
                <w:szCs w:val="12"/>
                <w:color w:val="auto"/>
              </w:rPr>
            </w:pPr>
          </w:p>
        </w:tc>
        <w:tc>
          <w:tcPr>
            <w:tcW w:w="66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8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10.11</w:t>
            </w:r>
          </w:p>
        </w:tc>
        <w:tc>
          <w:tcPr>
            <w:tcW w:w="7520" w:type="dxa"/>
            <w:vAlign w:val="bottom"/>
            <w:gridSpan w:val="36"/>
            <w:shd w:val="clear" w:color="auto" w:fill="CCEEFF"/>
          </w:tcPr>
          <w:p>
            <w:pPr>
              <w:spacing w:after="0" w:line="175" w:lineRule="exact"/>
              <w:rPr>
                <w:rFonts w:ascii="Times New Roman" w:cs="Times New Roman" w:eastAsia="Times New Roman" w:hAnsi="Times New Roman"/>
                <w:sz w:val="16"/>
                <w:szCs w:val="16"/>
                <w:color w:val="0000FF"/>
              </w:rPr>
            </w:pPr>
            <w:hyperlink r:id="rId72">
              <w:r>
                <w:rPr>
                  <w:rFonts w:ascii="Times New Roman" w:cs="Times New Roman" w:eastAsia="Times New Roman" w:hAnsi="Times New Roman"/>
                  <w:sz w:val="16"/>
                  <w:szCs w:val="16"/>
                  <w:color w:val="0000FF"/>
                </w:rPr>
                <w:t>The Amendment to the Employment Agreement between Scott Goldenberg and TJX effective as of January 29,</w:t>
              </w:r>
            </w:hyperlink>
          </w:p>
        </w:tc>
        <w:tc>
          <w:tcPr>
            <w:tcW w:w="7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10-K</w:t>
            </w:r>
          </w:p>
        </w:tc>
        <w:tc>
          <w:tcPr>
            <w:tcW w:w="8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10.13</w:t>
            </w:r>
          </w:p>
        </w:tc>
        <w:tc>
          <w:tcPr>
            <w:tcW w:w="10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3/31/2021</w:t>
            </w:r>
          </w:p>
        </w:tc>
        <w:tc>
          <w:tcPr>
            <w:tcW w:w="0" w:type="dxa"/>
            <w:vAlign w:val="bottom"/>
          </w:tcPr>
          <w:p>
            <w:pPr>
              <w:spacing w:after="0"/>
              <w:rPr>
                <w:sz w:val="1"/>
                <w:szCs w:val="1"/>
                <w:color w:val="auto"/>
              </w:rPr>
            </w:pPr>
          </w:p>
        </w:tc>
      </w:tr>
      <w:tr>
        <w:trPr>
          <w:trHeight w:val="163"/>
        </w:trPr>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420" w:type="dxa"/>
            <w:vAlign w:val="bottom"/>
            <w:tcBorders>
              <w:top w:val="single" w:sz="8" w:color="0000FF"/>
              <w:bottom w:val="single" w:sz="8" w:color="0000FF"/>
            </w:tcBorders>
            <w:gridSpan w:val="2"/>
            <w:shd w:val="clear" w:color="auto" w:fill="CCEEFF"/>
          </w:tcPr>
          <w:p>
            <w:pPr>
              <w:spacing w:after="0" w:line="142" w:lineRule="exact"/>
              <w:rPr>
                <w:rFonts w:ascii="Times New Roman" w:cs="Times New Roman" w:eastAsia="Times New Roman" w:hAnsi="Times New Roman"/>
                <w:sz w:val="16"/>
                <w:szCs w:val="16"/>
                <w:color w:val="0000FF"/>
                <w:w w:val="99"/>
              </w:rPr>
            </w:pPr>
            <w:hyperlink r:id="rId72">
              <w:r>
                <w:rPr>
                  <w:rFonts w:ascii="Times New Roman" w:cs="Times New Roman" w:eastAsia="Times New Roman" w:hAnsi="Times New Roman"/>
                  <w:sz w:val="16"/>
                  <w:szCs w:val="16"/>
                  <w:color w:val="0000FF"/>
                  <w:w w:val="99"/>
                </w:rPr>
                <w:t>2021*</w:t>
              </w:r>
            </w:hyperlink>
          </w:p>
        </w:tc>
        <w:tc>
          <w:tcPr>
            <w:tcW w:w="60" w:type="dxa"/>
            <w:vAlign w:val="bottom"/>
            <w:tcBorders>
              <w:top w:val="single" w:sz="8" w:color="0000FF"/>
              <w:bottom w:val="single" w:sz="8" w:color="CCEEFF"/>
            </w:tcBorders>
            <w:shd w:val="clear" w:color="auto" w:fill="CCEEFF"/>
          </w:tcPr>
          <w:p>
            <w:pPr>
              <w:spacing w:after="0"/>
              <w:rPr>
                <w:sz w:val="14"/>
                <w:szCs w:val="14"/>
                <w:color w:val="auto"/>
              </w:rPr>
            </w:pPr>
          </w:p>
        </w:tc>
        <w:tc>
          <w:tcPr>
            <w:tcW w:w="160" w:type="dxa"/>
            <w:vAlign w:val="bottom"/>
            <w:tcBorders>
              <w:top w:val="single" w:sz="8" w:color="0000FF"/>
              <w:bottom w:val="single" w:sz="8" w:color="CCEEFF"/>
            </w:tcBorders>
            <w:shd w:val="clear" w:color="auto" w:fill="CCEEFF"/>
          </w:tcPr>
          <w:p>
            <w:pPr>
              <w:spacing w:after="0"/>
              <w:rPr>
                <w:sz w:val="14"/>
                <w:szCs w:val="14"/>
                <w:color w:val="auto"/>
              </w:rPr>
            </w:pPr>
          </w:p>
        </w:tc>
        <w:tc>
          <w:tcPr>
            <w:tcW w:w="760" w:type="dxa"/>
            <w:vAlign w:val="bottom"/>
            <w:tcBorders>
              <w:top w:val="single" w:sz="8" w:color="0000FF"/>
              <w:bottom w:val="single" w:sz="8" w:color="CCEEFF"/>
            </w:tcBorders>
            <w:shd w:val="clear" w:color="auto" w:fill="CCEEFF"/>
          </w:tcPr>
          <w:p>
            <w:pPr>
              <w:spacing w:after="0"/>
              <w:rPr>
                <w:sz w:val="14"/>
                <w:szCs w:val="14"/>
                <w:color w:val="auto"/>
              </w:rPr>
            </w:pPr>
          </w:p>
        </w:tc>
        <w:tc>
          <w:tcPr>
            <w:tcW w:w="480" w:type="dxa"/>
            <w:vAlign w:val="bottom"/>
            <w:tcBorders>
              <w:top w:val="single" w:sz="8" w:color="0000FF"/>
              <w:bottom w:val="single" w:sz="8" w:color="CCEEFF"/>
            </w:tcBorders>
            <w:shd w:val="clear" w:color="auto" w:fill="CCEEFF"/>
          </w:tcPr>
          <w:p>
            <w:pPr>
              <w:spacing w:after="0"/>
              <w:rPr>
                <w:sz w:val="14"/>
                <w:szCs w:val="14"/>
                <w:color w:val="auto"/>
              </w:rPr>
            </w:pPr>
          </w:p>
        </w:tc>
        <w:tc>
          <w:tcPr>
            <w:tcW w:w="540" w:type="dxa"/>
            <w:vAlign w:val="bottom"/>
            <w:tcBorders>
              <w:top w:val="single" w:sz="8" w:color="0000FF"/>
              <w:bottom w:val="single" w:sz="8" w:color="CCEEFF"/>
            </w:tcBorders>
            <w:shd w:val="clear" w:color="auto" w:fill="CCEEFF"/>
          </w:tcPr>
          <w:p>
            <w:pPr>
              <w:spacing w:after="0"/>
              <w:rPr>
                <w:sz w:val="14"/>
                <w:szCs w:val="14"/>
                <w:color w:val="auto"/>
              </w:rPr>
            </w:pPr>
          </w:p>
        </w:tc>
        <w:tc>
          <w:tcPr>
            <w:tcW w:w="320" w:type="dxa"/>
            <w:vAlign w:val="bottom"/>
            <w:tcBorders>
              <w:top w:val="single" w:sz="8" w:color="0000FF"/>
              <w:bottom w:val="single" w:sz="8" w:color="CCEEFF"/>
            </w:tcBorders>
            <w:shd w:val="clear" w:color="auto" w:fill="CCEEFF"/>
          </w:tcPr>
          <w:p>
            <w:pPr>
              <w:spacing w:after="0"/>
              <w:rPr>
                <w:sz w:val="14"/>
                <w:szCs w:val="14"/>
                <w:color w:val="auto"/>
              </w:rPr>
            </w:pPr>
          </w:p>
        </w:tc>
        <w:tc>
          <w:tcPr>
            <w:tcW w:w="1260" w:type="dxa"/>
            <w:vAlign w:val="bottom"/>
            <w:tcBorders>
              <w:top w:val="single" w:sz="8" w:color="0000FF"/>
              <w:bottom w:val="single" w:sz="8" w:color="CCEEFF"/>
            </w:tcBorders>
            <w:shd w:val="clear" w:color="auto" w:fill="CCEEFF"/>
          </w:tcPr>
          <w:p>
            <w:pPr>
              <w:spacing w:after="0"/>
              <w:rPr>
                <w:sz w:val="14"/>
                <w:szCs w:val="14"/>
                <w:color w:val="auto"/>
              </w:rPr>
            </w:pPr>
          </w:p>
        </w:tc>
        <w:tc>
          <w:tcPr>
            <w:tcW w:w="660" w:type="dxa"/>
            <w:vAlign w:val="bottom"/>
            <w:tcBorders>
              <w:top w:val="single" w:sz="8" w:color="0000FF"/>
              <w:bottom w:val="single" w:sz="8" w:color="CCEEFF"/>
            </w:tcBorders>
            <w:shd w:val="clear" w:color="auto" w:fill="CCEEFF"/>
          </w:tcPr>
          <w:p>
            <w:pPr>
              <w:spacing w:after="0"/>
              <w:rPr>
                <w:sz w:val="14"/>
                <w:szCs w:val="14"/>
                <w:color w:val="auto"/>
              </w:rPr>
            </w:pPr>
          </w:p>
        </w:tc>
        <w:tc>
          <w:tcPr>
            <w:tcW w:w="180" w:type="dxa"/>
            <w:vAlign w:val="bottom"/>
            <w:tcBorders>
              <w:top w:val="single" w:sz="8" w:color="0000FF"/>
              <w:bottom w:val="single" w:sz="8" w:color="CCEEFF"/>
            </w:tcBorders>
            <w:shd w:val="clear" w:color="auto" w:fill="CCEEFF"/>
          </w:tcPr>
          <w:p>
            <w:pPr>
              <w:spacing w:after="0"/>
              <w:rPr>
                <w:sz w:val="14"/>
                <w:szCs w:val="14"/>
                <w:color w:val="auto"/>
              </w:rPr>
            </w:pPr>
          </w:p>
        </w:tc>
        <w:tc>
          <w:tcPr>
            <w:tcW w:w="8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12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120" w:type="dxa"/>
            <w:vAlign w:val="bottom"/>
            <w:tcBorders>
              <w:top w:val="single" w:sz="8" w:color="0000FF"/>
              <w:bottom w:val="single" w:sz="8" w:color="CCEEFF"/>
            </w:tcBorders>
            <w:shd w:val="clear" w:color="auto" w:fill="CCEEFF"/>
          </w:tcPr>
          <w:p>
            <w:pPr>
              <w:spacing w:after="0"/>
              <w:rPr>
                <w:sz w:val="14"/>
                <w:szCs w:val="14"/>
                <w:color w:val="auto"/>
              </w:rPr>
            </w:pPr>
          </w:p>
        </w:tc>
        <w:tc>
          <w:tcPr>
            <w:tcW w:w="400" w:type="dxa"/>
            <w:vAlign w:val="bottom"/>
            <w:tcBorders>
              <w:top w:val="single" w:sz="8" w:color="0000FF"/>
              <w:bottom w:val="single" w:sz="8" w:color="CCEEFF"/>
            </w:tcBorders>
            <w:shd w:val="clear" w:color="auto" w:fill="CCEEFF"/>
          </w:tcPr>
          <w:p>
            <w:pPr>
              <w:spacing w:after="0"/>
              <w:rPr>
                <w:sz w:val="14"/>
                <w:szCs w:val="14"/>
                <w:color w:val="auto"/>
              </w:rPr>
            </w:pPr>
          </w:p>
        </w:tc>
        <w:tc>
          <w:tcPr>
            <w:tcW w:w="120" w:type="dxa"/>
            <w:vAlign w:val="bottom"/>
            <w:tcBorders>
              <w:top w:val="single" w:sz="8" w:color="0000FF"/>
              <w:bottom w:val="single" w:sz="8" w:color="CCEEFF"/>
            </w:tcBorders>
            <w:shd w:val="clear" w:color="auto" w:fill="CCEEFF"/>
          </w:tcPr>
          <w:p>
            <w:pPr>
              <w:spacing w:after="0"/>
              <w:rPr>
                <w:sz w:val="14"/>
                <w:szCs w:val="14"/>
                <w:color w:val="auto"/>
              </w:rPr>
            </w:pPr>
          </w:p>
        </w:tc>
        <w:tc>
          <w:tcPr>
            <w:tcW w:w="160" w:type="dxa"/>
            <w:vAlign w:val="bottom"/>
            <w:tcBorders>
              <w:top w:val="single" w:sz="8" w:color="0000FF"/>
              <w:bottom w:val="single" w:sz="8" w:color="CCEEFF"/>
            </w:tcBorders>
            <w:shd w:val="clear" w:color="auto" w:fill="CCEEFF"/>
          </w:tcPr>
          <w:p>
            <w:pPr>
              <w:spacing w:after="0"/>
              <w:rPr>
                <w:sz w:val="14"/>
                <w:szCs w:val="14"/>
                <w:color w:val="auto"/>
              </w:rPr>
            </w:pPr>
          </w:p>
        </w:tc>
        <w:tc>
          <w:tcPr>
            <w:tcW w:w="260" w:type="dxa"/>
            <w:vAlign w:val="bottom"/>
            <w:tcBorders>
              <w:top w:val="single" w:sz="8" w:color="0000FF"/>
              <w:bottom w:val="single" w:sz="8" w:color="CCEEFF"/>
            </w:tcBorders>
            <w:shd w:val="clear" w:color="auto" w:fill="CCEEFF"/>
          </w:tcPr>
          <w:p>
            <w:pPr>
              <w:spacing w:after="0"/>
              <w:rPr>
                <w:sz w:val="14"/>
                <w:szCs w:val="14"/>
                <w:color w:val="auto"/>
              </w:rPr>
            </w:pPr>
          </w:p>
        </w:tc>
        <w:tc>
          <w:tcPr>
            <w:tcW w:w="60" w:type="dxa"/>
            <w:vAlign w:val="bottom"/>
            <w:tcBorders>
              <w:top w:val="single" w:sz="8" w:color="0000FF"/>
              <w:bottom w:val="single" w:sz="8" w:color="CCEEFF"/>
            </w:tcBorders>
            <w:shd w:val="clear" w:color="auto" w:fill="CCEEFF"/>
          </w:tcPr>
          <w:p>
            <w:pPr>
              <w:spacing w:after="0"/>
              <w:rPr>
                <w:sz w:val="14"/>
                <w:szCs w:val="14"/>
                <w:color w:val="auto"/>
              </w:rPr>
            </w:pPr>
          </w:p>
        </w:tc>
        <w:tc>
          <w:tcPr>
            <w:tcW w:w="60" w:type="dxa"/>
            <w:vAlign w:val="bottom"/>
            <w:tcBorders>
              <w:top w:val="single" w:sz="8" w:color="0000FF"/>
              <w:bottom w:val="single" w:sz="8" w:color="CCEEFF"/>
            </w:tcBorders>
            <w:shd w:val="clear" w:color="auto" w:fill="CCEEFF"/>
          </w:tcPr>
          <w:p>
            <w:pPr>
              <w:spacing w:after="0"/>
              <w:rPr>
                <w:sz w:val="14"/>
                <w:szCs w:val="14"/>
                <w:color w:val="auto"/>
              </w:rPr>
            </w:pPr>
          </w:p>
        </w:tc>
        <w:tc>
          <w:tcPr>
            <w:tcW w:w="1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780" w:type="dxa"/>
            <w:vAlign w:val="bottom"/>
            <w:tcBorders>
              <w:top w:val="single" w:sz="8" w:color="CCEEFF"/>
              <w:bottom w:val="single" w:sz="8" w:color="CCEEFF"/>
            </w:tcBorders>
            <w:shd w:val="clear" w:color="auto" w:fill="CCEEFF"/>
          </w:tcPr>
          <w:p>
            <w:pPr>
              <w:spacing w:after="0"/>
              <w:rPr>
                <w:sz w:val="14"/>
                <w:szCs w:val="14"/>
                <w:color w:val="auto"/>
              </w:rPr>
            </w:pPr>
          </w:p>
        </w:tc>
        <w:tc>
          <w:tcPr>
            <w:tcW w:w="880" w:type="dxa"/>
            <w:vAlign w:val="bottom"/>
            <w:tcBorders>
              <w:top w:val="single" w:sz="8" w:color="CCEEFF"/>
              <w:bottom w:val="single" w:sz="8" w:color="CCEEFF"/>
            </w:tcBorders>
            <w:shd w:val="clear" w:color="auto" w:fill="CCEEFF"/>
          </w:tcPr>
          <w:p>
            <w:pPr>
              <w:spacing w:after="0"/>
              <w:rPr>
                <w:sz w:val="14"/>
                <w:szCs w:val="14"/>
                <w:color w:val="auto"/>
              </w:rPr>
            </w:pPr>
          </w:p>
        </w:tc>
        <w:tc>
          <w:tcPr>
            <w:tcW w:w="108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10.12</w:t>
            </w:r>
          </w:p>
        </w:tc>
        <w:tc>
          <w:tcPr>
            <w:tcW w:w="7520" w:type="dxa"/>
            <w:vAlign w:val="bottom"/>
            <w:gridSpan w:val="36"/>
          </w:tcPr>
          <w:p>
            <w:pPr>
              <w:spacing w:after="0" w:line="175" w:lineRule="exact"/>
              <w:rPr>
                <w:sz w:val="20"/>
                <w:szCs w:val="20"/>
                <w:color w:val="auto"/>
              </w:rPr>
            </w:pPr>
            <w:r>
              <w:rPr>
                <w:rFonts w:ascii="Times New Roman" w:cs="Times New Roman" w:eastAsia="Times New Roman" w:hAnsi="Times New Roman"/>
                <w:sz w:val="16"/>
                <w:szCs w:val="16"/>
                <w:color w:val="0000FF"/>
              </w:rPr>
              <w:t>The Letter Agreement dated February 2, 2024 between Scott Goldenberg and TJX, filed herewith*</w:t>
            </w: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2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10.13</w:t>
            </w:r>
          </w:p>
        </w:tc>
        <w:tc>
          <w:tcPr>
            <w:tcW w:w="6000" w:type="dxa"/>
            <w:vAlign w:val="bottom"/>
            <w:tcBorders>
              <w:bottom w:val="single" w:sz="8" w:color="0000FF"/>
            </w:tcBorders>
            <w:gridSpan w:val="18"/>
            <w:shd w:val="clear" w:color="auto" w:fill="CCEEFF"/>
          </w:tcPr>
          <w:p>
            <w:pPr>
              <w:spacing w:after="0" w:line="175" w:lineRule="exact"/>
              <w:rPr>
                <w:rFonts w:ascii="Times New Roman" w:cs="Times New Roman" w:eastAsia="Times New Roman" w:hAnsi="Times New Roman"/>
                <w:sz w:val="16"/>
                <w:szCs w:val="16"/>
                <w:color w:val="0000FF"/>
              </w:rPr>
            </w:pPr>
            <w:hyperlink r:id="rId73">
              <w:r>
                <w:rPr>
                  <w:rFonts w:ascii="Times New Roman" w:cs="Times New Roman" w:eastAsia="Times New Roman" w:hAnsi="Times New Roman"/>
                  <w:sz w:val="16"/>
                  <w:szCs w:val="16"/>
                  <w:color w:val="0000FF"/>
                </w:rPr>
                <w:t>The Employment Agreement dated February 2, 2018 between Kenneth Canestrari and TJX*</w:t>
              </w:r>
            </w:hyperlink>
          </w:p>
        </w:tc>
        <w:tc>
          <w:tcPr>
            <w:tcW w:w="1520" w:type="dxa"/>
            <w:vAlign w:val="bottom"/>
            <w:tcBorders>
              <w:bottom w:val="single" w:sz="8" w:color="CCEEFF"/>
            </w:tcBorders>
            <w:gridSpan w:val="18"/>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10-K</w:t>
            </w:r>
          </w:p>
        </w:tc>
        <w:tc>
          <w:tcPr>
            <w:tcW w:w="88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10.6</w:t>
            </w:r>
          </w:p>
        </w:tc>
        <w:tc>
          <w:tcPr>
            <w:tcW w:w="108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4/4/2018</w:t>
            </w:r>
          </w:p>
        </w:tc>
        <w:tc>
          <w:tcPr>
            <w:tcW w:w="0" w:type="dxa"/>
            <w:vAlign w:val="bottom"/>
          </w:tcPr>
          <w:p>
            <w:pPr>
              <w:spacing w:after="0"/>
              <w:rPr>
                <w:sz w:val="1"/>
                <w:szCs w:val="1"/>
                <w:color w:val="auto"/>
              </w:rPr>
            </w:pPr>
          </w:p>
        </w:tc>
      </w:tr>
      <w:tr>
        <w:trPr>
          <w:trHeight w:val="175"/>
        </w:trPr>
        <w:tc>
          <w:tcPr>
            <w:tcW w:w="8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10.14</w:t>
            </w:r>
          </w:p>
        </w:tc>
        <w:tc>
          <w:tcPr>
            <w:tcW w:w="7520" w:type="dxa"/>
            <w:vAlign w:val="bottom"/>
            <w:gridSpan w:val="36"/>
          </w:tcPr>
          <w:p>
            <w:pPr>
              <w:spacing w:after="0" w:line="175" w:lineRule="exact"/>
              <w:rPr>
                <w:rFonts w:ascii="Times New Roman" w:cs="Times New Roman" w:eastAsia="Times New Roman" w:hAnsi="Times New Roman"/>
                <w:sz w:val="16"/>
                <w:szCs w:val="16"/>
                <w:color w:val="0000FF"/>
              </w:rPr>
            </w:pPr>
            <w:hyperlink r:id="rId74">
              <w:r>
                <w:rPr>
                  <w:rFonts w:ascii="Times New Roman" w:cs="Times New Roman" w:eastAsia="Times New Roman" w:hAnsi="Times New Roman"/>
                  <w:sz w:val="16"/>
                  <w:szCs w:val="16"/>
                  <w:color w:val="0000FF"/>
                </w:rPr>
                <w:t>The Executive Severance Plan Participation Agreement dated September 27, 2018 between Kenneth Canestrari</w:t>
              </w:r>
            </w:hyperlink>
          </w:p>
        </w:tc>
        <w:tc>
          <w:tcPr>
            <w:tcW w:w="7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10-Q</w:t>
            </w:r>
          </w:p>
        </w:tc>
        <w:tc>
          <w:tcPr>
            <w:tcW w:w="8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10.7</w:t>
            </w:r>
          </w:p>
        </w:tc>
        <w:tc>
          <w:tcPr>
            <w:tcW w:w="10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12/4/2018</w:t>
            </w: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7220" w:type="dxa"/>
            <w:vAlign w:val="bottom"/>
            <w:tcBorders>
              <w:top w:val="single" w:sz="8" w:color="0000FF"/>
            </w:tcBorders>
            <w:gridSpan w:val="27"/>
          </w:tcPr>
          <w:p>
            <w:pPr>
              <w:spacing w:after="0" w:line="142" w:lineRule="exact"/>
              <w:rPr>
                <w:rFonts w:ascii="Times New Roman" w:cs="Times New Roman" w:eastAsia="Times New Roman" w:hAnsi="Times New Roman"/>
                <w:sz w:val="16"/>
                <w:szCs w:val="16"/>
                <w:color w:val="0000FF"/>
              </w:rPr>
            </w:pPr>
            <w:hyperlink r:id="rId74">
              <w:r>
                <w:rPr>
                  <w:rFonts w:ascii="Times New Roman" w:cs="Times New Roman" w:eastAsia="Times New Roman" w:hAnsi="Times New Roman"/>
                  <w:sz w:val="16"/>
                  <w:szCs w:val="16"/>
                  <w:color w:val="0000FF"/>
                </w:rPr>
                <w:t>and TJX*</w:t>
              </w:r>
            </w:hyperlink>
          </w:p>
        </w:tc>
        <w:tc>
          <w:tcPr>
            <w:tcW w:w="160" w:type="dxa"/>
            <w:vAlign w:val="bottom"/>
            <w:gridSpan w:val="4"/>
          </w:tcPr>
          <w:p>
            <w:pPr>
              <w:spacing w:after="0"/>
              <w:rPr>
                <w:sz w:val="12"/>
                <w:szCs w:val="12"/>
                <w:color w:val="auto"/>
              </w:rPr>
            </w:pPr>
          </w:p>
        </w:tc>
        <w:tc>
          <w:tcPr>
            <w:tcW w:w="60" w:type="dxa"/>
            <w:vAlign w:val="bottom"/>
            <w:gridSpan w:val="2"/>
          </w:tcPr>
          <w:p>
            <w:pPr>
              <w:spacing w:after="0"/>
              <w:rPr>
                <w:sz w:val="12"/>
                <w:szCs w:val="12"/>
                <w:color w:val="auto"/>
              </w:rPr>
            </w:pPr>
          </w:p>
        </w:tc>
        <w:tc>
          <w:tcPr>
            <w:tcW w:w="80" w:type="dxa"/>
            <w:vAlign w:val="bottom"/>
            <w:gridSpan w:val="3"/>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10.15</w:t>
            </w:r>
          </w:p>
        </w:tc>
        <w:tc>
          <w:tcPr>
            <w:tcW w:w="7520" w:type="dxa"/>
            <w:vAlign w:val="bottom"/>
            <w:gridSpan w:val="36"/>
            <w:shd w:val="clear" w:color="auto" w:fill="CCEEFF"/>
          </w:tcPr>
          <w:p>
            <w:pPr>
              <w:spacing w:after="0" w:line="175" w:lineRule="exact"/>
              <w:rPr>
                <w:rFonts w:ascii="Times New Roman" w:cs="Times New Roman" w:eastAsia="Times New Roman" w:hAnsi="Times New Roman"/>
                <w:sz w:val="16"/>
                <w:szCs w:val="16"/>
                <w:color w:val="0000FF"/>
              </w:rPr>
            </w:pPr>
            <w:hyperlink r:id="rId75">
              <w:r>
                <w:rPr>
                  <w:rFonts w:ascii="Times New Roman" w:cs="Times New Roman" w:eastAsia="Times New Roman" w:hAnsi="Times New Roman"/>
                  <w:sz w:val="16"/>
                  <w:szCs w:val="16"/>
                  <w:color w:val="0000FF"/>
                </w:rPr>
                <w:t>The Amendment to the Employment Agreement between Kenneth Canestrari and TJX effective as of February 13,</w:t>
              </w:r>
            </w:hyperlink>
          </w:p>
        </w:tc>
        <w:tc>
          <w:tcPr>
            <w:tcW w:w="7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10-K</w:t>
            </w:r>
          </w:p>
        </w:tc>
        <w:tc>
          <w:tcPr>
            <w:tcW w:w="8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10.16</w:t>
            </w:r>
          </w:p>
        </w:tc>
        <w:tc>
          <w:tcPr>
            <w:tcW w:w="10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4/3/2019</w:t>
            </w:r>
          </w:p>
        </w:tc>
        <w:tc>
          <w:tcPr>
            <w:tcW w:w="0" w:type="dxa"/>
            <w:vAlign w:val="bottom"/>
          </w:tcPr>
          <w:p>
            <w:pPr>
              <w:spacing w:after="0"/>
              <w:rPr>
                <w:sz w:val="1"/>
                <w:szCs w:val="1"/>
                <w:color w:val="auto"/>
              </w:rPr>
            </w:pPr>
          </w:p>
        </w:tc>
      </w:tr>
      <w:tr>
        <w:trPr>
          <w:trHeight w:val="163"/>
        </w:trPr>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420" w:type="dxa"/>
            <w:vAlign w:val="bottom"/>
            <w:tcBorders>
              <w:top w:val="single" w:sz="8" w:color="0000FF"/>
              <w:bottom w:val="single" w:sz="8" w:color="0000FF"/>
            </w:tcBorders>
            <w:gridSpan w:val="2"/>
            <w:shd w:val="clear" w:color="auto" w:fill="CCEEFF"/>
          </w:tcPr>
          <w:p>
            <w:pPr>
              <w:spacing w:after="0" w:line="142" w:lineRule="exact"/>
              <w:rPr>
                <w:rFonts w:ascii="Times New Roman" w:cs="Times New Roman" w:eastAsia="Times New Roman" w:hAnsi="Times New Roman"/>
                <w:sz w:val="16"/>
                <w:szCs w:val="16"/>
                <w:color w:val="0000FF"/>
                <w:w w:val="99"/>
              </w:rPr>
            </w:pPr>
            <w:hyperlink r:id="rId75">
              <w:r>
                <w:rPr>
                  <w:rFonts w:ascii="Times New Roman" w:cs="Times New Roman" w:eastAsia="Times New Roman" w:hAnsi="Times New Roman"/>
                  <w:sz w:val="16"/>
                  <w:szCs w:val="16"/>
                  <w:color w:val="0000FF"/>
                  <w:w w:val="99"/>
                </w:rPr>
                <w:t>2019*</w:t>
              </w:r>
            </w:hyperlink>
          </w:p>
        </w:tc>
        <w:tc>
          <w:tcPr>
            <w:tcW w:w="60" w:type="dxa"/>
            <w:vAlign w:val="bottom"/>
            <w:tcBorders>
              <w:top w:val="single" w:sz="8" w:color="0000FF"/>
              <w:bottom w:val="single" w:sz="8" w:color="CCEEFF"/>
            </w:tcBorders>
            <w:shd w:val="clear" w:color="auto" w:fill="CCEEFF"/>
          </w:tcPr>
          <w:p>
            <w:pPr>
              <w:spacing w:after="0"/>
              <w:rPr>
                <w:sz w:val="14"/>
                <w:szCs w:val="14"/>
                <w:color w:val="auto"/>
              </w:rPr>
            </w:pPr>
          </w:p>
        </w:tc>
        <w:tc>
          <w:tcPr>
            <w:tcW w:w="160" w:type="dxa"/>
            <w:vAlign w:val="bottom"/>
            <w:tcBorders>
              <w:top w:val="single" w:sz="8" w:color="0000FF"/>
              <w:bottom w:val="single" w:sz="8" w:color="CCEEFF"/>
            </w:tcBorders>
            <w:shd w:val="clear" w:color="auto" w:fill="CCEEFF"/>
          </w:tcPr>
          <w:p>
            <w:pPr>
              <w:spacing w:after="0"/>
              <w:rPr>
                <w:sz w:val="14"/>
                <w:szCs w:val="14"/>
                <w:color w:val="auto"/>
              </w:rPr>
            </w:pPr>
          </w:p>
        </w:tc>
        <w:tc>
          <w:tcPr>
            <w:tcW w:w="760" w:type="dxa"/>
            <w:vAlign w:val="bottom"/>
            <w:tcBorders>
              <w:top w:val="single" w:sz="8" w:color="0000FF"/>
              <w:bottom w:val="single" w:sz="8" w:color="CCEEFF"/>
            </w:tcBorders>
            <w:shd w:val="clear" w:color="auto" w:fill="CCEEFF"/>
          </w:tcPr>
          <w:p>
            <w:pPr>
              <w:spacing w:after="0"/>
              <w:rPr>
                <w:sz w:val="14"/>
                <w:szCs w:val="14"/>
                <w:color w:val="auto"/>
              </w:rPr>
            </w:pPr>
          </w:p>
        </w:tc>
        <w:tc>
          <w:tcPr>
            <w:tcW w:w="480" w:type="dxa"/>
            <w:vAlign w:val="bottom"/>
            <w:tcBorders>
              <w:top w:val="single" w:sz="8" w:color="0000FF"/>
              <w:bottom w:val="single" w:sz="8" w:color="CCEEFF"/>
            </w:tcBorders>
            <w:shd w:val="clear" w:color="auto" w:fill="CCEEFF"/>
          </w:tcPr>
          <w:p>
            <w:pPr>
              <w:spacing w:after="0"/>
              <w:rPr>
                <w:sz w:val="14"/>
                <w:szCs w:val="14"/>
                <w:color w:val="auto"/>
              </w:rPr>
            </w:pPr>
          </w:p>
        </w:tc>
        <w:tc>
          <w:tcPr>
            <w:tcW w:w="540" w:type="dxa"/>
            <w:vAlign w:val="bottom"/>
            <w:tcBorders>
              <w:top w:val="single" w:sz="8" w:color="0000FF"/>
              <w:bottom w:val="single" w:sz="8" w:color="CCEEFF"/>
            </w:tcBorders>
            <w:shd w:val="clear" w:color="auto" w:fill="CCEEFF"/>
          </w:tcPr>
          <w:p>
            <w:pPr>
              <w:spacing w:after="0"/>
              <w:rPr>
                <w:sz w:val="14"/>
                <w:szCs w:val="14"/>
                <w:color w:val="auto"/>
              </w:rPr>
            </w:pPr>
          </w:p>
        </w:tc>
        <w:tc>
          <w:tcPr>
            <w:tcW w:w="320" w:type="dxa"/>
            <w:vAlign w:val="bottom"/>
            <w:tcBorders>
              <w:top w:val="single" w:sz="8" w:color="0000FF"/>
              <w:bottom w:val="single" w:sz="8" w:color="CCEEFF"/>
            </w:tcBorders>
            <w:shd w:val="clear" w:color="auto" w:fill="CCEEFF"/>
          </w:tcPr>
          <w:p>
            <w:pPr>
              <w:spacing w:after="0"/>
              <w:rPr>
                <w:sz w:val="14"/>
                <w:szCs w:val="14"/>
                <w:color w:val="auto"/>
              </w:rPr>
            </w:pPr>
          </w:p>
        </w:tc>
        <w:tc>
          <w:tcPr>
            <w:tcW w:w="1260" w:type="dxa"/>
            <w:vAlign w:val="bottom"/>
            <w:tcBorders>
              <w:top w:val="single" w:sz="8" w:color="0000FF"/>
              <w:bottom w:val="single" w:sz="8" w:color="CCEEFF"/>
            </w:tcBorders>
            <w:shd w:val="clear" w:color="auto" w:fill="CCEEFF"/>
          </w:tcPr>
          <w:p>
            <w:pPr>
              <w:spacing w:after="0"/>
              <w:rPr>
                <w:sz w:val="14"/>
                <w:szCs w:val="14"/>
                <w:color w:val="auto"/>
              </w:rPr>
            </w:pPr>
          </w:p>
        </w:tc>
        <w:tc>
          <w:tcPr>
            <w:tcW w:w="660" w:type="dxa"/>
            <w:vAlign w:val="bottom"/>
            <w:tcBorders>
              <w:top w:val="single" w:sz="8" w:color="0000FF"/>
              <w:bottom w:val="single" w:sz="8" w:color="CCEEFF"/>
            </w:tcBorders>
            <w:shd w:val="clear" w:color="auto" w:fill="CCEEFF"/>
          </w:tcPr>
          <w:p>
            <w:pPr>
              <w:spacing w:after="0"/>
              <w:rPr>
                <w:sz w:val="14"/>
                <w:szCs w:val="14"/>
                <w:color w:val="auto"/>
              </w:rPr>
            </w:pPr>
          </w:p>
        </w:tc>
        <w:tc>
          <w:tcPr>
            <w:tcW w:w="180" w:type="dxa"/>
            <w:vAlign w:val="bottom"/>
            <w:tcBorders>
              <w:top w:val="single" w:sz="8" w:color="0000FF"/>
              <w:bottom w:val="single" w:sz="8" w:color="CCEEFF"/>
            </w:tcBorders>
            <w:shd w:val="clear" w:color="auto" w:fill="CCEEFF"/>
          </w:tcPr>
          <w:p>
            <w:pPr>
              <w:spacing w:after="0"/>
              <w:rPr>
                <w:sz w:val="14"/>
                <w:szCs w:val="14"/>
                <w:color w:val="auto"/>
              </w:rPr>
            </w:pPr>
          </w:p>
        </w:tc>
        <w:tc>
          <w:tcPr>
            <w:tcW w:w="8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12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120" w:type="dxa"/>
            <w:vAlign w:val="bottom"/>
            <w:tcBorders>
              <w:top w:val="single" w:sz="8" w:color="0000FF"/>
              <w:bottom w:val="single" w:sz="8" w:color="CCEEFF"/>
            </w:tcBorders>
            <w:shd w:val="clear" w:color="auto" w:fill="CCEEFF"/>
          </w:tcPr>
          <w:p>
            <w:pPr>
              <w:spacing w:after="0"/>
              <w:rPr>
                <w:sz w:val="14"/>
                <w:szCs w:val="14"/>
                <w:color w:val="auto"/>
              </w:rPr>
            </w:pPr>
          </w:p>
        </w:tc>
        <w:tc>
          <w:tcPr>
            <w:tcW w:w="400" w:type="dxa"/>
            <w:vAlign w:val="bottom"/>
            <w:tcBorders>
              <w:top w:val="single" w:sz="8" w:color="0000FF"/>
              <w:bottom w:val="single" w:sz="8" w:color="CCEEFF"/>
            </w:tcBorders>
            <w:shd w:val="clear" w:color="auto" w:fill="CCEEFF"/>
          </w:tcPr>
          <w:p>
            <w:pPr>
              <w:spacing w:after="0"/>
              <w:rPr>
                <w:sz w:val="14"/>
                <w:szCs w:val="14"/>
                <w:color w:val="auto"/>
              </w:rPr>
            </w:pPr>
          </w:p>
        </w:tc>
        <w:tc>
          <w:tcPr>
            <w:tcW w:w="120" w:type="dxa"/>
            <w:vAlign w:val="bottom"/>
            <w:tcBorders>
              <w:top w:val="single" w:sz="8" w:color="0000FF"/>
              <w:bottom w:val="single" w:sz="8" w:color="CCEEFF"/>
            </w:tcBorders>
            <w:shd w:val="clear" w:color="auto" w:fill="CCEEFF"/>
          </w:tcPr>
          <w:p>
            <w:pPr>
              <w:spacing w:after="0"/>
              <w:rPr>
                <w:sz w:val="14"/>
                <w:szCs w:val="14"/>
                <w:color w:val="auto"/>
              </w:rPr>
            </w:pPr>
          </w:p>
        </w:tc>
        <w:tc>
          <w:tcPr>
            <w:tcW w:w="160" w:type="dxa"/>
            <w:vAlign w:val="bottom"/>
            <w:tcBorders>
              <w:top w:val="single" w:sz="8" w:color="0000FF"/>
              <w:bottom w:val="single" w:sz="8" w:color="CCEEFF"/>
            </w:tcBorders>
            <w:shd w:val="clear" w:color="auto" w:fill="CCEEFF"/>
          </w:tcPr>
          <w:p>
            <w:pPr>
              <w:spacing w:after="0"/>
              <w:rPr>
                <w:sz w:val="14"/>
                <w:szCs w:val="14"/>
                <w:color w:val="auto"/>
              </w:rPr>
            </w:pPr>
          </w:p>
        </w:tc>
        <w:tc>
          <w:tcPr>
            <w:tcW w:w="260" w:type="dxa"/>
            <w:vAlign w:val="bottom"/>
            <w:tcBorders>
              <w:top w:val="single" w:sz="8" w:color="0000FF"/>
              <w:bottom w:val="single" w:sz="8" w:color="CCEEFF"/>
            </w:tcBorders>
            <w:shd w:val="clear" w:color="auto" w:fill="CCEEFF"/>
          </w:tcPr>
          <w:p>
            <w:pPr>
              <w:spacing w:after="0"/>
              <w:rPr>
                <w:sz w:val="14"/>
                <w:szCs w:val="14"/>
                <w:color w:val="auto"/>
              </w:rPr>
            </w:pPr>
          </w:p>
        </w:tc>
        <w:tc>
          <w:tcPr>
            <w:tcW w:w="60" w:type="dxa"/>
            <w:vAlign w:val="bottom"/>
            <w:tcBorders>
              <w:top w:val="single" w:sz="8" w:color="0000FF"/>
              <w:bottom w:val="single" w:sz="8" w:color="CCEEFF"/>
            </w:tcBorders>
            <w:shd w:val="clear" w:color="auto" w:fill="CCEEFF"/>
          </w:tcPr>
          <w:p>
            <w:pPr>
              <w:spacing w:after="0"/>
              <w:rPr>
                <w:sz w:val="14"/>
                <w:szCs w:val="14"/>
                <w:color w:val="auto"/>
              </w:rPr>
            </w:pPr>
          </w:p>
        </w:tc>
        <w:tc>
          <w:tcPr>
            <w:tcW w:w="60" w:type="dxa"/>
            <w:vAlign w:val="bottom"/>
            <w:tcBorders>
              <w:top w:val="single" w:sz="8" w:color="0000FF"/>
              <w:bottom w:val="single" w:sz="8" w:color="CCEEFF"/>
            </w:tcBorders>
            <w:shd w:val="clear" w:color="auto" w:fill="CCEEFF"/>
          </w:tcPr>
          <w:p>
            <w:pPr>
              <w:spacing w:after="0"/>
              <w:rPr>
                <w:sz w:val="14"/>
                <w:szCs w:val="14"/>
                <w:color w:val="auto"/>
              </w:rPr>
            </w:pPr>
          </w:p>
        </w:tc>
        <w:tc>
          <w:tcPr>
            <w:tcW w:w="1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8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780" w:type="dxa"/>
            <w:vAlign w:val="bottom"/>
            <w:tcBorders>
              <w:top w:val="single" w:sz="8" w:color="CCEEFF"/>
              <w:bottom w:val="single" w:sz="8" w:color="CCEEFF"/>
            </w:tcBorders>
            <w:shd w:val="clear" w:color="auto" w:fill="CCEEFF"/>
          </w:tcPr>
          <w:p>
            <w:pPr>
              <w:spacing w:after="0"/>
              <w:rPr>
                <w:sz w:val="14"/>
                <w:szCs w:val="14"/>
                <w:color w:val="auto"/>
              </w:rPr>
            </w:pPr>
          </w:p>
        </w:tc>
        <w:tc>
          <w:tcPr>
            <w:tcW w:w="880" w:type="dxa"/>
            <w:vAlign w:val="bottom"/>
            <w:tcBorders>
              <w:top w:val="single" w:sz="8" w:color="CCEEFF"/>
              <w:bottom w:val="single" w:sz="8" w:color="CCEEFF"/>
            </w:tcBorders>
            <w:shd w:val="clear" w:color="auto" w:fill="CCEEFF"/>
          </w:tcPr>
          <w:p>
            <w:pPr>
              <w:spacing w:after="0"/>
              <w:rPr>
                <w:sz w:val="14"/>
                <w:szCs w:val="14"/>
                <w:color w:val="auto"/>
              </w:rPr>
            </w:pPr>
          </w:p>
        </w:tc>
        <w:tc>
          <w:tcPr>
            <w:tcW w:w="108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10.16</w:t>
            </w:r>
          </w:p>
        </w:tc>
        <w:tc>
          <w:tcPr>
            <w:tcW w:w="7520" w:type="dxa"/>
            <w:vAlign w:val="bottom"/>
            <w:gridSpan w:val="36"/>
          </w:tcPr>
          <w:p>
            <w:pPr>
              <w:spacing w:after="0" w:line="175" w:lineRule="exact"/>
              <w:rPr>
                <w:rFonts w:ascii="Times New Roman" w:cs="Times New Roman" w:eastAsia="Times New Roman" w:hAnsi="Times New Roman"/>
                <w:sz w:val="16"/>
                <w:szCs w:val="16"/>
                <w:color w:val="0000FF"/>
              </w:rPr>
            </w:pPr>
            <w:hyperlink r:id="rId76">
              <w:r>
                <w:rPr>
                  <w:rFonts w:ascii="Times New Roman" w:cs="Times New Roman" w:eastAsia="Times New Roman" w:hAnsi="Times New Roman"/>
                  <w:sz w:val="16"/>
                  <w:szCs w:val="16"/>
                  <w:color w:val="0000FF"/>
                </w:rPr>
                <w:t>The Amendment to the Employment Agreement between Kenneth Canestrari and TJX effective as of January 29,</w:t>
              </w:r>
            </w:hyperlink>
          </w:p>
        </w:tc>
        <w:tc>
          <w:tcPr>
            <w:tcW w:w="7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10-K</w:t>
            </w:r>
          </w:p>
        </w:tc>
        <w:tc>
          <w:tcPr>
            <w:tcW w:w="8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10.17</w:t>
            </w:r>
          </w:p>
        </w:tc>
        <w:tc>
          <w:tcPr>
            <w:tcW w:w="10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3/31/2021</w:t>
            </w: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480" w:type="dxa"/>
            <w:vAlign w:val="bottom"/>
            <w:tcBorders>
              <w:top w:val="single" w:sz="8" w:color="0000FF"/>
            </w:tcBorders>
            <w:gridSpan w:val="3"/>
          </w:tcPr>
          <w:p>
            <w:pPr>
              <w:spacing w:after="0" w:line="142" w:lineRule="exact"/>
              <w:rPr>
                <w:rFonts w:ascii="Times New Roman" w:cs="Times New Roman" w:eastAsia="Times New Roman" w:hAnsi="Times New Roman"/>
                <w:sz w:val="16"/>
                <w:szCs w:val="16"/>
                <w:color w:val="0000FF"/>
              </w:rPr>
            </w:pPr>
            <w:hyperlink r:id="rId76">
              <w:r>
                <w:rPr>
                  <w:rFonts w:ascii="Times New Roman" w:cs="Times New Roman" w:eastAsia="Times New Roman" w:hAnsi="Times New Roman"/>
                  <w:sz w:val="16"/>
                  <w:szCs w:val="16"/>
                  <w:color w:val="0000FF"/>
                </w:rPr>
                <w:t>2021*</w:t>
              </w:r>
            </w:hyperlink>
          </w:p>
        </w:tc>
        <w:tc>
          <w:tcPr>
            <w:tcW w:w="160" w:type="dxa"/>
            <w:vAlign w:val="bottom"/>
            <w:tcBorders>
              <w:top w:val="single" w:sz="8" w:color="0000FF"/>
            </w:tcBorders>
          </w:tcPr>
          <w:p>
            <w:pPr>
              <w:spacing w:after="0"/>
              <w:rPr>
                <w:sz w:val="12"/>
                <w:szCs w:val="12"/>
                <w:color w:val="auto"/>
              </w:rPr>
            </w:pPr>
          </w:p>
        </w:tc>
        <w:tc>
          <w:tcPr>
            <w:tcW w:w="76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54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260" w:type="dxa"/>
            <w:vAlign w:val="bottom"/>
            <w:tcBorders>
              <w:top w:val="single" w:sz="8" w:color="0000FF"/>
            </w:tcBorders>
          </w:tcPr>
          <w:p>
            <w:pPr>
              <w:spacing w:after="0"/>
              <w:rPr>
                <w:sz w:val="12"/>
                <w:szCs w:val="12"/>
                <w:color w:val="auto"/>
              </w:rPr>
            </w:pPr>
          </w:p>
        </w:tc>
        <w:tc>
          <w:tcPr>
            <w:tcW w:w="66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8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10.17</w:t>
            </w:r>
          </w:p>
        </w:tc>
        <w:tc>
          <w:tcPr>
            <w:tcW w:w="7520" w:type="dxa"/>
            <w:vAlign w:val="bottom"/>
            <w:gridSpan w:val="36"/>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The Amendment to the Employment Agreement between Kenneth Canestrari and TJX effective as of February 2,</w:t>
            </w:r>
          </w:p>
        </w:tc>
        <w:tc>
          <w:tcPr>
            <w:tcW w:w="7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1400" w:type="dxa"/>
            <w:vAlign w:val="bottom"/>
            <w:tcBorders>
              <w:top w:val="single" w:sz="8" w:color="0000FF"/>
              <w:bottom w:val="single" w:sz="8" w:color="0000FF"/>
            </w:tcBorders>
            <w:gridSpan w:val="5"/>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FF"/>
              </w:rPr>
              <w:t>2024, filed herewith*</w:t>
            </w:r>
          </w:p>
        </w:tc>
        <w:tc>
          <w:tcPr>
            <w:tcW w:w="5980" w:type="dxa"/>
            <w:vAlign w:val="bottom"/>
            <w:tcBorders>
              <w:top w:val="single" w:sz="8" w:color="0000FF"/>
              <w:bottom w:val="single" w:sz="8" w:color="CCEEFF"/>
            </w:tcBorders>
            <w:gridSpan w:val="26"/>
            <w:shd w:val="clear" w:color="auto" w:fill="CCEEFF"/>
          </w:tcPr>
          <w:p>
            <w:pPr>
              <w:spacing w:after="0"/>
              <w:rPr>
                <w:sz w:val="14"/>
                <w:szCs w:val="14"/>
                <w:color w:val="auto"/>
              </w:rPr>
            </w:pPr>
          </w:p>
        </w:tc>
        <w:tc>
          <w:tcPr>
            <w:tcW w:w="140" w:type="dxa"/>
            <w:vAlign w:val="bottom"/>
            <w:tcBorders>
              <w:top w:val="single" w:sz="8" w:color="CCEEFF"/>
              <w:bottom w:val="single" w:sz="8" w:color="CCEEFF"/>
            </w:tcBorders>
            <w:gridSpan w:val="5"/>
            <w:shd w:val="clear" w:color="auto" w:fill="CCEEFF"/>
          </w:tcPr>
          <w:p>
            <w:pPr>
              <w:spacing w:after="0"/>
              <w:rPr>
                <w:sz w:val="14"/>
                <w:szCs w:val="14"/>
                <w:color w:val="auto"/>
              </w:rPr>
            </w:pPr>
          </w:p>
        </w:tc>
        <w:tc>
          <w:tcPr>
            <w:tcW w:w="780" w:type="dxa"/>
            <w:vAlign w:val="bottom"/>
            <w:tcBorders>
              <w:top w:val="single" w:sz="8" w:color="CCEEFF"/>
              <w:bottom w:val="single" w:sz="8" w:color="CCEEFF"/>
            </w:tcBorders>
            <w:shd w:val="clear" w:color="auto" w:fill="CCEEFF"/>
          </w:tcPr>
          <w:p>
            <w:pPr>
              <w:spacing w:after="0"/>
              <w:rPr>
                <w:sz w:val="14"/>
                <w:szCs w:val="14"/>
                <w:color w:val="auto"/>
              </w:rPr>
            </w:pPr>
          </w:p>
        </w:tc>
        <w:tc>
          <w:tcPr>
            <w:tcW w:w="880" w:type="dxa"/>
            <w:vAlign w:val="bottom"/>
            <w:tcBorders>
              <w:top w:val="single" w:sz="8" w:color="CCEEFF"/>
              <w:bottom w:val="single" w:sz="8" w:color="CCEEFF"/>
            </w:tcBorders>
            <w:shd w:val="clear" w:color="auto" w:fill="CCEEFF"/>
          </w:tcPr>
          <w:p>
            <w:pPr>
              <w:spacing w:after="0"/>
              <w:rPr>
                <w:sz w:val="14"/>
                <w:szCs w:val="14"/>
                <w:color w:val="auto"/>
              </w:rPr>
            </w:pPr>
          </w:p>
        </w:tc>
        <w:tc>
          <w:tcPr>
            <w:tcW w:w="108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10.18</w:t>
            </w:r>
          </w:p>
        </w:tc>
        <w:tc>
          <w:tcPr>
            <w:tcW w:w="6520" w:type="dxa"/>
            <w:vAlign w:val="bottom"/>
            <w:tcBorders>
              <w:bottom w:val="single" w:sz="8" w:color="0000FF"/>
            </w:tcBorders>
            <w:gridSpan w:val="20"/>
          </w:tcPr>
          <w:p>
            <w:pPr>
              <w:spacing w:after="0" w:line="175" w:lineRule="exact"/>
              <w:rPr>
                <w:sz w:val="20"/>
                <w:szCs w:val="20"/>
                <w:color w:val="auto"/>
              </w:rPr>
            </w:pPr>
            <w:r>
              <w:rPr>
                <w:rFonts w:ascii="Times New Roman" w:cs="Times New Roman" w:eastAsia="Times New Roman" w:hAnsi="Times New Roman"/>
                <w:sz w:val="16"/>
                <w:szCs w:val="16"/>
                <w:color w:val="0000FF"/>
              </w:rPr>
              <w:t>The Executive Severance and Change of Control Plan effective September 19, 2022, filed herewith*</w:t>
            </w:r>
          </w:p>
        </w:tc>
        <w:tc>
          <w:tcPr>
            <w:tcW w:w="1000" w:type="dxa"/>
            <w:vAlign w:val="bottom"/>
            <w:gridSpan w:val="16"/>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0" w:right="37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12"/>
        </w:trPr>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74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6"/>
                <w:szCs w:val="16"/>
                <w:b w:val="1"/>
                <w:bCs w:val="1"/>
                <w:color w:val="auto"/>
              </w:rPr>
              <w:t>Incorporate by Reference</w:t>
            </w:r>
          </w:p>
        </w:tc>
        <w:tc>
          <w:tcPr>
            <w:tcW w:w="0" w:type="dxa"/>
            <w:vAlign w:val="bottom"/>
          </w:tcPr>
          <w:p>
            <w:pPr>
              <w:spacing w:after="0"/>
              <w:rPr>
                <w:sz w:val="1"/>
                <w:szCs w:val="1"/>
                <w:color w:val="auto"/>
              </w:rPr>
            </w:pPr>
          </w:p>
        </w:tc>
      </w:tr>
      <w:tr>
        <w:trPr>
          <w:trHeight w:val="161"/>
        </w:trPr>
        <w:tc>
          <w:tcPr>
            <w:tcW w:w="80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rPr>
              <w:t>Exhibit</w:t>
            </w:r>
          </w:p>
        </w:tc>
        <w:tc>
          <w:tcPr>
            <w:tcW w:w="7520" w:type="dxa"/>
            <w:vAlign w:val="bottom"/>
            <w:gridSpan w:val="32"/>
            <w:vMerge w:val="restart"/>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86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rPr>
              <w:t>Exhibit</w:t>
            </w:r>
          </w:p>
        </w:tc>
        <w:tc>
          <w:tcPr>
            <w:tcW w:w="110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w w:val="99"/>
              </w:rPr>
              <w:t>Filing</w:t>
            </w:r>
          </w:p>
        </w:tc>
        <w:tc>
          <w:tcPr>
            <w:tcW w:w="0" w:type="dxa"/>
            <w:vAlign w:val="bottom"/>
          </w:tcPr>
          <w:p>
            <w:pPr>
              <w:spacing w:after="0"/>
              <w:rPr>
                <w:sz w:val="1"/>
                <w:szCs w:val="1"/>
                <w:color w:val="auto"/>
              </w:rPr>
            </w:pPr>
          </w:p>
        </w:tc>
      </w:tr>
      <w:tr>
        <w:trPr>
          <w:trHeight w:val="214"/>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No.</w:t>
            </w:r>
          </w:p>
        </w:tc>
        <w:tc>
          <w:tcPr>
            <w:tcW w:w="7520" w:type="dxa"/>
            <w:vAlign w:val="bottom"/>
            <w:tcBorders>
              <w:bottom w:val="single" w:sz="8" w:color="auto"/>
            </w:tcBorders>
            <w:gridSpan w:val="32"/>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No.</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0" w:type="dxa"/>
            <w:vAlign w:val="bottom"/>
          </w:tcPr>
          <w:p>
            <w:pPr>
              <w:spacing w:after="0"/>
              <w:rPr>
                <w:sz w:val="1"/>
                <w:szCs w:val="1"/>
                <w:color w:val="auto"/>
              </w:rPr>
            </w:pPr>
          </w:p>
        </w:tc>
      </w:tr>
      <w:tr>
        <w:trPr>
          <w:trHeight w:val="191"/>
        </w:trPr>
        <w:tc>
          <w:tcPr>
            <w:tcW w:w="80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6"/>
                <w:szCs w:val="16"/>
                <w:color w:val="auto"/>
                <w:w w:val="99"/>
              </w:rPr>
              <w:t>10.19</w:t>
            </w:r>
          </w:p>
        </w:tc>
        <w:tc>
          <w:tcPr>
            <w:tcW w:w="7520" w:type="dxa"/>
            <w:vAlign w:val="bottom"/>
            <w:gridSpan w:val="32"/>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FF"/>
              </w:rPr>
              <w:t>The Offer Letter Agreement dated February 2, 2024 between John Klinger and TJX, filed herewith*</w:t>
            </w:r>
          </w:p>
        </w:tc>
        <w:tc>
          <w:tcPr>
            <w:tcW w:w="7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800" w:type="dxa"/>
            <w:vAlign w:val="bottom"/>
            <w:tcBorders>
              <w:top w:val="single" w:sz="8" w:color="CCEEFF"/>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10.20</w:t>
            </w:r>
          </w:p>
        </w:tc>
        <w:tc>
          <w:tcPr>
            <w:tcW w:w="6500" w:type="dxa"/>
            <w:vAlign w:val="bottom"/>
            <w:tcBorders>
              <w:top w:val="single" w:sz="8" w:color="0000FF"/>
            </w:tcBorders>
            <w:gridSpan w:val="19"/>
          </w:tcPr>
          <w:p>
            <w:pPr>
              <w:spacing w:after="0" w:line="175" w:lineRule="exact"/>
              <w:rPr>
                <w:rFonts w:ascii="Times New Roman" w:cs="Times New Roman" w:eastAsia="Times New Roman" w:hAnsi="Times New Roman"/>
                <w:sz w:val="16"/>
                <w:szCs w:val="16"/>
                <w:color w:val="0000FF"/>
              </w:rPr>
            </w:pPr>
            <w:hyperlink r:id="rId78">
              <w:r>
                <w:rPr>
                  <w:rFonts w:ascii="Times New Roman" w:cs="Times New Roman" w:eastAsia="Times New Roman" w:hAnsi="Times New Roman"/>
                  <w:sz w:val="16"/>
                  <w:szCs w:val="16"/>
                  <w:color w:val="0000FF"/>
                </w:rPr>
                <w:t>The Obligations Agreement dated November 14, 2022 between John Klinger and TJX*</w:t>
              </w:r>
            </w:hyperlink>
          </w:p>
        </w:tc>
        <w:tc>
          <w:tcPr>
            <w:tcW w:w="1020" w:type="dxa"/>
            <w:vAlign w:val="bottom"/>
            <w:tcBorders>
              <w:top w:val="single" w:sz="8" w:color="CCEEFF"/>
            </w:tcBorders>
            <w:gridSpan w:val="13"/>
          </w:tcPr>
          <w:p>
            <w:pPr>
              <w:spacing w:after="0"/>
              <w:rPr>
                <w:sz w:val="15"/>
                <w:szCs w:val="15"/>
                <w:color w:val="auto"/>
              </w:rPr>
            </w:pPr>
          </w:p>
        </w:tc>
        <w:tc>
          <w:tcPr>
            <w:tcW w:w="780" w:type="dxa"/>
            <w:vAlign w:val="bottom"/>
            <w:tcBorders>
              <w:top w:val="single" w:sz="8" w:color="CCEEFF"/>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10-Q</w:t>
            </w:r>
          </w:p>
        </w:tc>
        <w:tc>
          <w:tcPr>
            <w:tcW w:w="860" w:type="dxa"/>
            <w:vAlign w:val="bottom"/>
            <w:tcBorders>
              <w:top w:val="single" w:sz="8" w:color="CCEEFF"/>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10.6</w:t>
            </w:r>
          </w:p>
        </w:tc>
        <w:tc>
          <w:tcPr>
            <w:tcW w:w="1100" w:type="dxa"/>
            <w:vAlign w:val="bottom"/>
            <w:tcBorders>
              <w:top w:val="single" w:sz="8" w:color="CCEEFF"/>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w w:val="98"/>
              </w:rPr>
              <w:t>11/29/2022</w:t>
            </w: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10.21</w:t>
            </w:r>
          </w:p>
        </w:tc>
        <w:tc>
          <w:tcPr>
            <w:tcW w:w="5700" w:type="dxa"/>
            <w:vAlign w:val="bottom"/>
            <w:tcBorders>
              <w:bottom w:val="single" w:sz="8" w:color="0000FF"/>
            </w:tcBorders>
            <w:gridSpan w:val="14"/>
            <w:shd w:val="clear" w:color="auto" w:fill="CCEEFF"/>
          </w:tcPr>
          <w:p>
            <w:pPr>
              <w:spacing w:after="0" w:line="175" w:lineRule="exact"/>
              <w:rPr>
                <w:rFonts w:ascii="Times New Roman" w:cs="Times New Roman" w:eastAsia="Times New Roman" w:hAnsi="Times New Roman"/>
                <w:sz w:val="16"/>
                <w:szCs w:val="16"/>
                <w:color w:val="0000FF"/>
              </w:rPr>
            </w:pPr>
            <w:hyperlink r:id="rId79">
              <w:r>
                <w:rPr>
                  <w:rFonts w:ascii="Times New Roman" w:cs="Times New Roman" w:eastAsia="Times New Roman" w:hAnsi="Times New Roman"/>
                  <w:sz w:val="16"/>
                  <w:szCs w:val="16"/>
                  <w:color w:val="0000FF"/>
                </w:rPr>
                <w:t>The Employment Agreement dated January 16, 2018 between Douglas Mizzi and TJX*</w:t>
              </w:r>
            </w:hyperlink>
          </w:p>
        </w:tc>
        <w:tc>
          <w:tcPr>
            <w:tcW w:w="1820" w:type="dxa"/>
            <w:vAlign w:val="bottom"/>
            <w:tcBorders>
              <w:bottom w:val="single" w:sz="8" w:color="CCEEFF"/>
            </w:tcBorders>
            <w:gridSpan w:val="18"/>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10-K</w:t>
            </w:r>
          </w:p>
        </w:tc>
        <w:tc>
          <w:tcPr>
            <w:tcW w:w="86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10.7</w:t>
            </w:r>
          </w:p>
        </w:tc>
        <w:tc>
          <w:tcPr>
            <w:tcW w:w="110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4/4/2018</w:t>
            </w:r>
          </w:p>
        </w:tc>
        <w:tc>
          <w:tcPr>
            <w:tcW w:w="0" w:type="dxa"/>
            <w:vAlign w:val="bottom"/>
          </w:tcPr>
          <w:p>
            <w:pPr>
              <w:spacing w:after="0"/>
              <w:rPr>
                <w:sz w:val="1"/>
                <w:szCs w:val="1"/>
                <w:color w:val="auto"/>
              </w:rPr>
            </w:pPr>
          </w:p>
        </w:tc>
      </w:tr>
      <w:tr>
        <w:trPr>
          <w:trHeight w:val="175"/>
        </w:trPr>
        <w:tc>
          <w:tcPr>
            <w:tcW w:w="8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10.22</w:t>
            </w:r>
          </w:p>
        </w:tc>
        <w:tc>
          <w:tcPr>
            <w:tcW w:w="7520" w:type="dxa"/>
            <w:vAlign w:val="bottom"/>
            <w:gridSpan w:val="32"/>
          </w:tcPr>
          <w:p>
            <w:pPr>
              <w:spacing w:after="0" w:line="175" w:lineRule="exact"/>
              <w:rPr>
                <w:rFonts w:ascii="Times New Roman" w:cs="Times New Roman" w:eastAsia="Times New Roman" w:hAnsi="Times New Roman"/>
                <w:sz w:val="16"/>
                <w:szCs w:val="16"/>
                <w:color w:val="0000FF"/>
              </w:rPr>
            </w:pPr>
            <w:hyperlink r:id="rId80">
              <w:r>
                <w:rPr>
                  <w:rFonts w:ascii="Times New Roman" w:cs="Times New Roman" w:eastAsia="Times New Roman" w:hAnsi="Times New Roman"/>
                  <w:sz w:val="16"/>
                  <w:szCs w:val="16"/>
                  <w:color w:val="0000FF"/>
                </w:rPr>
                <w:t>The Executive Severance Plan Participation Agreement dated September 27, 2018 between Douglas Mizzi and</w:t>
              </w:r>
            </w:hyperlink>
          </w:p>
        </w:tc>
        <w:tc>
          <w:tcPr>
            <w:tcW w:w="7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10-Q</w:t>
            </w:r>
          </w:p>
        </w:tc>
        <w:tc>
          <w:tcPr>
            <w:tcW w:w="8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10.8</w:t>
            </w:r>
          </w:p>
        </w:tc>
        <w:tc>
          <w:tcPr>
            <w:tcW w:w="11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12/4/2018</w:t>
            </w: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7200" w:type="dxa"/>
            <w:vAlign w:val="bottom"/>
            <w:tcBorders>
              <w:top w:val="single" w:sz="8" w:color="0000FF"/>
            </w:tcBorders>
            <w:gridSpan w:val="27"/>
          </w:tcPr>
          <w:p>
            <w:pPr>
              <w:spacing w:after="0" w:line="142" w:lineRule="exact"/>
              <w:rPr>
                <w:rFonts w:ascii="Times New Roman" w:cs="Times New Roman" w:eastAsia="Times New Roman" w:hAnsi="Times New Roman"/>
                <w:sz w:val="16"/>
                <w:szCs w:val="16"/>
                <w:color w:val="0000FF"/>
              </w:rPr>
            </w:pPr>
            <w:hyperlink r:id="rId80">
              <w:r>
                <w:rPr>
                  <w:rFonts w:ascii="Times New Roman" w:cs="Times New Roman" w:eastAsia="Times New Roman" w:hAnsi="Times New Roman"/>
                  <w:sz w:val="16"/>
                  <w:szCs w:val="16"/>
                  <w:color w:val="0000FF"/>
                </w:rPr>
                <w:t>TJX*</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10.23</w:t>
            </w:r>
          </w:p>
        </w:tc>
        <w:tc>
          <w:tcPr>
            <w:tcW w:w="7520" w:type="dxa"/>
            <w:vAlign w:val="bottom"/>
            <w:gridSpan w:val="32"/>
            <w:shd w:val="clear" w:color="auto" w:fill="CCEEFF"/>
          </w:tcPr>
          <w:p>
            <w:pPr>
              <w:spacing w:after="0" w:line="175" w:lineRule="exact"/>
              <w:rPr>
                <w:rFonts w:ascii="Times New Roman" w:cs="Times New Roman" w:eastAsia="Times New Roman" w:hAnsi="Times New Roman"/>
                <w:sz w:val="16"/>
                <w:szCs w:val="16"/>
                <w:color w:val="0000FF"/>
              </w:rPr>
            </w:pPr>
            <w:hyperlink r:id="rId81">
              <w:r>
                <w:rPr>
                  <w:rFonts w:ascii="Times New Roman" w:cs="Times New Roman" w:eastAsia="Times New Roman" w:hAnsi="Times New Roman"/>
                  <w:sz w:val="16"/>
                  <w:szCs w:val="16"/>
                  <w:color w:val="0000FF"/>
                </w:rPr>
                <w:t>The Amendment to the Employment Agreement between Douglas Mizzi and TJX effective as of February 13,</w:t>
              </w:r>
            </w:hyperlink>
          </w:p>
        </w:tc>
        <w:tc>
          <w:tcPr>
            <w:tcW w:w="7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10-K</w:t>
            </w:r>
          </w:p>
        </w:tc>
        <w:tc>
          <w:tcPr>
            <w:tcW w:w="8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10.19</w:t>
            </w:r>
          </w:p>
        </w:tc>
        <w:tc>
          <w:tcPr>
            <w:tcW w:w="11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4/3/2019</w:t>
            </w:r>
          </w:p>
        </w:tc>
        <w:tc>
          <w:tcPr>
            <w:tcW w:w="0" w:type="dxa"/>
            <w:vAlign w:val="bottom"/>
          </w:tcPr>
          <w:p>
            <w:pPr>
              <w:spacing w:after="0"/>
              <w:rPr>
                <w:sz w:val="1"/>
                <w:szCs w:val="1"/>
                <w:color w:val="auto"/>
              </w:rPr>
            </w:pPr>
          </w:p>
        </w:tc>
      </w:tr>
      <w:tr>
        <w:trPr>
          <w:trHeight w:val="163"/>
        </w:trPr>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420" w:type="dxa"/>
            <w:vAlign w:val="bottom"/>
            <w:tcBorders>
              <w:top w:val="single" w:sz="8" w:color="0000FF"/>
              <w:bottom w:val="single" w:sz="8" w:color="0000FF"/>
            </w:tcBorders>
            <w:gridSpan w:val="2"/>
            <w:shd w:val="clear" w:color="auto" w:fill="CCEEFF"/>
          </w:tcPr>
          <w:p>
            <w:pPr>
              <w:spacing w:after="0" w:line="142" w:lineRule="exact"/>
              <w:rPr>
                <w:rFonts w:ascii="Times New Roman" w:cs="Times New Roman" w:eastAsia="Times New Roman" w:hAnsi="Times New Roman"/>
                <w:sz w:val="16"/>
                <w:szCs w:val="16"/>
                <w:color w:val="0000FF"/>
                <w:w w:val="99"/>
              </w:rPr>
            </w:pPr>
            <w:hyperlink r:id="rId81">
              <w:r>
                <w:rPr>
                  <w:rFonts w:ascii="Times New Roman" w:cs="Times New Roman" w:eastAsia="Times New Roman" w:hAnsi="Times New Roman"/>
                  <w:sz w:val="16"/>
                  <w:szCs w:val="16"/>
                  <w:color w:val="0000FF"/>
                  <w:w w:val="99"/>
                </w:rPr>
                <w:t>2019*</w:t>
              </w:r>
            </w:hyperlink>
          </w:p>
        </w:tc>
        <w:tc>
          <w:tcPr>
            <w:tcW w:w="580" w:type="dxa"/>
            <w:vAlign w:val="bottom"/>
            <w:tcBorders>
              <w:top w:val="single" w:sz="8" w:color="0000FF"/>
              <w:bottom w:val="single" w:sz="8" w:color="CCEEFF"/>
            </w:tcBorders>
            <w:shd w:val="clear" w:color="auto" w:fill="CCEEFF"/>
          </w:tcPr>
          <w:p>
            <w:pPr>
              <w:spacing w:after="0"/>
              <w:rPr>
                <w:sz w:val="14"/>
                <w:szCs w:val="14"/>
                <w:color w:val="auto"/>
              </w:rPr>
            </w:pPr>
          </w:p>
        </w:tc>
        <w:tc>
          <w:tcPr>
            <w:tcW w:w="400" w:type="dxa"/>
            <w:vAlign w:val="bottom"/>
            <w:tcBorders>
              <w:top w:val="single" w:sz="8" w:color="0000FF"/>
              <w:bottom w:val="single" w:sz="8" w:color="CCEEFF"/>
            </w:tcBorders>
            <w:shd w:val="clear" w:color="auto" w:fill="CCEEFF"/>
          </w:tcPr>
          <w:p>
            <w:pPr>
              <w:spacing w:after="0"/>
              <w:rPr>
                <w:sz w:val="14"/>
                <w:szCs w:val="14"/>
                <w:color w:val="auto"/>
              </w:rPr>
            </w:pPr>
          </w:p>
        </w:tc>
        <w:tc>
          <w:tcPr>
            <w:tcW w:w="320" w:type="dxa"/>
            <w:vAlign w:val="bottom"/>
            <w:tcBorders>
              <w:top w:val="single" w:sz="8" w:color="0000FF"/>
              <w:bottom w:val="single" w:sz="8" w:color="CCEEFF"/>
            </w:tcBorders>
            <w:shd w:val="clear" w:color="auto" w:fill="CCEEFF"/>
          </w:tcPr>
          <w:p>
            <w:pPr>
              <w:spacing w:after="0"/>
              <w:rPr>
                <w:sz w:val="14"/>
                <w:szCs w:val="14"/>
                <w:color w:val="auto"/>
              </w:rPr>
            </w:pPr>
          </w:p>
        </w:tc>
        <w:tc>
          <w:tcPr>
            <w:tcW w:w="260" w:type="dxa"/>
            <w:vAlign w:val="bottom"/>
            <w:tcBorders>
              <w:top w:val="single" w:sz="8" w:color="0000FF"/>
              <w:bottom w:val="single" w:sz="8" w:color="CCEEFF"/>
            </w:tcBorders>
            <w:shd w:val="clear" w:color="auto" w:fill="CCEEFF"/>
          </w:tcPr>
          <w:p>
            <w:pPr>
              <w:spacing w:after="0"/>
              <w:rPr>
                <w:sz w:val="14"/>
                <w:szCs w:val="14"/>
                <w:color w:val="auto"/>
              </w:rPr>
            </w:pPr>
          </w:p>
        </w:tc>
        <w:tc>
          <w:tcPr>
            <w:tcW w:w="1060" w:type="dxa"/>
            <w:vAlign w:val="bottom"/>
            <w:tcBorders>
              <w:top w:val="single" w:sz="8" w:color="0000FF"/>
              <w:bottom w:val="single" w:sz="8" w:color="CCEEFF"/>
            </w:tcBorders>
            <w:shd w:val="clear" w:color="auto" w:fill="CCEEFF"/>
          </w:tcPr>
          <w:p>
            <w:pPr>
              <w:spacing w:after="0"/>
              <w:rPr>
                <w:sz w:val="14"/>
                <w:szCs w:val="14"/>
                <w:color w:val="auto"/>
              </w:rPr>
            </w:pPr>
          </w:p>
        </w:tc>
        <w:tc>
          <w:tcPr>
            <w:tcW w:w="240" w:type="dxa"/>
            <w:vAlign w:val="bottom"/>
            <w:tcBorders>
              <w:top w:val="single" w:sz="8" w:color="0000FF"/>
              <w:bottom w:val="single" w:sz="8" w:color="CCEEFF"/>
            </w:tcBorders>
            <w:shd w:val="clear" w:color="auto" w:fill="CCEEFF"/>
          </w:tcPr>
          <w:p>
            <w:pPr>
              <w:spacing w:after="0"/>
              <w:rPr>
                <w:sz w:val="14"/>
                <w:szCs w:val="14"/>
                <w:color w:val="auto"/>
              </w:rPr>
            </w:pPr>
          </w:p>
        </w:tc>
        <w:tc>
          <w:tcPr>
            <w:tcW w:w="840" w:type="dxa"/>
            <w:vAlign w:val="bottom"/>
            <w:tcBorders>
              <w:top w:val="single" w:sz="8" w:color="0000FF"/>
              <w:bottom w:val="single" w:sz="8" w:color="CCEEFF"/>
            </w:tcBorders>
            <w:shd w:val="clear" w:color="auto" w:fill="CCEEFF"/>
          </w:tcPr>
          <w:p>
            <w:pPr>
              <w:spacing w:after="0"/>
              <w:rPr>
                <w:sz w:val="14"/>
                <w:szCs w:val="14"/>
                <w:color w:val="auto"/>
              </w:rPr>
            </w:pPr>
          </w:p>
        </w:tc>
        <w:tc>
          <w:tcPr>
            <w:tcW w:w="160" w:type="dxa"/>
            <w:vAlign w:val="bottom"/>
            <w:tcBorders>
              <w:top w:val="single" w:sz="8" w:color="0000FF"/>
              <w:bottom w:val="single" w:sz="8" w:color="CCEEFF"/>
            </w:tcBorders>
            <w:shd w:val="clear" w:color="auto" w:fill="CCEEFF"/>
          </w:tcPr>
          <w:p>
            <w:pPr>
              <w:spacing w:after="0"/>
              <w:rPr>
                <w:sz w:val="14"/>
                <w:szCs w:val="14"/>
                <w:color w:val="auto"/>
              </w:rPr>
            </w:pPr>
          </w:p>
        </w:tc>
        <w:tc>
          <w:tcPr>
            <w:tcW w:w="80" w:type="dxa"/>
            <w:vAlign w:val="bottom"/>
            <w:tcBorders>
              <w:top w:val="single" w:sz="8" w:color="0000FF"/>
              <w:bottom w:val="single" w:sz="8" w:color="CCEEFF"/>
            </w:tcBorders>
            <w:shd w:val="clear" w:color="auto" w:fill="CCEEFF"/>
          </w:tcPr>
          <w:p>
            <w:pPr>
              <w:spacing w:after="0"/>
              <w:rPr>
                <w:sz w:val="14"/>
                <w:szCs w:val="14"/>
                <w:color w:val="auto"/>
              </w:rPr>
            </w:pPr>
          </w:p>
        </w:tc>
        <w:tc>
          <w:tcPr>
            <w:tcW w:w="680" w:type="dxa"/>
            <w:vAlign w:val="bottom"/>
            <w:tcBorders>
              <w:top w:val="single" w:sz="8" w:color="0000FF"/>
              <w:bottom w:val="single" w:sz="8" w:color="CCEEFF"/>
            </w:tcBorders>
            <w:shd w:val="clear" w:color="auto" w:fill="CCEEFF"/>
          </w:tcPr>
          <w:p>
            <w:pPr>
              <w:spacing w:after="0"/>
              <w:rPr>
                <w:sz w:val="14"/>
                <w:szCs w:val="14"/>
                <w:color w:val="auto"/>
              </w:rPr>
            </w:pPr>
          </w:p>
        </w:tc>
        <w:tc>
          <w:tcPr>
            <w:tcW w:w="64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120" w:type="dxa"/>
            <w:vAlign w:val="bottom"/>
            <w:tcBorders>
              <w:top w:val="single" w:sz="8" w:color="0000FF"/>
              <w:bottom w:val="single" w:sz="8" w:color="CCEEFF"/>
            </w:tcBorders>
            <w:shd w:val="clear" w:color="auto" w:fill="CCEEFF"/>
          </w:tcPr>
          <w:p>
            <w:pPr>
              <w:spacing w:after="0"/>
              <w:rPr>
                <w:sz w:val="14"/>
                <w:szCs w:val="14"/>
                <w:color w:val="auto"/>
              </w:rPr>
            </w:pPr>
          </w:p>
        </w:tc>
        <w:tc>
          <w:tcPr>
            <w:tcW w:w="380" w:type="dxa"/>
            <w:vAlign w:val="bottom"/>
            <w:tcBorders>
              <w:top w:val="single" w:sz="8" w:color="0000FF"/>
              <w:bottom w:val="single" w:sz="8" w:color="CCEEFF"/>
            </w:tcBorders>
            <w:shd w:val="clear" w:color="auto" w:fill="CCEEFF"/>
          </w:tcPr>
          <w:p>
            <w:pPr>
              <w:spacing w:after="0"/>
              <w:rPr>
                <w:sz w:val="14"/>
                <w:szCs w:val="14"/>
                <w:color w:val="auto"/>
              </w:rPr>
            </w:pPr>
          </w:p>
        </w:tc>
        <w:tc>
          <w:tcPr>
            <w:tcW w:w="180" w:type="dxa"/>
            <w:vAlign w:val="bottom"/>
            <w:tcBorders>
              <w:top w:val="single" w:sz="8" w:color="0000FF"/>
              <w:bottom w:val="single" w:sz="8" w:color="CCEEFF"/>
            </w:tcBorders>
            <w:shd w:val="clear" w:color="auto" w:fill="CCEEFF"/>
          </w:tcPr>
          <w:p>
            <w:pPr>
              <w:spacing w:after="0"/>
              <w:rPr>
                <w:sz w:val="14"/>
                <w:szCs w:val="14"/>
                <w:color w:val="auto"/>
              </w:rPr>
            </w:pPr>
          </w:p>
        </w:tc>
        <w:tc>
          <w:tcPr>
            <w:tcW w:w="8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28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160" w:type="dxa"/>
            <w:vAlign w:val="bottom"/>
            <w:tcBorders>
              <w:top w:val="single" w:sz="8" w:color="0000FF"/>
              <w:bottom w:val="single" w:sz="8" w:color="CCEEFF"/>
            </w:tcBorders>
            <w:shd w:val="clear" w:color="auto" w:fill="CCEEFF"/>
          </w:tcPr>
          <w:p>
            <w:pPr>
              <w:spacing w:after="0"/>
              <w:rPr>
                <w:sz w:val="14"/>
                <w:szCs w:val="14"/>
                <w:color w:val="auto"/>
              </w:rPr>
            </w:pPr>
          </w:p>
        </w:tc>
        <w:tc>
          <w:tcPr>
            <w:tcW w:w="8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60" w:type="dxa"/>
            <w:vAlign w:val="bottom"/>
            <w:tcBorders>
              <w:top w:val="single" w:sz="8" w:color="0000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780" w:type="dxa"/>
            <w:vAlign w:val="bottom"/>
            <w:tcBorders>
              <w:top w:val="single" w:sz="8" w:color="CCEEFF"/>
              <w:bottom w:val="single" w:sz="8" w:color="CCEEFF"/>
            </w:tcBorders>
            <w:shd w:val="clear" w:color="auto" w:fill="CCEEFF"/>
          </w:tcPr>
          <w:p>
            <w:pPr>
              <w:spacing w:after="0"/>
              <w:rPr>
                <w:sz w:val="14"/>
                <w:szCs w:val="14"/>
                <w:color w:val="auto"/>
              </w:rPr>
            </w:pPr>
          </w:p>
        </w:tc>
        <w:tc>
          <w:tcPr>
            <w:tcW w:w="860" w:type="dxa"/>
            <w:vAlign w:val="bottom"/>
            <w:tcBorders>
              <w:top w:val="single" w:sz="8" w:color="CCEEFF"/>
              <w:bottom w:val="single" w:sz="8" w:color="CCEEFF"/>
            </w:tcBorders>
            <w:shd w:val="clear" w:color="auto" w:fill="CCEEFF"/>
          </w:tcPr>
          <w:p>
            <w:pPr>
              <w:spacing w:after="0"/>
              <w:rPr>
                <w:sz w:val="14"/>
                <w:szCs w:val="14"/>
                <w:color w:val="auto"/>
              </w:rPr>
            </w:pPr>
          </w:p>
        </w:tc>
        <w:tc>
          <w:tcPr>
            <w:tcW w:w="1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10.24</w:t>
            </w:r>
          </w:p>
        </w:tc>
        <w:tc>
          <w:tcPr>
            <w:tcW w:w="7520" w:type="dxa"/>
            <w:vAlign w:val="bottom"/>
            <w:gridSpan w:val="32"/>
          </w:tcPr>
          <w:p>
            <w:pPr>
              <w:spacing w:after="0" w:line="175" w:lineRule="exact"/>
              <w:rPr>
                <w:rFonts w:ascii="Times New Roman" w:cs="Times New Roman" w:eastAsia="Times New Roman" w:hAnsi="Times New Roman"/>
                <w:sz w:val="16"/>
                <w:szCs w:val="16"/>
                <w:color w:val="0000FF"/>
              </w:rPr>
            </w:pPr>
            <w:hyperlink r:id="rId82">
              <w:r>
                <w:rPr>
                  <w:rFonts w:ascii="Times New Roman" w:cs="Times New Roman" w:eastAsia="Times New Roman" w:hAnsi="Times New Roman"/>
                  <w:sz w:val="16"/>
                  <w:szCs w:val="16"/>
                  <w:color w:val="0000FF"/>
                </w:rPr>
                <w:t>The Amendment to the Employment Agreement between Douglas Mizzi and TJX effective as of January 29,</w:t>
              </w:r>
            </w:hyperlink>
          </w:p>
        </w:tc>
        <w:tc>
          <w:tcPr>
            <w:tcW w:w="7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10-K</w:t>
            </w:r>
          </w:p>
        </w:tc>
        <w:tc>
          <w:tcPr>
            <w:tcW w:w="8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10.21</w:t>
            </w:r>
          </w:p>
        </w:tc>
        <w:tc>
          <w:tcPr>
            <w:tcW w:w="11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3/31/2021</w:t>
            </w: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1000" w:type="dxa"/>
            <w:vAlign w:val="bottom"/>
            <w:tcBorders>
              <w:top w:val="single" w:sz="8" w:color="0000FF"/>
            </w:tcBorders>
            <w:gridSpan w:val="3"/>
          </w:tcPr>
          <w:p>
            <w:pPr>
              <w:spacing w:after="0" w:line="142" w:lineRule="exact"/>
              <w:rPr>
                <w:rFonts w:ascii="Times New Roman" w:cs="Times New Roman" w:eastAsia="Times New Roman" w:hAnsi="Times New Roman"/>
                <w:sz w:val="16"/>
                <w:szCs w:val="16"/>
                <w:color w:val="0000FF"/>
              </w:rPr>
            </w:pPr>
            <w:hyperlink r:id="rId82">
              <w:r>
                <w:rPr>
                  <w:rFonts w:ascii="Times New Roman" w:cs="Times New Roman" w:eastAsia="Times New Roman" w:hAnsi="Times New Roman"/>
                  <w:sz w:val="16"/>
                  <w:szCs w:val="16"/>
                  <w:color w:val="0000FF"/>
                </w:rPr>
                <w:t>2021*</w:t>
              </w:r>
            </w:hyperlink>
          </w:p>
        </w:tc>
        <w:tc>
          <w:tcPr>
            <w:tcW w:w="40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106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84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680" w:type="dxa"/>
            <w:vAlign w:val="bottom"/>
            <w:tcBorders>
              <w:top w:val="single" w:sz="8" w:color="0000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10.25</w:t>
            </w:r>
          </w:p>
        </w:tc>
        <w:tc>
          <w:tcPr>
            <w:tcW w:w="7520" w:type="dxa"/>
            <w:vAlign w:val="bottom"/>
            <w:gridSpan w:val="3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The Amendment to the Employment Agreement between Douglas Mizzi and TJX effective as of February 2, 2024,</w:t>
            </w:r>
          </w:p>
        </w:tc>
        <w:tc>
          <w:tcPr>
            <w:tcW w:w="7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1000" w:type="dxa"/>
            <w:vAlign w:val="bottom"/>
            <w:tcBorders>
              <w:top w:val="single" w:sz="8" w:color="0000FF"/>
              <w:bottom w:val="single" w:sz="8" w:color="0000FF"/>
            </w:tcBorders>
            <w:gridSpan w:val="3"/>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FF"/>
              </w:rPr>
              <w:t>filed herewith*</w:t>
            </w:r>
          </w:p>
        </w:tc>
        <w:tc>
          <w:tcPr>
            <w:tcW w:w="6460" w:type="dxa"/>
            <w:vAlign w:val="bottom"/>
            <w:tcBorders>
              <w:top w:val="single" w:sz="8" w:color="0000FF"/>
              <w:bottom w:val="single" w:sz="8" w:color="CCEEFF"/>
            </w:tcBorders>
            <w:gridSpan w:val="28"/>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780" w:type="dxa"/>
            <w:vAlign w:val="bottom"/>
            <w:tcBorders>
              <w:top w:val="single" w:sz="8" w:color="CCEEFF"/>
              <w:bottom w:val="single" w:sz="8" w:color="CCEEFF"/>
            </w:tcBorders>
            <w:shd w:val="clear" w:color="auto" w:fill="CCEEFF"/>
          </w:tcPr>
          <w:p>
            <w:pPr>
              <w:spacing w:after="0"/>
              <w:rPr>
                <w:sz w:val="14"/>
                <w:szCs w:val="14"/>
                <w:color w:val="auto"/>
              </w:rPr>
            </w:pPr>
          </w:p>
        </w:tc>
        <w:tc>
          <w:tcPr>
            <w:tcW w:w="860" w:type="dxa"/>
            <w:vAlign w:val="bottom"/>
            <w:tcBorders>
              <w:top w:val="single" w:sz="8" w:color="CCEEFF"/>
              <w:bottom w:val="single" w:sz="8" w:color="CCEEFF"/>
            </w:tcBorders>
            <w:shd w:val="clear" w:color="auto" w:fill="CCEEFF"/>
          </w:tcPr>
          <w:p>
            <w:pPr>
              <w:spacing w:after="0"/>
              <w:rPr>
                <w:sz w:val="14"/>
                <w:szCs w:val="14"/>
                <w:color w:val="auto"/>
              </w:rPr>
            </w:pPr>
          </w:p>
        </w:tc>
        <w:tc>
          <w:tcPr>
            <w:tcW w:w="1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10.26</w:t>
            </w:r>
          </w:p>
        </w:tc>
        <w:tc>
          <w:tcPr>
            <w:tcW w:w="7520" w:type="dxa"/>
            <w:vAlign w:val="bottom"/>
            <w:gridSpan w:val="32"/>
          </w:tcPr>
          <w:p>
            <w:pPr>
              <w:spacing w:after="0" w:line="175" w:lineRule="exact"/>
              <w:rPr>
                <w:rFonts w:ascii="Times New Roman" w:cs="Times New Roman" w:eastAsia="Times New Roman" w:hAnsi="Times New Roman"/>
                <w:sz w:val="16"/>
                <w:szCs w:val="16"/>
                <w:color w:val="0000FF"/>
              </w:rPr>
            </w:pPr>
            <w:hyperlink r:id="rId83">
              <w:r>
                <w:rPr>
                  <w:rFonts w:ascii="Times New Roman" w:cs="Times New Roman" w:eastAsia="Times New Roman" w:hAnsi="Times New Roman"/>
                  <w:sz w:val="16"/>
                  <w:szCs w:val="16"/>
                  <w:color w:val="0000FF"/>
                </w:rPr>
                <w:t>The Stock Incentive Plan (2022 Restatement)*</w:t>
              </w:r>
            </w:hyperlink>
          </w:p>
        </w:tc>
        <w:tc>
          <w:tcPr>
            <w:tcW w:w="7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10-Q</w:t>
            </w:r>
          </w:p>
        </w:tc>
        <w:tc>
          <w:tcPr>
            <w:tcW w:w="8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w:t>
            </w:r>
          </w:p>
        </w:tc>
        <w:tc>
          <w:tcPr>
            <w:tcW w:w="11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8/26/2022</w:t>
            </w: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10.27</w:t>
            </w:r>
          </w:p>
        </w:tc>
        <w:tc>
          <w:tcPr>
            <w:tcW w:w="5820" w:type="dxa"/>
            <w:vAlign w:val="bottom"/>
            <w:tcBorders>
              <w:bottom w:val="single" w:sz="8" w:color="0000FF"/>
            </w:tcBorders>
            <w:gridSpan w:val="15"/>
            <w:shd w:val="clear" w:color="auto" w:fill="CCEEFF"/>
          </w:tcPr>
          <w:p>
            <w:pPr>
              <w:spacing w:after="0" w:line="175" w:lineRule="exact"/>
              <w:rPr>
                <w:rFonts w:ascii="Times New Roman" w:cs="Times New Roman" w:eastAsia="Times New Roman" w:hAnsi="Times New Roman"/>
                <w:sz w:val="16"/>
                <w:szCs w:val="16"/>
                <w:color w:val="0000FF"/>
              </w:rPr>
            </w:pPr>
            <w:hyperlink r:id="rId84">
              <w:r>
                <w:rPr>
                  <w:rFonts w:ascii="Times New Roman" w:cs="Times New Roman" w:eastAsia="Times New Roman" w:hAnsi="Times New Roman"/>
                  <w:sz w:val="16"/>
                  <w:szCs w:val="16"/>
                  <w:color w:val="0000FF"/>
                </w:rPr>
                <w:t>The Stock Incentive Plan Rules for U.K. Employees, effective as of September 19, 2022*</w:t>
              </w:r>
            </w:hyperlink>
          </w:p>
        </w:tc>
        <w:tc>
          <w:tcPr>
            <w:tcW w:w="1700" w:type="dxa"/>
            <w:vAlign w:val="bottom"/>
            <w:tcBorders>
              <w:bottom w:val="single" w:sz="8" w:color="CCEEFF"/>
            </w:tcBorders>
            <w:gridSpan w:val="17"/>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10-Q</w:t>
            </w:r>
          </w:p>
        </w:tc>
        <w:tc>
          <w:tcPr>
            <w:tcW w:w="86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10.3</w:t>
            </w:r>
          </w:p>
        </w:tc>
        <w:tc>
          <w:tcPr>
            <w:tcW w:w="110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8"/>
              </w:rPr>
              <w:t>11/29/2022</w:t>
            </w:r>
          </w:p>
        </w:tc>
        <w:tc>
          <w:tcPr>
            <w:tcW w:w="0" w:type="dxa"/>
            <w:vAlign w:val="bottom"/>
          </w:tcPr>
          <w:p>
            <w:pPr>
              <w:spacing w:after="0"/>
              <w:rPr>
                <w:sz w:val="1"/>
                <w:szCs w:val="1"/>
                <w:color w:val="auto"/>
              </w:rPr>
            </w:pPr>
          </w:p>
        </w:tc>
      </w:tr>
      <w:tr>
        <w:trPr>
          <w:trHeight w:val="175"/>
        </w:trPr>
        <w:tc>
          <w:tcPr>
            <w:tcW w:w="8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10.28</w:t>
            </w:r>
          </w:p>
        </w:tc>
        <w:tc>
          <w:tcPr>
            <w:tcW w:w="7520" w:type="dxa"/>
            <w:vAlign w:val="bottom"/>
            <w:gridSpan w:val="32"/>
          </w:tcPr>
          <w:p>
            <w:pPr>
              <w:spacing w:after="0" w:line="175" w:lineRule="exact"/>
              <w:rPr>
                <w:rFonts w:ascii="Times New Roman" w:cs="Times New Roman" w:eastAsia="Times New Roman" w:hAnsi="Times New Roman"/>
                <w:sz w:val="16"/>
                <w:szCs w:val="16"/>
                <w:color w:val="0000FF"/>
              </w:rPr>
            </w:pPr>
            <w:hyperlink r:id="rId85">
              <w:r>
                <w:rPr>
                  <w:rFonts w:ascii="Times New Roman" w:cs="Times New Roman" w:eastAsia="Times New Roman" w:hAnsi="Times New Roman"/>
                  <w:sz w:val="16"/>
                  <w:szCs w:val="16"/>
                  <w:color w:val="0000FF"/>
                </w:rPr>
                <w:t>The Form of Non-Qualified Stock Option Certificate granted under the Stock Incentive Plan as of September 10,</w:t>
              </w:r>
            </w:hyperlink>
          </w:p>
        </w:tc>
        <w:tc>
          <w:tcPr>
            <w:tcW w:w="7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10-Q</w:t>
            </w:r>
          </w:p>
        </w:tc>
        <w:tc>
          <w:tcPr>
            <w:tcW w:w="8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10.4</w:t>
            </w:r>
          </w:p>
        </w:tc>
        <w:tc>
          <w:tcPr>
            <w:tcW w:w="11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12/2/2014</w:t>
            </w: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1000" w:type="dxa"/>
            <w:vAlign w:val="bottom"/>
            <w:tcBorders>
              <w:top w:val="single" w:sz="8" w:color="0000FF"/>
            </w:tcBorders>
            <w:gridSpan w:val="3"/>
          </w:tcPr>
          <w:p>
            <w:pPr>
              <w:spacing w:after="0" w:line="142" w:lineRule="exact"/>
              <w:rPr>
                <w:rFonts w:ascii="Times New Roman" w:cs="Times New Roman" w:eastAsia="Times New Roman" w:hAnsi="Times New Roman"/>
                <w:sz w:val="16"/>
                <w:szCs w:val="16"/>
                <w:color w:val="0000FF"/>
              </w:rPr>
            </w:pPr>
            <w:hyperlink r:id="rId85">
              <w:r>
                <w:rPr>
                  <w:rFonts w:ascii="Times New Roman" w:cs="Times New Roman" w:eastAsia="Times New Roman" w:hAnsi="Times New Roman"/>
                  <w:sz w:val="16"/>
                  <w:szCs w:val="16"/>
                  <w:color w:val="0000FF"/>
                </w:rPr>
                <w:t>2014*</w:t>
              </w:r>
            </w:hyperlink>
          </w:p>
        </w:tc>
        <w:tc>
          <w:tcPr>
            <w:tcW w:w="40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106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84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680" w:type="dxa"/>
            <w:vAlign w:val="bottom"/>
            <w:tcBorders>
              <w:top w:val="single" w:sz="8" w:color="0000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10.29</w:t>
            </w:r>
          </w:p>
        </w:tc>
        <w:tc>
          <w:tcPr>
            <w:tcW w:w="7520" w:type="dxa"/>
            <w:vAlign w:val="bottom"/>
            <w:gridSpan w:val="32"/>
            <w:shd w:val="clear" w:color="auto" w:fill="CCEEFF"/>
          </w:tcPr>
          <w:p>
            <w:pPr>
              <w:spacing w:after="0" w:line="175" w:lineRule="exact"/>
              <w:rPr>
                <w:rFonts w:ascii="Times New Roman" w:cs="Times New Roman" w:eastAsia="Times New Roman" w:hAnsi="Times New Roman"/>
                <w:sz w:val="16"/>
                <w:szCs w:val="16"/>
                <w:color w:val="0000FF"/>
              </w:rPr>
            </w:pPr>
            <w:hyperlink r:id="rId86">
              <w:r>
                <w:rPr>
                  <w:rFonts w:ascii="Times New Roman" w:cs="Times New Roman" w:eastAsia="Times New Roman" w:hAnsi="Times New Roman"/>
                  <w:sz w:val="16"/>
                  <w:szCs w:val="16"/>
                  <w:color w:val="0000FF"/>
                </w:rPr>
                <w:t>The Form of Non-Qualified Stock Option Terms and Conditions granted under the Stock Incentive Plan as of</w:t>
              </w:r>
            </w:hyperlink>
          </w:p>
        </w:tc>
        <w:tc>
          <w:tcPr>
            <w:tcW w:w="7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10-Q</w:t>
            </w:r>
          </w:p>
        </w:tc>
        <w:tc>
          <w:tcPr>
            <w:tcW w:w="8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10.5</w:t>
            </w:r>
          </w:p>
        </w:tc>
        <w:tc>
          <w:tcPr>
            <w:tcW w:w="11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12/2/2014</w:t>
            </w:r>
          </w:p>
        </w:tc>
        <w:tc>
          <w:tcPr>
            <w:tcW w:w="0" w:type="dxa"/>
            <w:vAlign w:val="bottom"/>
          </w:tcPr>
          <w:p>
            <w:pPr>
              <w:spacing w:after="0"/>
              <w:rPr>
                <w:sz w:val="1"/>
                <w:szCs w:val="1"/>
                <w:color w:val="auto"/>
              </w:rPr>
            </w:pPr>
          </w:p>
        </w:tc>
      </w:tr>
      <w:tr>
        <w:trPr>
          <w:trHeight w:val="163"/>
        </w:trPr>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1400" w:type="dxa"/>
            <w:vAlign w:val="bottom"/>
            <w:tcBorders>
              <w:top w:val="single" w:sz="8" w:color="0000FF"/>
              <w:bottom w:val="single" w:sz="8" w:color="0000FF"/>
            </w:tcBorders>
            <w:gridSpan w:val="4"/>
            <w:shd w:val="clear" w:color="auto" w:fill="CCEEFF"/>
          </w:tcPr>
          <w:p>
            <w:pPr>
              <w:spacing w:after="0" w:line="142" w:lineRule="exact"/>
              <w:rPr>
                <w:rFonts w:ascii="Times New Roman" w:cs="Times New Roman" w:eastAsia="Times New Roman" w:hAnsi="Times New Roman"/>
                <w:sz w:val="16"/>
                <w:szCs w:val="16"/>
                <w:color w:val="0000FF"/>
              </w:rPr>
            </w:pPr>
            <w:hyperlink r:id="rId86">
              <w:r>
                <w:rPr>
                  <w:rFonts w:ascii="Times New Roman" w:cs="Times New Roman" w:eastAsia="Times New Roman" w:hAnsi="Times New Roman"/>
                  <w:sz w:val="16"/>
                  <w:szCs w:val="16"/>
                  <w:color w:val="0000FF"/>
                </w:rPr>
                <w:t>September 10, 2014*</w:t>
              </w:r>
            </w:hyperlink>
          </w:p>
        </w:tc>
        <w:tc>
          <w:tcPr>
            <w:tcW w:w="5680" w:type="dxa"/>
            <w:vAlign w:val="bottom"/>
            <w:tcBorders>
              <w:top w:val="single" w:sz="8" w:color="0000FF"/>
              <w:bottom w:val="single" w:sz="8" w:color="CCEEFF"/>
            </w:tcBorders>
            <w:gridSpan w:val="21"/>
            <w:shd w:val="clear" w:color="auto" w:fill="CCEEFF"/>
          </w:tcPr>
          <w:p>
            <w:pPr>
              <w:spacing w:after="0"/>
              <w:rPr>
                <w:sz w:val="14"/>
                <w:szCs w:val="14"/>
                <w:color w:val="auto"/>
              </w:rPr>
            </w:pPr>
          </w:p>
        </w:tc>
        <w:tc>
          <w:tcPr>
            <w:tcW w:w="14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780" w:type="dxa"/>
            <w:vAlign w:val="bottom"/>
            <w:tcBorders>
              <w:top w:val="single" w:sz="8" w:color="CCEEFF"/>
              <w:bottom w:val="single" w:sz="8" w:color="CCEEFF"/>
            </w:tcBorders>
            <w:shd w:val="clear" w:color="auto" w:fill="CCEEFF"/>
          </w:tcPr>
          <w:p>
            <w:pPr>
              <w:spacing w:after="0"/>
              <w:rPr>
                <w:sz w:val="14"/>
                <w:szCs w:val="14"/>
                <w:color w:val="auto"/>
              </w:rPr>
            </w:pPr>
          </w:p>
        </w:tc>
        <w:tc>
          <w:tcPr>
            <w:tcW w:w="860" w:type="dxa"/>
            <w:vAlign w:val="bottom"/>
            <w:tcBorders>
              <w:top w:val="single" w:sz="8" w:color="CCEEFF"/>
              <w:bottom w:val="single" w:sz="8" w:color="CCEEFF"/>
            </w:tcBorders>
            <w:shd w:val="clear" w:color="auto" w:fill="CCEEFF"/>
          </w:tcPr>
          <w:p>
            <w:pPr>
              <w:spacing w:after="0"/>
              <w:rPr>
                <w:sz w:val="14"/>
                <w:szCs w:val="14"/>
                <w:color w:val="auto"/>
              </w:rPr>
            </w:pPr>
          </w:p>
        </w:tc>
        <w:tc>
          <w:tcPr>
            <w:tcW w:w="1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10.30</w:t>
            </w:r>
          </w:p>
        </w:tc>
        <w:tc>
          <w:tcPr>
            <w:tcW w:w="7520" w:type="dxa"/>
            <w:vAlign w:val="bottom"/>
            <w:gridSpan w:val="32"/>
          </w:tcPr>
          <w:p>
            <w:pPr>
              <w:spacing w:after="0" w:line="175" w:lineRule="exact"/>
              <w:rPr>
                <w:rFonts w:ascii="Times New Roman" w:cs="Times New Roman" w:eastAsia="Times New Roman" w:hAnsi="Times New Roman"/>
                <w:sz w:val="16"/>
                <w:szCs w:val="16"/>
                <w:color w:val="0000FF"/>
              </w:rPr>
            </w:pPr>
            <w:hyperlink r:id="rId87">
              <w:r>
                <w:rPr>
                  <w:rFonts w:ascii="Times New Roman" w:cs="Times New Roman" w:eastAsia="Times New Roman" w:hAnsi="Times New Roman"/>
                  <w:sz w:val="16"/>
                  <w:szCs w:val="16"/>
                  <w:color w:val="0000FF"/>
                </w:rPr>
                <w:t>The Form of Non-Qualified Stock Option Certificate granted under the Stock Incentive Plan as of September 17,</w:t>
              </w:r>
            </w:hyperlink>
          </w:p>
        </w:tc>
        <w:tc>
          <w:tcPr>
            <w:tcW w:w="7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10-Q</w:t>
            </w:r>
          </w:p>
        </w:tc>
        <w:tc>
          <w:tcPr>
            <w:tcW w:w="8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w:t>
            </w:r>
          </w:p>
        </w:tc>
        <w:tc>
          <w:tcPr>
            <w:tcW w:w="11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12/1/2015</w:t>
            </w: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1000" w:type="dxa"/>
            <w:vAlign w:val="bottom"/>
            <w:tcBorders>
              <w:top w:val="single" w:sz="8" w:color="0000FF"/>
            </w:tcBorders>
            <w:gridSpan w:val="3"/>
          </w:tcPr>
          <w:p>
            <w:pPr>
              <w:spacing w:after="0" w:line="142" w:lineRule="exact"/>
              <w:rPr>
                <w:rFonts w:ascii="Times New Roman" w:cs="Times New Roman" w:eastAsia="Times New Roman" w:hAnsi="Times New Roman"/>
                <w:sz w:val="16"/>
                <w:szCs w:val="16"/>
                <w:color w:val="0000FF"/>
              </w:rPr>
            </w:pPr>
            <w:hyperlink r:id="rId87">
              <w:r>
                <w:rPr>
                  <w:rFonts w:ascii="Times New Roman" w:cs="Times New Roman" w:eastAsia="Times New Roman" w:hAnsi="Times New Roman"/>
                  <w:sz w:val="16"/>
                  <w:szCs w:val="16"/>
                  <w:color w:val="0000FF"/>
                </w:rPr>
                <w:t>2015*</w:t>
              </w:r>
            </w:hyperlink>
          </w:p>
        </w:tc>
        <w:tc>
          <w:tcPr>
            <w:tcW w:w="40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106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84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680" w:type="dxa"/>
            <w:vAlign w:val="bottom"/>
            <w:tcBorders>
              <w:top w:val="single" w:sz="8" w:color="0000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10.31</w:t>
            </w:r>
          </w:p>
        </w:tc>
        <w:tc>
          <w:tcPr>
            <w:tcW w:w="7520" w:type="dxa"/>
            <w:vAlign w:val="bottom"/>
            <w:gridSpan w:val="32"/>
            <w:shd w:val="clear" w:color="auto" w:fill="CCEEFF"/>
          </w:tcPr>
          <w:p>
            <w:pPr>
              <w:spacing w:after="0" w:line="175" w:lineRule="exact"/>
              <w:rPr>
                <w:rFonts w:ascii="Times New Roman" w:cs="Times New Roman" w:eastAsia="Times New Roman" w:hAnsi="Times New Roman"/>
                <w:sz w:val="16"/>
                <w:szCs w:val="16"/>
                <w:color w:val="0000FF"/>
              </w:rPr>
            </w:pPr>
            <w:hyperlink r:id="rId88">
              <w:r>
                <w:rPr>
                  <w:rFonts w:ascii="Times New Roman" w:cs="Times New Roman" w:eastAsia="Times New Roman" w:hAnsi="Times New Roman"/>
                  <w:sz w:val="16"/>
                  <w:szCs w:val="16"/>
                  <w:color w:val="0000FF"/>
                </w:rPr>
                <w:t>The Form of Non-Qualified Stock Option Terms and Conditions granted under the Stock Incentive Plan as of</w:t>
              </w:r>
            </w:hyperlink>
          </w:p>
        </w:tc>
        <w:tc>
          <w:tcPr>
            <w:tcW w:w="7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10-Q</w:t>
            </w:r>
          </w:p>
        </w:tc>
        <w:tc>
          <w:tcPr>
            <w:tcW w:w="8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10.2</w:t>
            </w:r>
          </w:p>
        </w:tc>
        <w:tc>
          <w:tcPr>
            <w:tcW w:w="11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12/1/2015</w:t>
            </w:r>
          </w:p>
        </w:tc>
        <w:tc>
          <w:tcPr>
            <w:tcW w:w="0" w:type="dxa"/>
            <w:vAlign w:val="bottom"/>
          </w:tcPr>
          <w:p>
            <w:pPr>
              <w:spacing w:after="0"/>
              <w:rPr>
                <w:sz w:val="1"/>
                <w:szCs w:val="1"/>
                <w:color w:val="auto"/>
              </w:rPr>
            </w:pPr>
          </w:p>
        </w:tc>
      </w:tr>
      <w:tr>
        <w:trPr>
          <w:trHeight w:val="163"/>
        </w:trPr>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1400" w:type="dxa"/>
            <w:vAlign w:val="bottom"/>
            <w:tcBorders>
              <w:top w:val="single" w:sz="8" w:color="0000FF"/>
              <w:bottom w:val="single" w:sz="8" w:color="0000FF"/>
            </w:tcBorders>
            <w:gridSpan w:val="4"/>
            <w:shd w:val="clear" w:color="auto" w:fill="CCEEFF"/>
          </w:tcPr>
          <w:p>
            <w:pPr>
              <w:spacing w:after="0" w:line="142" w:lineRule="exact"/>
              <w:rPr>
                <w:rFonts w:ascii="Times New Roman" w:cs="Times New Roman" w:eastAsia="Times New Roman" w:hAnsi="Times New Roman"/>
                <w:sz w:val="16"/>
                <w:szCs w:val="16"/>
                <w:color w:val="0000FF"/>
              </w:rPr>
            </w:pPr>
            <w:hyperlink r:id="rId88">
              <w:r>
                <w:rPr>
                  <w:rFonts w:ascii="Times New Roman" w:cs="Times New Roman" w:eastAsia="Times New Roman" w:hAnsi="Times New Roman"/>
                  <w:sz w:val="16"/>
                  <w:szCs w:val="16"/>
                  <w:color w:val="0000FF"/>
                </w:rPr>
                <w:t>September 17, 2015*</w:t>
              </w:r>
            </w:hyperlink>
          </w:p>
        </w:tc>
        <w:tc>
          <w:tcPr>
            <w:tcW w:w="5680" w:type="dxa"/>
            <w:vAlign w:val="bottom"/>
            <w:tcBorders>
              <w:top w:val="single" w:sz="8" w:color="0000FF"/>
              <w:bottom w:val="single" w:sz="8" w:color="CCEEFF"/>
            </w:tcBorders>
            <w:gridSpan w:val="21"/>
            <w:shd w:val="clear" w:color="auto" w:fill="CCEEFF"/>
          </w:tcPr>
          <w:p>
            <w:pPr>
              <w:spacing w:after="0"/>
              <w:rPr>
                <w:sz w:val="14"/>
                <w:szCs w:val="14"/>
                <w:color w:val="auto"/>
              </w:rPr>
            </w:pPr>
          </w:p>
        </w:tc>
        <w:tc>
          <w:tcPr>
            <w:tcW w:w="14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780" w:type="dxa"/>
            <w:vAlign w:val="bottom"/>
            <w:tcBorders>
              <w:top w:val="single" w:sz="8" w:color="CCEEFF"/>
              <w:bottom w:val="single" w:sz="8" w:color="CCEEFF"/>
            </w:tcBorders>
            <w:shd w:val="clear" w:color="auto" w:fill="CCEEFF"/>
          </w:tcPr>
          <w:p>
            <w:pPr>
              <w:spacing w:after="0"/>
              <w:rPr>
                <w:sz w:val="14"/>
                <w:szCs w:val="14"/>
                <w:color w:val="auto"/>
              </w:rPr>
            </w:pPr>
          </w:p>
        </w:tc>
        <w:tc>
          <w:tcPr>
            <w:tcW w:w="860" w:type="dxa"/>
            <w:vAlign w:val="bottom"/>
            <w:tcBorders>
              <w:top w:val="single" w:sz="8" w:color="CCEEFF"/>
              <w:bottom w:val="single" w:sz="8" w:color="CCEEFF"/>
            </w:tcBorders>
            <w:shd w:val="clear" w:color="auto" w:fill="CCEEFF"/>
          </w:tcPr>
          <w:p>
            <w:pPr>
              <w:spacing w:after="0"/>
              <w:rPr>
                <w:sz w:val="14"/>
                <w:szCs w:val="14"/>
                <w:color w:val="auto"/>
              </w:rPr>
            </w:pPr>
          </w:p>
        </w:tc>
        <w:tc>
          <w:tcPr>
            <w:tcW w:w="1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10.32</w:t>
            </w:r>
          </w:p>
        </w:tc>
        <w:tc>
          <w:tcPr>
            <w:tcW w:w="7520" w:type="dxa"/>
            <w:vAlign w:val="bottom"/>
            <w:gridSpan w:val="32"/>
          </w:tcPr>
          <w:p>
            <w:pPr>
              <w:spacing w:after="0" w:line="175" w:lineRule="exact"/>
              <w:rPr>
                <w:rFonts w:ascii="Times New Roman" w:cs="Times New Roman" w:eastAsia="Times New Roman" w:hAnsi="Times New Roman"/>
                <w:sz w:val="16"/>
                <w:szCs w:val="16"/>
                <w:color w:val="0000FF"/>
              </w:rPr>
            </w:pPr>
            <w:hyperlink r:id="rId89">
              <w:r>
                <w:rPr>
                  <w:rFonts w:ascii="Times New Roman" w:cs="Times New Roman" w:eastAsia="Times New Roman" w:hAnsi="Times New Roman"/>
                  <w:sz w:val="16"/>
                  <w:szCs w:val="16"/>
                  <w:color w:val="0000FF"/>
                </w:rPr>
                <w:t>The Form of Non-Qualified Stock Option Terms and Conditions granted under the Stock Incentive Plan as of</w:t>
              </w:r>
            </w:hyperlink>
          </w:p>
        </w:tc>
        <w:tc>
          <w:tcPr>
            <w:tcW w:w="7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10-Q</w:t>
            </w:r>
          </w:p>
        </w:tc>
        <w:tc>
          <w:tcPr>
            <w:tcW w:w="8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10.2</w:t>
            </w:r>
          </w:p>
        </w:tc>
        <w:tc>
          <w:tcPr>
            <w:tcW w:w="11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8"/>
              </w:rPr>
              <w:t>11/29/2022</w:t>
            </w: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7080" w:type="dxa"/>
            <w:vAlign w:val="bottom"/>
            <w:tcBorders>
              <w:top w:val="single" w:sz="8" w:color="0000FF"/>
            </w:tcBorders>
            <w:gridSpan w:val="25"/>
          </w:tcPr>
          <w:p>
            <w:pPr>
              <w:spacing w:after="0" w:line="142" w:lineRule="exact"/>
              <w:rPr>
                <w:rFonts w:ascii="Times New Roman" w:cs="Times New Roman" w:eastAsia="Times New Roman" w:hAnsi="Times New Roman"/>
                <w:sz w:val="16"/>
                <w:szCs w:val="16"/>
                <w:color w:val="0000FF"/>
              </w:rPr>
            </w:pPr>
            <w:hyperlink r:id="rId89">
              <w:r>
                <w:rPr>
                  <w:rFonts w:ascii="Times New Roman" w:cs="Times New Roman" w:eastAsia="Times New Roman" w:hAnsi="Times New Roman"/>
                  <w:sz w:val="16"/>
                  <w:szCs w:val="16"/>
                  <w:color w:val="0000FF"/>
                </w:rPr>
                <w:t>September 19, 2022*</w:t>
              </w:r>
            </w:hyperlink>
          </w:p>
        </w:tc>
        <w:tc>
          <w:tcPr>
            <w:tcW w:w="140" w:type="dxa"/>
            <w:vAlign w:val="bottom"/>
            <w:gridSpan w:val="3"/>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gridSpan w:val="2"/>
          </w:tcPr>
          <w:p>
            <w:pPr>
              <w:spacing w:after="0"/>
              <w:rPr>
                <w:sz w:val="12"/>
                <w:szCs w:val="12"/>
                <w:color w:val="auto"/>
              </w:rPr>
            </w:pPr>
          </w:p>
        </w:tc>
        <w:tc>
          <w:tcPr>
            <w:tcW w:w="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10.33</w:t>
            </w:r>
          </w:p>
        </w:tc>
        <w:tc>
          <w:tcPr>
            <w:tcW w:w="7520" w:type="dxa"/>
            <w:vAlign w:val="bottom"/>
            <w:gridSpan w:val="32"/>
            <w:shd w:val="clear" w:color="auto" w:fill="CCEEFF"/>
          </w:tcPr>
          <w:p>
            <w:pPr>
              <w:spacing w:after="0" w:line="175" w:lineRule="exact"/>
              <w:rPr>
                <w:rFonts w:ascii="Times New Roman" w:cs="Times New Roman" w:eastAsia="Times New Roman" w:hAnsi="Times New Roman"/>
                <w:sz w:val="16"/>
                <w:szCs w:val="16"/>
                <w:color w:val="0000FF"/>
              </w:rPr>
            </w:pPr>
            <w:hyperlink r:id="rId90">
              <w:r>
                <w:rPr>
                  <w:rFonts w:ascii="Times New Roman" w:cs="Times New Roman" w:eastAsia="Times New Roman" w:hAnsi="Times New Roman"/>
                  <w:sz w:val="16"/>
                  <w:szCs w:val="16"/>
                  <w:color w:val="0000FF"/>
                </w:rPr>
                <w:t>The Restricted Stock Unit Award granted under the Stock Incentive Plan on January 29, 2016 to Ernie Herrman*</w:t>
              </w:r>
            </w:hyperlink>
          </w:p>
        </w:tc>
        <w:tc>
          <w:tcPr>
            <w:tcW w:w="7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10-K</w:t>
            </w:r>
          </w:p>
        </w:tc>
        <w:tc>
          <w:tcPr>
            <w:tcW w:w="8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10.19</w:t>
            </w:r>
          </w:p>
        </w:tc>
        <w:tc>
          <w:tcPr>
            <w:tcW w:w="11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3/29/2016</w:t>
            </w:r>
          </w:p>
        </w:tc>
        <w:tc>
          <w:tcPr>
            <w:tcW w:w="0" w:type="dxa"/>
            <w:vAlign w:val="bottom"/>
          </w:tcPr>
          <w:p>
            <w:pPr>
              <w:spacing w:after="0"/>
              <w:rPr>
                <w:sz w:val="1"/>
                <w:szCs w:val="1"/>
                <w:color w:val="auto"/>
              </w:rPr>
            </w:pPr>
          </w:p>
        </w:tc>
      </w:tr>
      <w:tr>
        <w:trPr>
          <w:trHeight w:val="175"/>
        </w:trPr>
        <w:tc>
          <w:tcPr>
            <w:tcW w:w="800" w:type="dxa"/>
            <w:vAlign w:val="bottom"/>
            <w:tcBorders>
              <w:top w:val="single" w:sz="8" w:color="CCEEFF"/>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10.34</w:t>
            </w:r>
          </w:p>
        </w:tc>
        <w:tc>
          <w:tcPr>
            <w:tcW w:w="7320" w:type="dxa"/>
            <w:vAlign w:val="bottom"/>
            <w:tcBorders>
              <w:top w:val="single" w:sz="8" w:color="0000FF"/>
            </w:tcBorders>
            <w:gridSpan w:val="30"/>
          </w:tcPr>
          <w:p>
            <w:pPr>
              <w:spacing w:after="0" w:line="175" w:lineRule="exact"/>
              <w:rPr>
                <w:rFonts w:ascii="Times New Roman" w:cs="Times New Roman" w:eastAsia="Times New Roman" w:hAnsi="Times New Roman"/>
                <w:sz w:val="16"/>
                <w:szCs w:val="16"/>
                <w:color w:val="0000FF"/>
              </w:rPr>
            </w:pPr>
            <w:hyperlink r:id="rId91">
              <w:r>
                <w:rPr>
                  <w:rFonts w:ascii="Times New Roman" w:cs="Times New Roman" w:eastAsia="Times New Roman" w:hAnsi="Times New Roman"/>
                  <w:sz w:val="16"/>
                  <w:szCs w:val="16"/>
                  <w:color w:val="0000FF"/>
                </w:rPr>
                <w:t>The Form of Performance Share Unit Award granted under the Stock Incentive Plan as of March 29, 2021*</w:t>
              </w:r>
            </w:hyperlink>
          </w:p>
        </w:tc>
        <w:tc>
          <w:tcPr>
            <w:tcW w:w="200" w:type="dxa"/>
            <w:vAlign w:val="bottom"/>
            <w:tcBorders>
              <w:top w:val="single" w:sz="8" w:color="CCEEFF"/>
            </w:tcBorders>
            <w:gridSpan w:val="2"/>
          </w:tcPr>
          <w:p>
            <w:pPr>
              <w:spacing w:after="0"/>
              <w:rPr>
                <w:sz w:val="15"/>
                <w:szCs w:val="15"/>
                <w:color w:val="auto"/>
              </w:rPr>
            </w:pPr>
          </w:p>
        </w:tc>
        <w:tc>
          <w:tcPr>
            <w:tcW w:w="780" w:type="dxa"/>
            <w:vAlign w:val="bottom"/>
            <w:tcBorders>
              <w:top w:val="single" w:sz="8" w:color="CCEEFF"/>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10-Q</w:t>
            </w:r>
          </w:p>
        </w:tc>
        <w:tc>
          <w:tcPr>
            <w:tcW w:w="860" w:type="dxa"/>
            <w:vAlign w:val="bottom"/>
            <w:tcBorders>
              <w:top w:val="single" w:sz="8" w:color="CCEEFF"/>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w:t>
            </w:r>
          </w:p>
        </w:tc>
        <w:tc>
          <w:tcPr>
            <w:tcW w:w="1100" w:type="dxa"/>
            <w:vAlign w:val="bottom"/>
            <w:tcBorders>
              <w:top w:val="single" w:sz="8" w:color="CCEEFF"/>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5/28/2021</w:t>
            </w: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10.35</w:t>
            </w:r>
          </w:p>
        </w:tc>
        <w:tc>
          <w:tcPr>
            <w:tcW w:w="7520" w:type="dxa"/>
            <w:vAlign w:val="bottom"/>
            <w:gridSpan w:val="32"/>
            <w:shd w:val="clear" w:color="auto" w:fill="CCEEFF"/>
          </w:tcPr>
          <w:p>
            <w:pPr>
              <w:spacing w:after="0" w:line="175" w:lineRule="exact"/>
              <w:rPr>
                <w:rFonts w:ascii="Times New Roman" w:cs="Times New Roman" w:eastAsia="Times New Roman" w:hAnsi="Times New Roman"/>
                <w:sz w:val="16"/>
                <w:szCs w:val="16"/>
                <w:color w:val="0000FF"/>
              </w:rPr>
            </w:pPr>
            <w:hyperlink r:id="rId92">
              <w:r>
                <w:rPr>
                  <w:rFonts w:ascii="Times New Roman" w:cs="Times New Roman" w:eastAsia="Times New Roman" w:hAnsi="Times New Roman"/>
                  <w:sz w:val="16"/>
                  <w:szCs w:val="16"/>
                  <w:color w:val="0000FF"/>
                </w:rPr>
                <w:t>The Form of Restricted Stock Unit Award granted under the Stock Incentive Plan as of March 29, 2021*</w:t>
              </w:r>
            </w:hyperlink>
          </w:p>
        </w:tc>
        <w:tc>
          <w:tcPr>
            <w:tcW w:w="7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10-Q</w:t>
            </w:r>
          </w:p>
        </w:tc>
        <w:tc>
          <w:tcPr>
            <w:tcW w:w="8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10.2</w:t>
            </w:r>
          </w:p>
        </w:tc>
        <w:tc>
          <w:tcPr>
            <w:tcW w:w="11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5/28/2021</w:t>
            </w:r>
          </w:p>
        </w:tc>
        <w:tc>
          <w:tcPr>
            <w:tcW w:w="0" w:type="dxa"/>
            <w:vAlign w:val="bottom"/>
          </w:tcPr>
          <w:p>
            <w:pPr>
              <w:spacing w:after="0"/>
              <w:rPr>
                <w:sz w:val="1"/>
                <w:szCs w:val="1"/>
                <w:color w:val="auto"/>
              </w:rPr>
            </w:pP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0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10.36</w:t>
            </w:r>
          </w:p>
        </w:tc>
        <w:tc>
          <w:tcPr>
            <w:tcW w:w="7520" w:type="dxa"/>
            <w:vAlign w:val="bottom"/>
            <w:gridSpan w:val="32"/>
          </w:tcPr>
          <w:p>
            <w:pPr>
              <w:spacing w:after="0" w:line="175" w:lineRule="exact"/>
              <w:rPr>
                <w:rFonts w:ascii="Times New Roman" w:cs="Times New Roman" w:eastAsia="Times New Roman" w:hAnsi="Times New Roman"/>
                <w:sz w:val="16"/>
                <w:szCs w:val="16"/>
                <w:color w:val="0000FF"/>
              </w:rPr>
            </w:pPr>
            <w:hyperlink r:id="rId93">
              <w:r>
                <w:rPr>
                  <w:rFonts w:ascii="Times New Roman" w:cs="Times New Roman" w:eastAsia="Times New Roman" w:hAnsi="Times New Roman"/>
                  <w:sz w:val="16"/>
                  <w:szCs w:val="16"/>
                  <w:color w:val="0000FF"/>
                </w:rPr>
                <w:t>The Form of Performance Share Unit Award granted under the Stock Incentive Plan as of March 28, 2022*</w:t>
              </w:r>
            </w:hyperlink>
          </w:p>
        </w:tc>
        <w:tc>
          <w:tcPr>
            <w:tcW w:w="7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10-Q</w:t>
            </w:r>
          </w:p>
        </w:tc>
        <w:tc>
          <w:tcPr>
            <w:tcW w:w="8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10.2</w:t>
            </w:r>
          </w:p>
        </w:tc>
        <w:tc>
          <w:tcPr>
            <w:tcW w:w="11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5/27/2022</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10.37</w:t>
            </w:r>
          </w:p>
        </w:tc>
        <w:tc>
          <w:tcPr>
            <w:tcW w:w="7520" w:type="dxa"/>
            <w:vAlign w:val="bottom"/>
            <w:gridSpan w:val="32"/>
            <w:shd w:val="clear" w:color="auto" w:fill="CCEEFF"/>
          </w:tcPr>
          <w:p>
            <w:pPr>
              <w:spacing w:after="0" w:line="175" w:lineRule="exact"/>
              <w:rPr>
                <w:rFonts w:ascii="Times New Roman" w:cs="Times New Roman" w:eastAsia="Times New Roman" w:hAnsi="Times New Roman"/>
                <w:sz w:val="16"/>
                <w:szCs w:val="16"/>
                <w:color w:val="0000FF"/>
              </w:rPr>
            </w:pPr>
            <w:hyperlink r:id="rId94">
              <w:r>
                <w:rPr>
                  <w:rFonts w:ascii="Times New Roman" w:cs="Times New Roman" w:eastAsia="Times New Roman" w:hAnsi="Times New Roman"/>
                  <w:sz w:val="16"/>
                  <w:szCs w:val="16"/>
                  <w:color w:val="0000FF"/>
                </w:rPr>
                <w:t>The Form of Restricted Stock Unit Award granted under the Stock Incentive Plan as of March 28, 2022*</w:t>
              </w:r>
            </w:hyperlink>
          </w:p>
        </w:tc>
        <w:tc>
          <w:tcPr>
            <w:tcW w:w="7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10-Q</w:t>
            </w:r>
          </w:p>
        </w:tc>
        <w:tc>
          <w:tcPr>
            <w:tcW w:w="8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10.3</w:t>
            </w:r>
          </w:p>
        </w:tc>
        <w:tc>
          <w:tcPr>
            <w:tcW w:w="11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5/27/2022</w:t>
            </w:r>
          </w:p>
        </w:tc>
        <w:tc>
          <w:tcPr>
            <w:tcW w:w="0" w:type="dxa"/>
            <w:vAlign w:val="bottom"/>
          </w:tcPr>
          <w:p>
            <w:pPr>
              <w:spacing w:after="0"/>
              <w:rPr>
                <w:sz w:val="1"/>
                <w:szCs w:val="1"/>
                <w:color w:val="auto"/>
              </w:rPr>
            </w:pPr>
          </w:p>
        </w:tc>
      </w:tr>
      <w:tr>
        <w:trPr>
          <w:trHeight w:val="176"/>
        </w:trPr>
        <w:tc>
          <w:tcPr>
            <w:tcW w:w="800" w:type="dxa"/>
            <w:vAlign w:val="bottom"/>
            <w:tcBorders>
              <w:top w:val="single" w:sz="8" w:color="CCEEFF"/>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10.38</w:t>
            </w:r>
          </w:p>
        </w:tc>
        <w:tc>
          <w:tcPr>
            <w:tcW w:w="6780" w:type="dxa"/>
            <w:vAlign w:val="bottom"/>
            <w:tcBorders>
              <w:top w:val="single" w:sz="8" w:color="0000FF"/>
            </w:tcBorders>
            <w:gridSpan w:val="20"/>
          </w:tcPr>
          <w:p>
            <w:pPr>
              <w:spacing w:after="0" w:line="175" w:lineRule="exact"/>
              <w:rPr>
                <w:rFonts w:ascii="Times New Roman" w:cs="Times New Roman" w:eastAsia="Times New Roman" w:hAnsi="Times New Roman"/>
                <w:sz w:val="16"/>
                <w:szCs w:val="16"/>
                <w:color w:val="0000FF"/>
              </w:rPr>
            </w:pPr>
            <w:hyperlink r:id="rId95">
              <w:r>
                <w:rPr>
                  <w:rFonts w:ascii="Times New Roman" w:cs="Times New Roman" w:eastAsia="Times New Roman" w:hAnsi="Times New Roman"/>
                  <w:sz w:val="16"/>
                  <w:szCs w:val="16"/>
                  <w:color w:val="0000FF"/>
                </w:rPr>
                <w:t>The Form of Deferred Stock Award for Directors granted under the Stock Incentive Plan*</w:t>
              </w:r>
            </w:hyperlink>
          </w:p>
        </w:tc>
        <w:tc>
          <w:tcPr>
            <w:tcW w:w="740" w:type="dxa"/>
            <w:vAlign w:val="bottom"/>
            <w:tcBorders>
              <w:top w:val="single" w:sz="8" w:color="CCEEFF"/>
            </w:tcBorders>
            <w:gridSpan w:val="12"/>
          </w:tcPr>
          <w:p>
            <w:pPr>
              <w:spacing w:after="0"/>
              <w:rPr>
                <w:sz w:val="15"/>
                <w:szCs w:val="15"/>
                <w:color w:val="auto"/>
              </w:rPr>
            </w:pPr>
          </w:p>
        </w:tc>
        <w:tc>
          <w:tcPr>
            <w:tcW w:w="780" w:type="dxa"/>
            <w:vAlign w:val="bottom"/>
            <w:tcBorders>
              <w:top w:val="single" w:sz="8" w:color="CCEEFF"/>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10-K</w:t>
            </w:r>
          </w:p>
        </w:tc>
        <w:tc>
          <w:tcPr>
            <w:tcW w:w="860" w:type="dxa"/>
            <w:vAlign w:val="bottom"/>
            <w:tcBorders>
              <w:top w:val="single" w:sz="8" w:color="CCEEFF"/>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10.20</w:t>
            </w:r>
          </w:p>
        </w:tc>
        <w:tc>
          <w:tcPr>
            <w:tcW w:w="1100" w:type="dxa"/>
            <w:vAlign w:val="bottom"/>
            <w:tcBorders>
              <w:top w:val="single" w:sz="8" w:color="CCEEFF"/>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3/31/2015</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10.39</w:t>
            </w:r>
          </w:p>
        </w:tc>
        <w:tc>
          <w:tcPr>
            <w:tcW w:w="7520" w:type="dxa"/>
            <w:vAlign w:val="bottom"/>
            <w:gridSpan w:val="32"/>
            <w:shd w:val="clear" w:color="auto" w:fill="CCEEFF"/>
          </w:tcPr>
          <w:p>
            <w:pPr>
              <w:spacing w:after="0" w:line="175" w:lineRule="exact"/>
              <w:rPr>
                <w:rFonts w:ascii="Times New Roman" w:cs="Times New Roman" w:eastAsia="Times New Roman" w:hAnsi="Times New Roman"/>
                <w:sz w:val="16"/>
                <w:szCs w:val="16"/>
                <w:color w:val="0000FF"/>
              </w:rPr>
            </w:pPr>
            <w:hyperlink r:id="rId96">
              <w:r>
                <w:rPr>
                  <w:rFonts w:ascii="Times New Roman" w:cs="Times New Roman" w:eastAsia="Times New Roman" w:hAnsi="Times New Roman"/>
                  <w:sz w:val="16"/>
                  <w:szCs w:val="16"/>
                  <w:color w:val="0000FF"/>
                </w:rPr>
                <w:t>The Form of Deferred Stock Award for Directors granted under the Stock Incentive Plan as of June 7, 2016*</w:t>
              </w:r>
            </w:hyperlink>
          </w:p>
        </w:tc>
        <w:tc>
          <w:tcPr>
            <w:tcW w:w="7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10-Q</w:t>
            </w:r>
          </w:p>
        </w:tc>
        <w:tc>
          <w:tcPr>
            <w:tcW w:w="8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10.2</w:t>
            </w:r>
          </w:p>
        </w:tc>
        <w:tc>
          <w:tcPr>
            <w:tcW w:w="11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8/26/2016</w:t>
            </w:r>
          </w:p>
        </w:tc>
        <w:tc>
          <w:tcPr>
            <w:tcW w:w="0" w:type="dxa"/>
            <w:vAlign w:val="bottom"/>
          </w:tcPr>
          <w:p>
            <w:pPr>
              <w:spacing w:after="0"/>
              <w:rPr>
                <w:sz w:val="1"/>
                <w:szCs w:val="1"/>
                <w:color w:val="auto"/>
              </w:rPr>
            </w:pP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0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10.40</w:t>
            </w:r>
          </w:p>
        </w:tc>
        <w:tc>
          <w:tcPr>
            <w:tcW w:w="7520" w:type="dxa"/>
            <w:vAlign w:val="bottom"/>
            <w:gridSpan w:val="32"/>
          </w:tcPr>
          <w:p>
            <w:pPr>
              <w:spacing w:after="0" w:line="175" w:lineRule="exact"/>
              <w:rPr>
                <w:rFonts w:ascii="Times New Roman" w:cs="Times New Roman" w:eastAsia="Times New Roman" w:hAnsi="Times New Roman"/>
                <w:sz w:val="16"/>
                <w:szCs w:val="16"/>
                <w:color w:val="0000FF"/>
              </w:rPr>
            </w:pPr>
            <w:hyperlink r:id="rId97">
              <w:r>
                <w:rPr>
                  <w:rFonts w:ascii="Times New Roman" w:cs="Times New Roman" w:eastAsia="Times New Roman" w:hAnsi="Times New Roman"/>
                  <w:sz w:val="16"/>
                  <w:szCs w:val="16"/>
                  <w:color w:val="0000FF"/>
                </w:rPr>
                <w:t>The Form of Deferred Stock Award for Directors granted under the Stock Incentive Plan as of January 1, 2024*</w:t>
              </w:r>
            </w:hyperlink>
          </w:p>
        </w:tc>
        <w:tc>
          <w:tcPr>
            <w:tcW w:w="7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10-Q</w:t>
            </w:r>
          </w:p>
        </w:tc>
        <w:tc>
          <w:tcPr>
            <w:tcW w:w="8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w:t>
            </w:r>
          </w:p>
        </w:tc>
        <w:tc>
          <w:tcPr>
            <w:tcW w:w="11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8"/>
              </w:rPr>
              <w:t>11/29/2023</w:t>
            </w: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10.41</w:t>
            </w:r>
          </w:p>
        </w:tc>
        <w:tc>
          <w:tcPr>
            <w:tcW w:w="7520" w:type="dxa"/>
            <w:vAlign w:val="bottom"/>
            <w:gridSpan w:val="32"/>
            <w:shd w:val="clear" w:color="auto" w:fill="CCEEFF"/>
          </w:tcPr>
          <w:p>
            <w:pPr>
              <w:spacing w:after="0" w:line="175" w:lineRule="exact"/>
              <w:rPr>
                <w:rFonts w:ascii="Times New Roman" w:cs="Times New Roman" w:eastAsia="Times New Roman" w:hAnsi="Times New Roman"/>
                <w:sz w:val="16"/>
                <w:szCs w:val="16"/>
                <w:color w:val="0000FF"/>
              </w:rPr>
            </w:pPr>
            <w:hyperlink r:id="rId98">
              <w:r>
                <w:rPr>
                  <w:rFonts w:ascii="Times New Roman" w:cs="Times New Roman" w:eastAsia="Times New Roman" w:hAnsi="Times New Roman"/>
                  <w:sz w:val="16"/>
                  <w:szCs w:val="16"/>
                  <w:color w:val="0000FF"/>
                </w:rPr>
                <w:t>The Management Incentive Plan and Long Range Performance Incentive Plan (2013 Restatement)*</w:t>
              </w:r>
            </w:hyperlink>
          </w:p>
        </w:tc>
        <w:tc>
          <w:tcPr>
            <w:tcW w:w="7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10-K</w:t>
            </w:r>
          </w:p>
        </w:tc>
        <w:tc>
          <w:tcPr>
            <w:tcW w:w="8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10.22</w:t>
            </w:r>
          </w:p>
        </w:tc>
        <w:tc>
          <w:tcPr>
            <w:tcW w:w="11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4/2/2013</w:t>
            </w:r>
          </w:p>
        </w:tc>
        <w:tc>
          <w:tcPr>
            <w:tcW w:w="0" w:type="dxa"/>
            <w:vAlign w:val="bottom"/>
          </w:tcPr>
          <w:p>
            <w:pPr>
              <w:spacing w:after="0"/>
              <w:rPr>
                <w:sz w:val="1"/>
                <w:szCs w:val="1"/>
                <w:color w:val="auto"/>
              </w:rPr>
            </w:pP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0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10.42</w:t>
            </w:r>
          </w:p>
        </w:tc>
        <w:tc>
          <w:tcPr>
            <w:tcW w:w="7520" w:type="dxa"/>
            <w:vAlign w:val="bottom"/>
            <w:gridSpan w:val="32"/>
          </w:tcPr>
          <w:p>
            <w:pPr>
              <w:spacing w:after="0" w:line="175" w:lineRule="exact"/>
              <w:rPr>
                <w:rFonts w:ascii="Times New Roman" w:cs="Times New Roman" w:eastAsia="Times New Roman" w:hAnsi="Times New Roman"/>
                <w:sz w:val="16"/>
                <w:szCs w:val="16"/>
                <w:color w:val="0000FF"/>
              </w:rPr>
            </w:pPr>
            <w:hyperlink r:id="rId99">
              <w:r>
                <w:rPr>
                  <w:rFonts w:ascii="Times New Roman" w:cs="Times New Roman" w:eastAsia="Times New Roman" w:hAnsi="Times New Roman"/>
                  <w:sz w:val="16"/>
                  <w:szCs w:val="16"/>
                  <w:color w:val="0000FF"/>
                </w:rPr>
                <w:t>The General Deferred Compensation Plan (1998 Restatement) (the GDCP) and First Amendment to the GDCP,</w:t>
              </w:r>
            </w:hyperlink>
          </w:p>
        </w:tc>
        <w:tc>
          <w:tcPr>
            <w:tcW w:w="7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10-K</w:t>
            </w:r>
          </w:p>
        </w:tc>
        <w:tc>
          <w:tcPr>
            <w:tcW w:w="8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10.9</w:t>
            </w:r>
          </w:p>
        </w:tc>
        <w:tc>
          <w:tcPr>
            <w:tcW w:w="11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4/29/1999</w:t>
            </w: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7220" w:type="dxa"/>
            <w:vAlign w:val="bottom"/>
            <w:tcBorders>
              <w:top w:val="single" w:sz="8" w:color="0000FF"/>
            </w:tcBorders>
            <w:gridSpan w:val="28"/>
          </w:tcPr>
          <w:p>
            <w:pPr>
              <w:spacing w:after="0" w:line="142" w:lineRule="exact"/>
              <w:rPr>
                <w:rFonts w:ascii="Times New Roman" w:cs="Times New Roman" w:eastAsia="Times New Roman" w:hAnsi="Times New Roman"/>
                <w:sz w:val="16"/>
                <w:szCs w:val="16"/>
                <w:color w:val="0000FF"/>
              </w:rPr>
            </w:pPr>
            <w:hyperlink r:id="rId99">
              <w:r>
                <w:rPr>
                  <w:rFonts w:ascii="Times New Roman" w:cs="Times New Roman" w:eastAsia="Times New Roman" w:hAnsi="Times New Roman"/>
                  <w:sz w:val="16"/>
                  <w:szCs w:val="16"/>
                  <w:color w:val="0000FF"/>
                </w:rPr>
                <w:t>effective January 1, 1999*</w:t>
              </w:r>
            </w:hyperlink>
          </w:p>
        </w:tc>
        <w:tc>
          <w:tcPr>
            <w:tcW w:w="300" w:type="dxa"/>
            <w:vAlign w:val="bottom"/>
            <w:gridSpan w:val="4"/>
          </w:tcPr>
          <w:p>
            <w:pPr>
              <w:spacing w:after="0"/>
              <w:rPr>
                <w:sz w:val="12"/>
                <w:szCs w:val="12"/>
                <w:color w:val="auto"/>
              </w:rPr>
            </w:pPr>
          </w:p>
        </w:tc>
        <w:tc>
          <w:tcPr>
            <w:tcW w:w="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10.43</w:t>
            </w:r>
          </w:p>
        </w:tc>
        <w:tc>
          <w:tcPr>
            <w:tcW w:w="4280" w:type="dxa"/>
            <w:vAlign w:val="bottom"/>
            <w:tcBorders>
              <w:bottom w:val="single" w:sz="8" w:color="0000FF"/>
            </w:tcBorders>
            <w:gridSpan w:val="10"/>
            <w:shd w:val="clear" w:color="auto" w:fill="CCEEFF"/>
          </w:tcPr>
          <w:p>
            <w:pPr>
              <w:spacing w:after="0" w:line="175" w:lineRule="exact"/>
              <w:rPr>
                <w:rFonts w:ascii="Times New Roman" w:cs="Times New Roman" w:eastAsia="Times New Roman" w:hAnsi="Times New Roman"/>
                <w:sz w:val="16"/>
                <w:szCs w:val="16"/>
                <w:color w:val="0000FF"/>
              </w:rPr>
            </w:pPr>
            <w:hyperlink r:id="rId100">
              <w:r>
                <w:rPr>
                  <w:rFonts w:ascii="Times New Roman" w:cs="Times New Roman" w:eastAsia="Times New Roman" w:hAnsi="Times New Roman"/>
                  <w:sz w:val="16"/>
                  <w:szCs w:val="16"/>
                  <w:color w:val="0000FF"/>
                </w:rPr>
                <w:t>The Second Amendment to the GDCP, effective January 1, 2000*</w:t>
              </w:r>
            </w:hyperlink>
          </w:p>
        </w:tc>
        <w:tc>
          <w:tcPr>
            <w:tcW w:w="3240" w:type="dxa"/>
            <w:vAlign w:val="bottom"/>
            <w:tcBorders>
              <w:bottom w:val="single" w:sz="8" w:color="CCEEFF"/>
            </w:tcBorders>
            <w:gridSpan w:val="22"/>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10-K</w:t>
            </w:r>
          </w:p>
        </w:tc>
        <w:tc>
          <w:tcPr>
            <w:tcW w:w="86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10.10</w:t>
            </w:r>
          </w:p>
        </w:tc>
        <w:tc>
          <w:tcPr>
            <w:tcW w:w="110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4/28/2000</w:t>
            </w:r>
          </w:p>
        </w:tc>
        <w:tc>
          <w:tcPr>
            <w:tcW w:w="0" w:type="dxa"/>
            <w:vAlign w:val="bottom"/>
          </w:tcPr>
          <w:p>
            <w:pPr>
              <w:spacing w:after="0"/>
              <w:rPr>
                <w:sz w:val="1"/>
                <w:szCs w:val="1"/>
                <w:color w:val="auto"/>
              </w:rPr>
            </w:pPr>
          </w:p>
        </w:tc>
      </w:tr>
      <w:tr>
        <w:trPr>
          <w:trHeight w:val="176"/>
        </w:trPr>
        <w:tc>
          <w:tcPr>
            <w:tcW w:w="8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10.44</w:t>
            </w:r>
          </w:p>
        </w:tc>
        <w:tc>
          <w:tcPr>
            <w:tcW w:w="7520" w:type="dxa"/>
            <w:vAlign w:val="bottom"/>
            <w:gridSpan w:val="32"/>
          </w:tcPr>
          <w:p>
            <w:pPr>
              <w:spacing w:after="0" w:line="175" w:lineRule="exact"/>
              <w:rPr>
                <w:rFonts w:ascii="Times New Roman" w:cs="Times New Roman" w:eastAsia="Times New Roman" w:hAnsi="Times New Roman"/>
                <w:sz w:val="16"/>
                <w:szCs w:val="16"/>
                <w:color w:val="0000FF"/>
              </w:rPr>
            </w:pPr>
            <w:hyperlink r:id="rId101">
              <w:r>
                <w:rPr>
                  <w:rFonts w:ascii="Times New Roman" w:cs="Times New Roman" w:eastAsia="Times New Roman" w:hAnsi="Times New Roman"/>
                  <w:sz w:val="16"/>
                  <w:szCs w:val="16"/>
                  <w:color w:val="0000FF"/>
                </w:rPr>
                <w:t>The Third and Fourth Amendments to the GDCP*</w:t>
              </w:r>
            </w:hyperlink>
          </w:p>
        </w:tc>
        <w:tc>
          <w:tcPr>
            <w:tcW w:w="7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10-K</w:t>
            </w:r>
          </w:p>
        </w:tc>
        <w:tc>
          <w:tcPr>
            <w:tcW w:w="8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10.17</w:t>
            </w:r>
          </w:p>
        </w:tc>
        <w:tc>
          <w:tcPr>
            <w:tcW w:w="11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3/29/2006</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10.45</w:t>
            </w:r>
          </w:p>
        </w:tc>
        <w:tc>
          <w:tcPr>
            <w:tcW w:w="4120" w:type="dxa"/>
            <w:vAlign w:val="bottom"/>
            <w:tcBorders>
              <w:bottom w:val="single" w:sz="8" w:color="0000FF"/>
            </w:tcBorders>
            <w:gridSpan w:val="9"/>
            <w:shd w:val="clear" w:color="auto" w:fill="CCEEFF"/>
          </w:tcPr>
          <w:p>
            <w:pPr>
              <w:spacing w:after="0" w:line="175" w:lineRule="exact"/>
              <w:rPr>
                <w:rFonts w:ascii="Times New Roman" w:cs="Times New Roman" w:eastAsia="Times New Roman" w:hAnsi="Times New Roman"/>
                <w:sz w:val="16"/>
                <w:szCs w:val="16"/>
                <w:color w:val="0000FF"/>
              </w:rPr>
            </w:pPr>
            <w:hyperlink r:id="rId102">
              <w:r>
                <w:rPr>
                  <w:rFonts w:ascii="Times New Roman" w:cs="Times New Roman" w:eastAsia="Times New Roman" w:hAnsi="Times New Roman"/>
                  <w:sz w:val="16"/>
                  <w:szCs w:val="16"/>
                  <w:color w:val="0000FF"/>
                </w:rPr>
                <w:t>The Fifth Amendment to the GDCP, effective January 1, 2008*</w:t>
              </w:r>
            </w:hyperlink>
          </w:p>
        </w:tc>
        <w:tc>
          <w:tcPr>
            <w:tcW w:w="3400" w:type="dxa"/>
            <w:vAlign w:val="bottom"/>
            <w:tcBorders>
              <w:bottom w:val="single" w:sz="8" w:color="CCEEFF"/>
            </w:tcBorders>
            <w:gridSpan w:val="23"/>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10-K</w:t>
            </w:r>
          </w:p>
        </w:tc>
        <w:tc>
          <w:tcPr>
            <w:tcW w:w="86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10.17</w:t>
            </w:r>
          </w:p>
        </w:tc>
        <w:tc>
          <w:tcPr>
            <w:tcW w:w="110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3/31/2009</w:t>
            </w:r>
          </w:p>
        </w:tc>
        <w:tc>
          <w:tcPr>
            <w:tcW w:w="0" w:type="dxa"/>
            <w:vAlign w:val="bottom"/>
          </w:tcPr>
          <w:p>
            <w:pPr>
              <w:spacing w:after="0"/>
              <w:rPr>
                <w:sz w:val="1"/>
                <w:szCs w:val="1"/>
                <w:color w:val="auto"/>
              </w:rPr>
            </w:pPr>
          </w:p>
        </w:tc>
      </w:tr>
      <w:tr>
        <w:trPr>
          <w:trHeight w:val="175"/>
        </w:trPr>
        <w:tc>
          <w:tcPr>
            <w:tcW w:w="8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10.46</w:t>
            </w:r>
          </w:p>
        </w:tc>
        <w:tc>
          <w:tcPr>
            <w:tcW w:w="7520" w:type="dxa"/>
            <w:vAlign w:val="bottom"/>
            <w:gridSpan w:val="32"/>
          </w:tcPr>
          <w:p>
            <w:pPr>
              <w:spacing w:after="0" w:line="175" w:lineRule="exact"/>
              <w:rPr>
                <w:rFonts w:ascii="Times New Roman" w:cs="Times New Roman" w:eastAsia="Times New Roman" w:hAnsi="Times New Roman"/>
                <w:sz w:val="16"/>
                <w:szCs w:val="16"/>
                <w:color w:val="0000FF"/>
              </w:rPr>
            </w:pPr>
            <w:hyperlink r:id="rId103">
              <w:r>
                <w:rPr>
                  <w:rFonts w:ascii="Times New Roman" w:cs="Times New Roman" w:eastAsia="Times New Roman" w:hAnsi="Times New Roman"/>
                  <w:sz w:val="16"/>
                  <w:szCs w:val="16"/>
                  <w:color w:val="0000FF"/>
                </w:rPr>
                <w:t>The Supplemental Executive Retirement Plan (2015 Restatement)*</w:t>
              </w:r>
            </w:hyperlink>
          </w:p>
        </w:tc>
        <w:tc>
          <w:tcPr>
            <w:tcW w:w="7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10-Q</w:t>
            </w:r>
          </w:p>
        </w:tc>
        <w:tc>
          <w:tcPr>
            <w:tcW w:w="8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10.3</w:t>
            </w:r>
          </w:p>
        </w:tc>
        <w:tc>
          <w:tcPr>
            <w:tcW w:w="11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5/29/2015</w:t>
            </w: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10.47</w:t>
            </w:r>
          </w:p>
        </w:tc>
        <w:tc>
          <w:tcPr>
            <w:tcW w:w="6200" w:type="dxa"/>
            <w:vAlign w:val="bottom"/>
            <w:tcBorders>
              <w:bottom w:val="single" w:sz="8" w:color="0000FF"/>
            </w:tcBorders>
            <w:gridSpan w:val="16"/>
            <w:shd w:val="clear" w:color="auto" w:fill="CCEEFF"/>
          </w:tcPr>
          <w:p>
            <w:pPr>
              <w:spacing w:after="0" w:line="175" w:lineRule="exact"/>
              <w:rPr>
                <w:rFonts w:ascii="Times New Roman" w:cs="Times New Roman" w:eastAsia="Times New Roman" w:hAnsi="Times New Roman"/>
                <w:sz w:val="16"/>
                <w:szCs w:val="16"/>
                <w:color w:val="0000FF"/>
              </w:rPr>
            </w:pPr>
            <w:hyperlink r:id="rId104">
              <w:r>
                <w:rPr>
                  <w:rFonts w:ascii="Times New Roman" w:cs="Times New Roman" w:eastAsia="Times New Roman" w:hAnsi="Times New Roman"/>
                  <w:sz w:val="16"/>
                  <w:szCs w:val="16"/>
                  <w:color w:val="0000FF"/>
                </w:rPr>
                <w:t>The Executive Savings Plan (As Amended and Restated, Effective January 1, 2022) (the ESP)*</w:t>
              </w:r>
            </w:hyperlink>
          </w:p>
        </w:tc>
        <w:tc>
          <w:tcPr>
            <w:tcW w:w="1320" w:type="dxa"/>
            <w:vAlign w:val="bottom"/>
            <w:tcBorders>
              <w:bottom w:val="single" w:sz="8" w:color="CCEEFF"/>
            </w:tcBorders>
            <w:gridSpan w:val="16"/>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10.K</w:t>
            </w:r>
          </w:p>
        </w:tc>
        <w:tc>
          <w:tcPr>
            <w:tcW w:w="86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10.46</w:t>
            </w:r>
          </w:p>
        </w:tc>
        <w:tc>
          <w:tcPr>
            <w:tcW w:w="110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3/30/2022</w:t>
            </w:r>
          </w:p>
        </w:tc>
        <w:tc>
          <w:tcPr>
            <w:tcW w:w="0" w:type="dxa"/>
            <w:vAlign w:val="bottom"/>
          </w:tcPr>
          <w:p>
            <w:pPr>
              <w:spacing w:after="0"/>
              <w:rPr>
                <w:sz w:val="1"/>
                <w:szCs w:val="1"/>
                <w:color w:val="auto"/>
              </w:rPr>
            </w:pPr>
          </w:p>
        </w:tc>
      </w:tr>
      <w:tr>
        <w:trPr>
          <w:trHeight w:val="175"/>
        </w:trPr>
        <w:tc>
          <w:tcPr>
            <w:tcW w:w="8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10.48</w:t>
            </w:r>
          </w:p>
        </w:tc>
        <w:tc>
          <w:tcPr>
            <w:tcW w:w="7520" w:type="dxa"/>
            <w:vAlign w:val="bottom"/>
            <w:gridSpan w:val="32"/>
          </w:tcPr>
          <w:p>
            <w:pPr>
              <w:spacing w:after="0" w:line="175" w:lineRule="exact"/>
              <w:rPr>
                <w:rFonts w:ascii="Times New Roman" w:cs="Times New Roman" w:eastAsia="Times New Roman" w:hAnsi="Times New Roman"/>
                <w:sz w:val="16"/>
                <w:szCs w:val="16"/>
                <w:color w:val="0000FF"/>
              </w:rPr>
            </w:pPr>
            <w:hyperlink r:id="rId105">
              <w:r>
                <w:rPr>
                  <w:rFonts w:ascii="Times New Roman" w:cs="Times New Roman" w:eastAsia="Times New Roman" w:hAnsi="Times New Roman"/>
                  <w:sz w:val="16"/>
                  <w:szCs w:val="16"/>
                  <w:color w:val="0000FF"/>
                </w:rPr>
                <w:t>The First Amendment to the Executive Savings Plan, effective April 1, 2023*</w:t>
              </w:r>
            </w:hyperlink>
          </w:p>
        </w:tc>
        <w:tc>
          <w:tcPr>
            <w:tcW w:w="7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10-Q</w:t>
            </w:r>
          </w:p>
        </w:tc>
        <w:tc>
          <w:tcPr>
            <w:tcW w:w="8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w:t>
            </w:r>
          </w:p>
        </w:tc>
        <w:tc>
          <w:tcPr>
            <w:tcW w:w="11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5/26/2023</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10.49</w:t>
            </w:r>
          </w:p>
        </w:tc>
        <w:tc>
          <w:tcPr>
            <w:tcW w:w="6380" w:type="dxa"/>
            <w:vAlign w:val="bottom"/>
            <w:tcBorders>
              <w:bottom w:val="single" w:sz="8" w:color="0000FF"/>
            </w:tcBorders>
            <w:gridSpan w:val="17"/>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The Second Amendment to the Executive Savings Plan, effective January 1, 2024, filed herewith*</w:t>
            </w:r>
          </w:p>
        </w:tc>
        <w:tc>
          <w:tcPr>
            <w:tcW w:w="1140" w:type="dxa"/>
            <w:vAlign w:val="bottom"/>
            <w:tcBorders>
              <w:bottom w:val="single" w:sz="8" w:color="CCEEFF"/>
            </w:tcBorders>
            <w:gridSpan w:val="15"/>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10.50</w:t>
            </w:r>
          </w:p>
        </w:tc>
        <w:tc>
          <w:tcPr>
            <w:tcW w:w="7520" w:type="dxa"/>
            <w:vAlign w:val="bottom"/>
            <w:gridSpan w:val="32"/>
          </w:tcPr>
          <w:p>
            <w:pPr>
              <w:spacing w:after="0" w:line="175" w:lineRule="exact"/>
              <w:rPr>
                <w:rFonts w:ascii="Times New Roman" w:cs="Times New Roman" w:eastAsia="Times New Roman" w:hAnsi="Times New Roman"/>
                <w:sz w:val="16"/>
                <w:szCs w:val="16"/>
                <w:color w:val="0000FF"/>
              </w:rPr>
            </w:pPr>
            <w:hyperlink r:id="rId106">
              <w:r>
                <w:rPr>
                  <w:rFonts w:ascii="Times New Roman" w:cs="Times New Roman" w:eastAsia="Times New Roman" w:hAnsi="Times New Roman"/>
                  <w:sz w:val="16"/>
                  <w:szCs w:val="16"/>
                  <w:color w:val="0000FF"/>
                </w:rPr>
                <w:t>The Trust Agreement for Executive Savings Plan dated as of January 20, 2023 between TJX and Fidelity</w:t>
              </w:r>
            </w:hyperlink>
          </w:p>
        </w:tc>
        <w:tc>
          <w:tcPr>
            <w:tcW w:w="7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10-K</w:t>
            </w:r>
          </w:p>
        </w:tc>
        <w:tc>
          <w:tcPr>
            <w:tcW w:w="8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10.55</w:t>
            </w:r>
          </w:p>
        </w:tc>
        <w:tc>
          <w:tcPr>
            <w:tcW w:w="11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3/29/2023</w:t>
            </w: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6800" w:type="dxa"/>
            <w:vAlign w:val="bottom"/>
            <w:tcBorders>
              <w:top w:val="single" w:sz="8" w:color="0000FF"/>
            </w:tcBorders>
            <w:gridSpan w:val="21"/>
          </w:tcPr>
          <w:p>
            <w:pPr>
              <w:spacing w:after="0" w:line="142" w:lineRule="exact"/>
              <w:rPr>
                <w:rFonts w:ascii="Times New Roman" w:cs="Times New Roman" w:eastAsia="Times New Roman" w:hAnsi="Times New Roman"/>
                <w:sz w:val="16"/>
                <w:szCs w:val="16"/>
                <w:color w:val="0000FF"/>
              </w:rPr>
            </w:pPr>
            <w:hyperlink r:id="rId106">
              <w:r>
                <w:rPr>
                  <w:rFonts w:ascii="Times New Roman" w:cs="Times New Roman" w:eastAsia="Times New Roman" w:hAnsi="Times New Roman"/>
                  <w:sz w:val="16"/>
                  <w:szCs w:val="16"/>
                  <w:color w:val="0000FF"/>
                </w:rPr>
                <w:t>Management Trust Company*</w:t>
              </w:r>
            </w:hyperlink>
          </w:p>
        </w:tc>
        <w:tc>
          <w:tcPr>
            <w:tcW w:w="720" w:type="dxa"/>
            <w:vAlign w:val="bottom"/>
            <w:gridSpan w:val="11"/>
          </w:tcPr>
          <w:p>
            <w:pPr>
              <w:spacing w:after="0"/>
              <w:rPr>
                <w:sz w:val="12"/>
                <w:szCs w:val="12"/>
                <w:color w:val="auto"/>
              </w:rPr>
            </w:pPr>
          </w:p>
        </w:tc>
        <w:tc>
          <w:tcPr>
            <w:tcW w:w="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10.51</w:t>
            </w:r>
          </w:p>
        </w:tc>
        <w:tc>
          <w:tcPr>
            <w:tcW w:w="7520" w:type="dxa"/>
            <w:vAlign w:val="bottom"/>
            <w:gridSpan w:val="32"/>
            <w:shd w:val="clear" w:color="auto" w:fill="CCEEFF"/>
          </w:tcPr>
          <w:p>
            <w:pPr>
              <w:spacing w:after="0"/>
              <w:rPr>
                <w:sz w:val="20"/>
                <w:szCs w:val="20"/>
                <w:color w:val="auto"/>
              </w:rPr>
            </w:pPr>
            <w:r>
              <w:rPr>
                <w:rFonts w:ascii="Times New Roman" w:cs="Times New Roman" w:eastAsia="Times New Roman" w:hAnsi="Times New Roman"/>
                <w:sz w:val="16"/>
                <w:szCs w:val="16"/>
                <w:color w:val="auto"/>
              </w:rPr>
              <w:t>The Form of TJX Indemnification Agreement for its executive officers and directors*(p)</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10-K</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10(r)</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4/27/1990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934" w:right="51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12"/>
        </w:trPr>
        <w:tc>
          <w:tcPr>
            <w:tcW w:w="80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6"/>
                <w:szCs w:val="16"/>
                <w:b w:val="1"/>
                <w:bCs w:val="1"/>
                <w:color w:val="auto"/>
              </w:rPr>
              <w:t>Incorporate by Reference</w:t>
            </w:r>
          </w:p>
        </w:tc>
        <w:tc>
          <w:tcPr>
            <w:tcW w:w="0" w:type="dxa"/>
            <w:vAlign w:val="bottom"/>
          </w:tcPr>
          <w:p>
            <w:pPr>
              <w:spacing w:after="0"/>
              <w:rPr>
                <w:sz w:val="1"/>
                <w:szCs w:val="1"/>
                <w:color w:val="auto"/>
              </w:rPr>
            </w:pPr>
          </w:p>
        </w:tc>
      </w:tr>
      <w:tr>
        <w:trPr>
          <w:trHeight w:val="161"/>
        </w:trPr>
        <w:tc>
          <w:tcPr>
            <w:tcW w:w="80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rPr>
              <w:t>Exhibit</w:t>
            </w:r>
          </w:p>
        </w:tc>
        <w:tc>
          <w:tcPr>
            <w:tcW w:w="7520" w:type="dxa"/>
            <w:vAlign w:val="bottom"/>
            <w:gridSpan w:val="9"/>
            <w:vMerge w:val="restart"/>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88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rPr>
              <w:t>Exhibit</w:t>
            </w:r>
          </w:p>
        </w:tc>
        <w:tc>
          <w:tcPr>
            <w:tcW w:w="108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w w:val="99"/>
              </w:rPr>
              <w:t>Filing</w:t>
            </w:r>
          </w:p>
        </w:tc>
        <w:tc>
          <w:tcPr>
            <w:tcW w:w="0" w:type="dxa"/>
            <w:vAlign w:val="bottom"/>
          </w:tcPr>
          <w:p>
            <w:pPr>
              <w:spacing w:after="0"/>
              <w:rPr>
                <w:sz w:val="1"/>
                <w:szCs w:val="1"/>
                <w:color w:val="auto"/>
              </w:rPr>
            </w:pPr>
          </w:p>
        </w:tc>
      </w:tr>
      <w:tr>
        <w:trPr>
          <w:trHeight w:val="214"/>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No.</w:t>
            </w:r>
          </w:p>
        </w:tc>
        <w:tc>
          <w:tcPr>
            <w:tcW w:w="7520" w:type="dxa"/>
            <w:vAlign w:val="bottom"/>
            <w:tcBorders>
              <w:bottom w:val="single" w:sz="8" w:color="auto"/>
            </w:tcBorders>
            <w:gridSpan w:val="9"/>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No.</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0" w:type="dxa"/>
            <w:vAlign w:val="bottom"/>
          </w:tcPr>
          <w:p>
            <w:pPr>
              <w:spacing w:after="0"/>
              <w:rPr>
                <w:sz w:val="1"/>
                <w:szCs w:val="1"/>
                <w:color w:val="auto"/>
              </w:rPr>
            </w:pPr>
          </w:p>
        </w:tc>
      </w:tr>
      <w:tr>
        <w:trPr>
          <w:trHeight w:val="171"/>
        </w:trPr>
        <w:tc>
          <w:tcPr>
            <w:tcW w:w="800" w:type="dxa"/>
            <w:vAlign w:val="bottom"/>
          </w:tcPr>
          <w:p>
            <w:pPr>
              <w:jc w:val="center"/>
              <w:spacing w:after="0" w:line="171" w:lineRule="exact"/>
              <w:rPr>
                <w:sz w:val="20"/>
                <w:szCs w:val="20"/>
                <w:color w:val="auto"/>
              </w:rPr>
            </w:pPr>
            <w:r>
              <w:rPr>
                <w:rFonts w:ascii="Times New Roman" w:cs="Times New Roman" w:eastAsia="Times New Roman" w:hAnsi="Times New Roman"/>
                <w:sz w:val="16"/>
                <w:szCs w:val="16"/>
                <w:color w:val="auto"/>
                <w:w w:val="99"/>
              </w:rPr>
              <w:t>10.52</w:t>
            </w:r>
          </w:p>
        </w:tc>
        <w:tc>
          <w:tcPr>
            <w:tcW w:w="7520" w:type="dxa"/>
            <w:vAlign w:val="bottom"/>
            <w:gridSpan w:val="9"/>
          </w:tcPr>
          <w:p>
            <w:pPr>
              <w:spacing w:after="0" w:line="171" w:lineRule="exact"/>
              <w:rPr>
                <w:rFonts w:ascii="Times New Roman" w:cs="Times New Roman" w:eastAsia="Times New Roman" w:hAnsi="Times New Roman"/>
                <w:sz w:val="16"/>
                <w:szCs w:val="16"/>
                <w:color w:val="0000FF"/>
              </w:rPr>
            </w:pPr>
            <w:hyperlink r:id="rId108">
              <w:r>
                <w:rPr>
                  <w:rFonts w:ascii="Times New Roman" w:cs="Times New Roman" w:eastAsia="Times New Roman" w:hAnsi="Times New Roman"/>
                  <w:sz w:val="16"/>
                  <w:szCs w:val="16"/>
                  <w:color w:val="0000FF"/>
                </w:rPr>
                <w:t>2026 Revolving Credit Agreement, dated June 25, 2021, by and among the TJX Companies, Inc., the lenders from</w:t>
              </w:r>
            </w:hyperlink>
          </w:p>
        </w:tc>
        <w:tc>
          <w:tcPr>
            <w:tcW w:w="780" w:type="dxa"/>
            <w:vAlign w:val="bottom"/>
          </w:tcPr>
          <w:p>
            <w:pPr>
              <w:jc w:val="center"/>
              <w:spacing w:after="0" w:line="171" w:lineRule="exact"/>
              <w:rPr>
                <w:sz w:val="20"/>
                <w:szCs w:val="20"/>
                <w:color w:val="auto"/>
              </w:rPr>
            </w:pPr>
            <w:r>
              <w:rPr>
                <w:rFonts w:ascii="Times New Roman" w:cs="Times New Roman" w:eastAsia="Times New Roman" w:hAnsi="Times New Roman"/>
                <w:sz w:val="16"/>
                <w:szCs w:val="16"/>
                <w:color w:val="auto"/>
              </w:rPr>
              <w:t>8-K</w:t>
            </w:r>
          </w:p>
        </w:tc>
        <w:tc>
          <w:tcPr>
            <w:tcW w:w="880" w:type="dxa"/>
            <w:vAlign w:val="bottom"/>
          </w:tcPr>
          <w:p>
            <w:pPr>
              <w:jc w:val="center"/>
              <w:spacing w:after="0" w:line="171" w:lineRule="exact"/>
              <w:rPr>
                <w:sz w:val="20"/>
                <w:szCs w:val="20"/>
                <w:color w:val="auto"/>
              </w:rPr>
            </w:pPr>
            <w:r>
              <w:rPr>
                <w:rFonts w:ascii="Times New Roman" w:cs="Times New Roman" w:eastAsia="Times New Roman" w:hAnsi="Times New Roman"/>
                <w:sz w:val="16"/>
                <w:szCs w:val="16"/>
                <w:color w:val="auto"/>
                <w:w w:val="99"/>
              </w:rPr>
              <w:t>10.1</w:t>
            </w:r>
          </w:p>
        </w:tc>
        <w:tc>
          <w:tcPr>
            <w:tcW w:w="1080" w:type="dxa"/>
            <w:vAlign w:val="bottom"/>
          </w:tcPr>
          <w:p>
            <w:pPr>
              <w:jc w:val="center"/>
              <w:spacing w:after="0" w:line="171" w:lineRule="exact"/>
              <w:rPr>
                <w:sz w:val="20"/>
                <w:szCs w:val="20"/>
                <w:color w:val="auto"/>
              </w:rPr>
            </w:pPr>
            <w:r>
              <w:rPr>
                <w:rFonts w:ascii="Times New Roman" w:cs="Times New Roman" w:eastAsia="Times New Roman" w:hAnsi="Times New Roman"/>
                <w:sz w:val="16"/>
                <w:szCs w:val="16"/>
                <w:color w:val="auto"/>
              </w:rPr>
              <w:t>6/29/2021</w:t>
            </w: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7420" w:type="dxa"/>
            <w:vAlign w:val="bottom"/>
            <w:tcBorders>
              <w:top w:val="single" w:sz="8" w:color="0000FF"/>
            </w:tcBorders>
            <w:gridSpan w:val="8"/>
          </w:tcPr>
          <w:p>
            <w:pPr>
              <w:spacing w:after="0" w:line="169" w:lineRule="exact"/>
              <w:rPr>
                <w:rFonts w:ascii="Times New Roman" w:cs="Times New Roman" w:eastAsia="Times New Roman" w:hAnsi="Times New Roman"/>
                <w:sz w:val="16"/>
                <w:szCs w:val="16"/>
                <w:color w:val="0000FF"/>
              </w:rPr>
            </w:pPr>
            <w:hyperlink r:id="rId108">
              <w:r>
                <w:rPr>
                  <w:rFonts w:ascii="Times New Roman" w:cs="Times New Roman" w:eastAsia="Times New Roman" w:hAnsi="Times New Roman"/>
                  <w:sz w:val="16"/>
                  <w:szCs w:val="16"/>
                  <w:color w:val="0000FF"/>
                </w:rPr>
                <w:t>time to time party thereto, U.S. Bank National Association, as administrative agent, HSBC Bank USA, National</w:t>
              </w:r>
            </w:hyperlink>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7280" w:type="dxa"/>
            <w:vAlign w:val="bottom"/>
            <w:tcBorders>
              <w:top w:val="single" w:sz="8" w:color="0000FF"/>
            </w:tcBorders>
            <w:gridSpan w:val="6"/>
          </w:tcPr>
          <w:p>
            <w:pPr>
              <w:spacing w:after="0" w:line="169" w:lineRule="exact"/>
              <w:rPr>
                <w:rFonts w:ascii="Times New Roman" w:cs="Times New Roman" w:eastAsia="Times New Roman" w:hAnsi="Times New Roman"/>
                <w:sz w:val="16"/>
                <w:szCs w:val="16"/>
                <w:color w:val="0000FF"/>
              </w:rPr>
            </w:pPr>
            <w:hyperlink r:id="rId108">
              <w:r>
                <w:rPr>
                  <w:rFonts w:ascii="Times New Roman" w:cs="Times New Roman" w:eastAsia="Times New Roman" w:hAnsi="Times New Roman"/>
                  <w:sz w:val="16"/>
                  <w:szCs w:val="16"/>
                  <w:color w:val="0000FF"/>
                </w:rPr>
                <w:t>Association and Wells Fargo Bank, National Association, as co-syndication agents, and Bank of America, N.A.,</w:t>
              </w:r>
            </w:hyperlink>
          </w:p>
        </w:tc>
        <w:tc>
          <w:tcPr>
            <w:tcW w:w="1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7260" w:type="dxa"/>
            <w:vAlign w:val="bottom"/>
            <w:tcBorders>
              <w:top w:val="single" w:sz="8" w:color="0000FF"/>
            </w:tcBorders>
            <w:gridSpan w:val="5"/>
          </w:tcPr>
          <w:p>
            <w:pPr>
              <w:spacing w:after="0" w:line="155" w:lineRule="exact"/>
              <w:rPr>
                <w:rFonts w:ascii="Times New Roman" w:cs="Times New Roman" w:eastAsia="Times New Roman" w:hAnsi="Times New Roman"/>
                <w:sz w:val="16"/>
                <w:szCs w:val="16"/>
                <w:color w:val="0000FF"/>
              </w:rPr>
            </w:pPr>
            <w:hyperlink r:id="rId108">
              <w:r>
                <w:rPr>
                  <w:rFonts w:ascii="Times New Roman" w:cs="Times New Roman" w:eastAsia="Times New Roman" w:hAnsi="Times New Roman"/>
                  <w:sz w:val="16"/>
                  <w:szCs w:val="16"/>
                  <w:color w:val="0000FF"/>
                </w:rPr>
                <w:t>JPMorgan Chase Bank, N.A. and Deutsche Bank Securities, Inc., as co-documentation agents</w:t>
              </w:r>
            </w:hyperlink>
          </w:p>
        </w:tc>
        <w:tc>
          <w:tcPr>
            <w:tcW w:w="14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7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800" w:type="dxa"/>
            <w:vAlign w:val="bottom"/>
          </w:tcPr>
          <w:p>
            <w:pPr>
              <w:spacing w:after="0"/>
              <w:rPr>
                <w:sz w:val="4"/>
                <w:szCs w:val="4"/>
                <w:color w:val="auto"/>
              </w:rPr>
            </w:pPr>
          </w:p>
        </w:tc>
        <w:tc>
          <w:tcPr>
            <w:tcW w:w="6080" w:type="dxa"/>
            <w:vAlign w:val="bottom"/>
            <w:tcBorders>
              <w:top w:val="single" w:sz="8" w:color="0000FF"/>
            </w:tcBorders>
          </w:tcPr>
          <w:p>
            <w:pPr>
              <w:spacing w:after="0"/>
              <w:rPr>
                <w:sz w:val="4"/>
                <w:szCs w:val="4"/>
                <w:color w:val="auto"/>
              </w:rPr>
            </w:pPr>
          </w:p>
        </w:tc>
        <w:tc>
          <w:tcPr>
            <w:tcW w:w="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8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10.53</w:t>
            </w:r>
          </w:p>
        </w:tc>
        <w:tc>
          <w:tcPr>
            <w:tcW w:w="7520" w:type="dxa"/>
            <w:vAlign w:val="bottom"/>
            <w:gridSpan w:val="9"/>
            <w:shd w:val="clear" w:color="auto" w:fill="CCEEFF"/>
          </w:tcPr>
          <w:p>
            <w:pPr>
              <w:spacing w:after="0" w:line="175" w:lineRule="exact"/>
              <w:rPr>
                <w:rFonts w:ascii="Times New Roman" w:cs="Times New Roman" w:eastAsia="Times New Roman" w:hAnsi="Times New Roman"/>
                <w:sz w:val="16"/>
                <w:szCs w:val="16"/>
                <w:color w:val="0000FF"/>
              </w:rPr>
            </w:pPr>
            <w:hyperlink r:id="rId109">
              <w:r>
                <w:rPr>
                  <w:rFonts w:ascii="Times New Roman" w:cs="Times New Roman" w:eastAsia="Times New Roman" w:hAnsi="Times New Roman"/>
                  <w:sz w:val="16"/>
                  <w:szCs w:val="16"/>
                  <w:color w:val="0000FF"/>
                </w:rPr>
                <w:t>First Amendment to 2026 Revolving Credit Agreement, dated as of May 8, 2023, by and among The TJX</w:t>
              </w:r>
            </w:hyperlink>
          </w:p>
        </w:tc>
        <w:tc>
          <w:tcPr>
            <w:tcW w:w="7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10-Q</w:t>
            </w:r>
          </w:p>
        </w:tc>
        <w:tc>
          <w:tcPr>
            <w:tcW w:w="8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10.3</w:t>
            </w:r>
          </w:p>
        </w:tc>
        <w:tc>
          <w:tcPr>
            <w:tcW w:w="10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5/26/2023</w:t>
            </w:r>
          </w:p>
        </w:tc>
        <w:tc>
          <w:tcPr>
            <w:tcW w:w="0" w:type="dxa"/>
            <w:vAlign w:val="bottom"/>
          </w:tcPr>
          <w:p>
            <w:pPr>
              <w:spacing w:after="0"/>
              <w:rPr>
                <w:sz w:val="1"/>
                <w:szCs w:val="1"/>
                <w:color w:val="auto"/>
              </w:rPr>
            </w:pPr>
          </w:p>
        </w:tc>
      </w:tr>
      <w:tr>
        <w:trPr>
          <w:trHeight w:val="163"/>
        </w:trPr>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6860" w:type="dxa"/>
            <w:vAlign w:val="bottom"/>
            <w:tcBorders>
              <w:top w:val="single" w:sz="8" w:color="0000FF"/>
              <w:bottom w:val="single" w:sz="8" w:color="0000FF"/>
            </w:tcBorders>
            <w:gridSpan w:val="2"/>
            <w:shd w:val="clear" w:color="auto" w:fill="CCEEFF"/>
          </w:tcPr>
          <w:p>
            <w:pPr>
              <w:spacing w:after="0" w:line="142" w:lineRule="exact"/>
              <w:rPr>
                <w:rFonts w:ascii="Times New Roman" w:cs="Times New Roman" w:eastAsia="Times New Roman" w:hAnsi="Times New Roman"/>
                <w:sz w:val="16"/>
                <w:szCs w:val="16"/>
                <w:color w:val="0000FF"/>
              </w:rPr>
            </w:pPr>
            <w:hyperlink r:id="rId109">
              <w:r>
                <w:rPr>
                  <w:rFonts w:ascii="Times New Roman" w:cs="Times New Roman" w:eastAsia="Times New Roman" w:hAnsi="Times New Roman"/>
                  <w:sz w:val="16"/>
                  <w:szCs w:val="16"/>
                  <w:color w:val="0000FF"/>
                </w:rPr>
                <w:t>Companies, Inc., U.S. Bank National Association, as administrative agent, and each of the lenders party</w:t>
              </w:r>
            </w:hyperlink>
          </w:p>
        </w:tc>
        <w:tc>
          <w:tcPr>
            <w:tcW w:w="380" w:type="dxa"/>
            <w:vAlign w:val="bottom"/>
            <w:tcBorders>
              <w:top w:val="single" w:sz="8" w:color="CCEEFF"/>
              <w:bottom w:val="single" w:sz="8" w:color="0000FF"/>
            </w:tcBorders>
            <w:gridSpan w:val="2"/>
            <w:shd w:val="clear" w:color="auto" w:fill="CCEEFF"/>
          </w:tcPr>
          <w:p>
            <w:pPr>
              <w:spacing w:after="0" w:line="142" w:lineRule="exact"/>
              <w:rPr>
                <w:rFonts w:ascii="Times New Roman" w:cs="Times New Roman" w:eastAsia="Times New Roman" w:hAnsi="Times New Roman"/>
                <w:sz w:val="16"/>
                <w:szCs w:val="16"/>
                <w:color w:val="0000FF"/>
                <w:w w:val="80"/>
              </w:rPr>
            </w:pPr>
            <w:hyperlink r:id="rId109">
              <w:r>
                <w:rPr>
                  <w:rFonts w:ascii="Times New Roman" w:cs="Times New Roman" w:eastAsia="Times New Roman" w:hAnsi="Times New Roman"/>
                  <w:sz w:val="16"/>
                  <w:szCs w:val="16"/>
                  <w:color w:val="0000FF"/>
                  <w:w w:val="80"/>
                </w:rPr>
                <w:t>thereto</w:t>
              </w:r>
            </w:hyperlink>
          </w:p>
        </w:tc>
        <w:tc>
          <w:tcPr>
            <w:tcW w:w="280" w:type="dxa"/>
            <w:vAlign w:val="bottom"/>
            <w:tcBorders>
              <w:top w:val="single" w:sz="8" w:color="CCEEFF"/>
              <w:bottom w:val="single" w:sz="8" w:color="CCEEFF"/>
            </w:tcBorders>
            <w:gridSpan w:val="5"/>
            <w:shd w:val="clear" w:color="auto" w:fill="CCEEFF"/>
          </w:tcPr>
          <w:p>
            <w:pPr>
              <w:spacing w:after="0"/>
              <w:rPr>
                <w:sz w:val="14"/>
                <w:szCs w:val="14"/>
                <w:color w:val="auto"/>
              </w:rPr>
            </w:pPr>
          </w:p>
        </w:tc>
        <w:tc>
          <w:tcPr>
            <w:tcW w:w="780" w:type="dxa"/>
            <w:vAlign w:val="bottom"/>
            <w:tcBorders>
              <w:top w:val="single" w:sz="8" w:color="CCEEFF"/>
              <w:bottom w:val="single" w:sz="8" w:color="CCEEFF"/>
            </w:tcBorders>
            <w:shd w:val="clear" w:color="auto" w:fill="CCEEFF"/>
          </w:tcPr>
          <w:p>
            <w:pPr>
              <w:spacing w:after="0"/>
              <w:rPr>
                <w:sz w:val="14"/>
                <w:szCs w:val="14"/>
                <w:color w:val="auto"/>
              </w:rPr>
            </w:pPr>
          </w:p>
        </w:tc>
        <w:tc>
          <w:tcPr>
            <w:tcW w:w="880" w:type="dxa"/>
            <w:vAlign w:val="bottom"/>
            <w:tcBorders>
              <w:top w:val="single" w:sz="8" w:color="CCEEFF"/>
              <w:bottom w:val="single" w:sz="8" w:color="CCEEFF"/>
            </w:tcBorders>
            <w:shd w:val="clear" w:color="auto" w:fill="CCEEFF"/>
          </w:tcPr>
          <w:p>
            <w:pPr>
              <w:spacing w:after="0"/>
              <w:rPr>
                <w:sz w:val="14"/>
                <w:szCs w:val="14"/>
                <w:color w:val="auto"/>
              </w:rPr>
            </w:pPr>
          </w:p>
        </w:tc>
        <w:tc>
          <w:tcPr>
            <w:tcW w:w="108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10.54</w:t>
            </w:r>
          </w:p>
        </w:tc>
        <w:tc>
          <w:tcPr>
            <w:tcW w:w="7060" w:type="dxa"/>
            <w:vAlign w:val="bottom"/>
            <w:tcBorders>
              <w:bottom w:val="single" w:sz="8" w:color="0000FF"/>
            </w:tcBorders>
            <w:gridSpan w:val="3"/>
          </w:tcPr>
          <w:p>
            <w:pPr>
              <w:spacing w:after="0" w:line="175" w:lineRule="exact"/>
              <w:rPr>
                <w:rFonts w:ascii="Times New Roman" w:cs="Times New Roman" w:eastAsia="Times New Roman" w:hAnsi="Times New Roman"/>
                <w:sz w:val="16"/>
                <w:szCs w:val="16"/>
                <w:color w:val="0000FF"/>
              </w:rPr>
            </w:pPr>
            <w:hyperlink r:id="rId110">
              <w:r>
                <w:rPr>
                  <w:rFonts w:ascii="Times New Roman" w:cs="Times New Roman" w:eastAsia="Times New Roman" w:hAnsi="Times New Roman"/>
                  <w:sz w:val="16"/>
                  <w:szCs w:val="16"/>
                  <w:color w:val="0000FF"/>
                </w:rPr>
                <w:t>2028 Amended and Restated Revolving Credit Agreement, dated as of May 8, 2023, by and among The TJX</w:t>
              </w:r>
            </w:hyperlink>
          </w:p>
        </w:tc>
        <w:tc>
          <w:tcPr>
            <w:tcW w:w="460" w:type="dxa"/>
            <w:vAlign w:val="bottom"/>
            <w:gridSpan w:val="6"/>
          </w:tcPr>
          <w:p>
            <w:pPr>
              <w:spacing w:after="0"/>
              <w:rPr>
                <w:sz w:val="15"/>
                <w:szCs w:val="15"/>
                <w:color w:val="auto"/>
              </w:rPr>
            </w:pPr>
          </w:p>
        </w:tc>
        <w:tc>
          <w:tcPr>
            <w:tcW w:w="7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10-Q</w:t>
            </w:r>
          </w:p>
        </w:tc>
        <w:tc>
          <w:tcPr>
            <w:tcW w:w="8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10.2</w:t>
            </w:r>
          </w:p>
        </w:tc>
        <w:tc>
          <w:tcPr>
            <w:tcW w:w="10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5/26/2023</w:t>
            </w: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7400" w:type="dxa"/>
            <w:vAlign w:val="bottom"/>
            <w:tcBorders>
              <w:bottom w:val="single" w:sz="8" w:color="0000FF"/>
            </w:tcBorders>
            <w:gridSpan w:val="7"/>
          </w:tcPr>
          <w:p>
            <w:pPr>
              <w:spacing w:after="0" w:line="142" w:lineRule="exact"/>
              <w:rPr>
                <w:rFonts w:ascii="Times New Roman" w:cs="Times New Roman" w:eastAsia="Times New Roman" w:hAnsi="Times New Roman"/>
                <w:sz w:val="16"/>
                <w:szCs w:val="16"/>
                <w:color w:val="0000FF"/>
              </w:rPr>
            </w:pPr>
            <w:hyperlink r:id="rId110">
              <w:r>
                <w:rPr>
                  <w:rFonts w:ascii="Times New Roman" w:cs="Times New Roman" w:eastAsia="Times New Roman" w:hAnsi="Times New Roman"/>
                  <w:sz w:val="16"/>
                  <w:szCs w:val="16"/>
                  <w:color w:val="0000FF"/>
                </w:rPr>
                <w:t>Companies, Inc., U.S. Bank National Association, as administrative agent, and each of the lenders party thereto**</w:t>
              </w:r>
            </w:hyperlink>
          </w:p>
        </w:tc>
        <w:tc>
          <w:tcPr>
            <w:tcW w:w="120" w:type="dxa"/>
            <w:vAlign w:val="bottom"/>
            <w:gridSpan w:val="2"/>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800" w:hanging="482"/>
        <w:spacing w:after="0"/>
        <w:tabs>
          <w:tab w:leader="none" w:pos="8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0000FF"/>
        </w:rPr>
        <w:t>Subsidiaries of TJX,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012305"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11">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12" w:lineRule="exact"/>
        <w:rPr>
          <w:sz w:val="20"/>
          <w:szCs w:val="20"/>
          <w:color w:val="auto"/>
        </w:rPr>
      </w:pPr>
    </w:p>
    <w:p>
      <w:pPr>
        <w:ind w:left="800" w:hanging="482"/>
        <w:spacing w:after="0"/>
        <w:tabs>
          <w:tab w:leader="none" w:pos="8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0000FF"/>
        </w:rPr>
        <w:t>Consent of Independent Registered Public Accounting Firm, filed herewith</w:t>
      </w:r>
    </w:p>
    <w:p>
      <w:pPr>
        <w:spacing w:after="0" w:line="32" w:lineRule="exact"/>
        <w:rPr>
          <w:rFonts w:ascii="Times New Roman" w:cs="Times New Roman" w:eastAsia="Times New Roman" w:hAnsi="Times New Roman"/>
          <w:sz w:val="16"/>
          <w:szCs w:val="16"/>
          <w:color w:val="auto"/>
        </w:rPr>
      </w:pPr>
    </w:p>
    <w:p>
      <w:pPr>
        <w:ind w:left="800" w:hanging="482"/>
        <w:spacing w:after="0"/>
        <w:tabs>
          <w:tab w:leader="none" w:pos="8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0000FF"/>
        </w:rPr>
        <w:t>Power of Attorney given by the Directors and certain Executive Officers of TJX,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012305"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12">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spacing w:after="0" w:line="12" w:lineRule="exact"/>
        <w:rPr>
          <w:sz w:val="20"/>
          <w:szCs w:val="20"/>
          <w:color w:val="auto"/>
        </w:rPr>
      </w:pPr>
    </w:p>
    <w:p>
      <w:pPr>
        <w:ind w:left="800" w:right="3060" w:hanging="550"/>
        <w:spacing w:after="0" w:line="245" w:lineRule="auto"/>
        <w:tabs>
          <w:tab w:leader="none" w:pos="780" w:val="left"/>
        </w:tabs>
        <w:rPr>
          <w:sz w:val="20"/>
          <w:szCs w:val="20"/>
          <w:color w:val="auto"/>
        </w:rPr>
      </w:pPr>
      <w:r>
        <w:rPr>
          <w:rFonts w:ascii="Times New Roman" w:cs="Times New Roman" w:eastAsia="Times New Roman" w:hAnsi="Times New Roman"/>
          <w:sz w:val="16"/>
          <w:szCs w:val="16"/>
          <w:color w:val="auto"/>
        </w:rPr>
        <w:t>31.1</w:t>
      </w:r>
      <w:r>
        <w:rPr>
          <w:sz w:val="20"/>
          <w:szCs w:val="20"/>
          <w:color w:val="auto"/>
        </w:rPr>
        <w:tab/>
      </w:r>
      <w:r>
        <w:rPr>
          <w:rFonts w:ascii="Times New Roman" w:cs="Times New Roman" w:eastAsia="Times New Roman" w:hAnsi="Times New Roman"/>
          <w:sz w:val="16"/>
          <w:szCs w:val="16"/>
          <w:u w:val="single" w:color="auto"/>
          <w:color w:val="0000FF"/>
        </w:rPr>
        <w:t>Certification Statement of Chief Executive Officer pursuant to Section 302 of the Sarbanes-Oxley Act of 2002, filed herewith</w:t>
      </w:r>
    </w:p>
    <w:p>
      <w:pPr>
        <w:spacing w:after="0" w:line="2" w:lineRule="exact"/>
        <w:rPr>
          <w:sz w:val="20"/>
          <w:szCs w:val="20"/>
          <w:color w:val="auto"/>
        </w:rPr>
      </w:pPr>
    </w:p>
    <w:p>
      <w:pPr>
        <w:ind w:left="800" w:right="3100" w:hanging="550"/>
        <w:spacing w:after="0" w:line="245" w:lineRule="auto"/>
        <w:tabs>
          <w:tab w:leader="none" w:pos="780" w:val="left"/>
        </w:tabs>
        <w:rPr>
          <w:sz w:val="20"/>
          <w:szCs w:val="20"/>
          <w:color w:val="auto"/>
        </w:rPr>
      </w:pPr>
      <w:r>
        <w:rPr>
          <w:rFonts w:ascii="Times New Roman" w:cs="Times New Roman" w:eastAsia="Times New Roman" w:hAnsi="Times New Roman"/>
          <w:sz w:val="16"/>
          <w:szCs w:val="16"/>
          <w:color w:val="auto"/>
        </w:rPr>
        <w:t>31.2</w:t>
      </w:r>
      <w:r>
        <w:rPr>
          <w:sz w:val="20"/>
          <w:szCs w:val="20"/>
          <w:color w:val="auto"/>
        </w:rPr>
        <w:tab/>
      </w:r>
      <w:r>
        <w:rPr>
          <w:rFonts w:ascii="Times New Roman" w:cs="Times New Roman" w:eastAsia="Times New Roman" w:hAnsi="Times New Roman"/>
          <w:sz w:val="16"/>
          <w:szCs w:val="16"/>
          <w:u w:val="single" w:color="auto"/>
          <w:color w:val="0000FF"/>
        </w:rPr>
        <w:t>Certification Statement of Chief Financial Officer pursuant to Section 302 of the Sarbanes-Oxley Act of 2002,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012305" cy="2400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13">
                      <a:extLst>
                        <a:ext uri="{28A0092B-C50C-407E-A947-70E740481C1C}"/>
                      </a:extLst>
                    </a:blip>
                    <a:srcRect/>
                    <a:stretch>
                      <a:fillRect/>
                    </a:stretch>
                  </pic:blipFill>
                  <pic:spPr bwMode="auto">
                    <a:xfrm>
                      <a:off x="0" y="0"/>
                      <a:ext cx="7012305" cy="240030"/>
                    </a:xfrm>
                    <a:prstGeom prst="rect">
                      <a:avLst/>
                    </a:prstGeom>
                    <a:noFill/>
                  </pic:spPr>
                </pic:pic>
              </a:graphicData>
            </a:graphic>
          </wp:anchor>
        </w:drawing>
      </w:r>
    </w:p>
    <w:p>
      <w:pPr>
        <w:ind w:left="800" w:right="3060" w:hanging="550"/>
        <w:spacing w:after="0" w:line="245" w:lineRule="auto"/>
        <w:tabs>
          <w:tab w:leader="none" w:pos="780" w:val="left"/>
        </w:tabs>
        <w:rPr>
          <w:sz w:val="20"/>
          <w:szCs w:val="20"/>
          <w:color w:val="auto"/>
        </w:rPr>
      </w:pPr>
      <w:r>
        <w:rPr>
          <w:rFonts w:ascii="Times New Roman" w:cs="Times New Roman" w:eastAsia="Times New Roman" w:hAnsi="Times New Roman"/>
          <w:sz w:val="16"/>
          <w:szCs w:val="16"/>
          <w:color w:val="auto"/>
        </w:rPr>
        <w:t>32.1</w:t>
      </w:r>
      <w:r>
        <w:rPr>
          <w:sz w:val="20"/>
          <w:szCs w:val="20"/>
          <w:color w:val="auto"/>
        </w:rPr>
        <w:tab/>
      </w:r>
      <w:r>
        <w:rPr>
          <w:rFonts w:ascii="Times New Roman" w:cs="Times New Roman" w:eastAsia="Times New Roman" w:hAnsi="Times New Roman"/>
          <w:sz w:val="16"/>
          <w:szCs w:val="16"/>
          <w:u w:val="single" w:color="auto"/>
          <w:color w:val="0000FF"/>
        </w:rPr>
        <w:t>Certification Statement of Chief Executive Officer pursuant to Section 906 of the Sarbanes-Oxley Act of 2002, filed herewith</w:t>
      </w:r>
    </w:p>
    <w:p>
      <w:pPr>
        <w:spacing w:after="0" w:line="2" w:lineRule="exact"/>
        <w:rPr>
          <w:sz w:val="20"/>
          <w:szCs w:val="20"/>
          <w:color w:val="auto"/>
        </w:rPr>
      </w:pPr>
    </w:p>
    <w:p>
      <w:pPr>
        <w:ind w:left="800" w:right="3100" w:hanging="550"/>
        <w:spacing w:after="0" w:line="245" w:lineRule="auto"/>
        <w:tabs>
          <w:tab w:leader="none" w:pos="780" w:val="left"/>
        </w:tabs>
        <w:rPr>
          <w:sz w:val="20"/>
          <w:szCs w:val="20"/>
          <w:color w:val="auto"/>
        </w:rPr>
      </w:pPr>
      <w:r>
        <w:rPr>
          <w:rFonts w:ascii="Times New Roman" w:cs="Times New Roman" w:eastAsia="Times New Roman" w:hAnsi="Times New Roman"/>
          <w:sz w:val="16"/>
          <w:szCs w:val="16"/>
          <w:color w:val="auto"/>
        </w:rPr>
        <w:t>32.2</w:t>
      </w:r>
      <w:r>
        <w:rPr>
          <w:sz w:val="20"/>
          <w:szCs w:val="20"/>
          <w:color w:val="auto"/>
        </w:rPr>
        <w:tab/>
      </w:r>
      <w:r>
        <w:rPr>
          <w:rFonts w:ascii="Times New Roman" w:cs="Times New Roman" w:eastAsia="Times New Roman" w:hAnsi="Times New Roman"/>
          <w:sz w:val="16"/>
          <w:szCs w:val="16"/>
          <w:u w:val="single" w:color="auto"/>
          <w:color w:val="0000FF"/>
        </w:rPr>
        <w:t>Certification Statement of Chief Financial Officer pursuant to Section 906 of the Sarbanes-Oxley Act of 2002,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012305" cy="2400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14">
                      <a:extLst>
                        <a:ext uri="{28A0092B-C50C-407E-A947-70E740481C1C}"/>
                      </a:extLst>
                    </a:blip>
                    <a:srcRect/>
                    <a:stretch>
                      <a:fillRect/>
                    </a:stretch>
                  </pic:blipFill>
                  <pic:spPr bwMode="auto">
                    <a:xfrm>
                      <a:off x="0" y="0"/>
                      <a:ext cx="7012305" cy="240030"/>
                    </a:xfrm>
                    <a:prstGeom prst="rect">
                      <a:avLst/>
                    </a:prstGeom>
                    <a:noFill/>
                  </pic:spPr>
                </pic:pic>
              </a:graphicData>
            </a:graphic>
          </wp:anchor>
        </w:drawing>
      </w:r>
    </w:p>
    <w:p>
      <w:pPr>
        <w:ind w:left="800" w:right="2820" w:hanging="482"/>
        <w:spacing w:after="0" w:line="245" w:lineRule="auto"/>
        <w:tabs>
          <w:tab w:leader="none" w:pos="8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0000FF"/>
        </w:rPr>
        <w:t>Policy for Recovery of Executive Officer Incentive Compensation (Amended and Restated as of October 2, 2023), filed herewith</w:t>
      </w:r>
    </w:p>
    <w:p>
      <w:pPr>
        <w:spacing w:after="0" w:line="2" w:lineRule="exact"/>
        <w:rPr>
          <w:sz w:val="20"/>
          <w:szCs w:val="20"/>
          <w:color w:val="auto"/>
        </w:rPr>
      </w:pPr>
    </w:p>
    <w:p>
      <w:pPr>
        <w:ind w:left="800" w:right="2880" w:hanging="522"/>
        <w:spacing w:after="0" w:line="223" w:lineRule="auto"/>
        <w:tabs>
          <w:tab w:leader="none" w:pos="80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materials from The TJX Companies, Inc.’s Annual Report on Form 10-K for the fiscal year ended February 3, 2024, formatted in Inline Extensible Business Reporting Language (iXBRL): (i) the Consolidated Statements of Income, (ii) the Consolidated Statements of Comprehensive Income, (iii) the Consolidated Balance Sheets, (iv) the Consolidated Statements of Cash Flows, (v) the Consolidated Statements of Shareholders’ Equity, and (vi)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-541655</wp:posOffset>
            </wp:positionV>
            <wp:extent cx="7012305" cy="548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15">
                      <a:extLst>
                        <a:ext uri="{28A0092B-C50C-407E-A947-70E740481C1C}"/>
                      </a:extLst>
                    </a:blip>
                    <a:srcRect/>
                    <a:stretch>
                      <a:fillRect/>
                    </a:stretch>
                  </pic:blipFill>
                  <pic:spPr bwMode="auto">
                    <a:xfrm>
                      <a:off x="0" y="0"/>
                      <a:ext cx="7012305" cy="548640"/>
                    </a:xfrm>
                    <a:prstGeom prst="rect">
                      <a:avLst/>
                    </a:prstGeom>
                    <a:noFill/>
                  </pic:spPr>
                </pic:pic>
              </a:graphicData>
            </a:graphic>
          </wp:anchor>
        </w:drawing>
      </w:r>
    </w:p>
    <w:p>
      <w:pPr>
        <w:ind w:left="800" w:right="3520" w:hanging="522"/>
        <w:spacing w:after="0" w:line="245" w:lineRule="auto"/>
        <w:tabs>
          <w:tab w:leader="none" w:pos="800"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cover page from The TJX Companies, Inc.'s Annual Report on Form 10-K for the fiscal year ended February 3, 2024, formatted in iXBRL (included in Exhibit 101)</w:t>
      </w:r>
    </w:p>
    <w:p>
      <w:pPr>
        <w:spacing w:after="0" w:line="96"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Management contract or compensatory plan or arrangement.</w:t>
      </w:r>
    </w:p>
    <w:p>
      <w:pPr>
        <w:spacing w:after="0" w:line="113" w:lineRule="exact"/>
        <w:rPr>
          <w:rFonts w:ascii="Times New Roman" w:cs="Times New Roman" w:eastAsia="Times New Roman" w:hAnsi="Times New Roman"/>
          <w:sz w:val="16"/>
          <w:szCs w:val="16"/>
          <w:color w:val="auto"/>
        </w:rPr>
      </w:pPr>
    </w:p>
    <w:p>
      <w:pPr>
        <w:ind w:right="60" w:firstLine="8"/>
        <w:spacing w:after="0" w:line="280" w:lineRule="auto"/>
        <w:tabs>
          <w:tab w:leader="none" w:pos="202"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Schedules and certain portions of this exhibit are omitted pursuant to Item 601 of Regulation S-K. The Company agrees to furnish a supplemental copy of any omitted schedule or exhibit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-520065</wp:posOffset>
            </wp:positionV>
            <wp:extent cx="701230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16">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5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color w:val="auto"/>
        </w:rPr>
        <w:t>(p)</w:t>
        <w:tab/>
        <w:t>Paper filing.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Unless otherwise indicated, exhibits incorporated by reference were filed under Commission File Number 001-04908.</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16. Form 10-K Summary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934" w:right="519" w:bottom="1440" w:gutter="0" w:footer="0" w:header="0"/>
        </w:sectPr>
      </w:pPr>
    </w:p>
    <w:bookmarkStart w:id="45" w:name="page46"/>
    <w:bookmarkEnd w:id="45"/>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SIGNATURES</w:t>
      </w:r>
    </w:p>
    <w:p>
      <w:pPr>
        <w:spacing w:after="0" w:line="13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94"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THE TJX COMPANIES, INC.</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/s/ JOHN KLINGER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1203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18">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7" w:lineRule="exact"/>
        <w:rPr>
          <w:sz w:val="20"/>
          <w:szCs w:val="20"/>
          <w:color w:val="auto"/>
        </w:rPr>
      </w:pPr>
    </w:p>
    <w:p>
      <w:pPr>
        <w:ind w:left="60"/>
        <w:spacing w:after="0"/>
        <w:tabs>
          <w:tab w:leader="none" w:pos="840" w:val="left"/>
          <w:tab w:leader="none" w:pos="636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April 3, 2024</w:t>
      </w:r>
      <w:r>
        <w:rPr>
          <w:sz w:val="20"/>
          <w:szCs w:val="20"/>
          <w:color w:val="auto"/>
        </w:rPr>
        <w:tab/>
      </w:r>
      <w:r>
        <w:rPr>
          <w:rFonts w:ascii="Times New Roman" w:cs="Times New Roman" w:eastAsia="Times New Roman" w:hAnsi="Times New Roman"/>
          <w:sz w:val="17"/>
          <w:szCs w:val="17"/>
          <w:color w:val="auto"/>
        </w:rPr>
        <w:t>John Klinger, Chief Financial Officer</w:t>
      </w:r>
    </w:p>
    <w:p>
      <w:pPr>
        <w:spacing w:after="0" w:line="220"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 indicated.</w:t>
      </w:r>
    </w:p>
    <w:p>
      <w:pPr>
        <w:sectPr>
          <w:pgSz w:w="11900" w:h="16838" w:orient="portrait"/>
          <w:cols w:equalWidth="0" w:num="1">
            <w:col w:w="11240"/>
          </w:cols>
          <w:pgMar w:left="320" w:top="882" w:right="339" w:bottom="1440" w:gutter="0" w:footer="0" w:header="0"/>
        </w:sectPr>
      </w:pP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ERNIE HERRMAN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3604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19">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16" w:lineRule="exact"/>
        <w:rPr>
          <w:sz w:val="20"/>
          <w:szCs w:val="20"/>
          <w:color w:val="auto"/>
        </w:rPr>
      </w:pPr>
    </w:p>
    <w:p>
      <w:pPr>
        <w:ind w:left="20" w:right="100"/>
        <w:spacing w:after="0" w:line="237" w:lineRule="auto"/>
        <w:rPr>
          <w:sz w:val="20"/>
          <w:szCs w:val="20"/>
          <w:color w:val="auto"/>
        </w:rPr>
      </w:pPr>
      <w:r>
        <w:rPr>
          <w:rFonts w:ascii="Times New Roman" w:cs="Times New Roman" w:eastAsia="Times New Roman" w:hAnsi="Times New Roman"/>
          <w:sz w:val="18"/>
          <w:szCs w:val="18"/>
          <w:color w:val="auto"/>
        </w:rPr>
        <w:t>Ernie Herrman, Chief Executive Officer, President and Director (Principal Executive Officer)</w:t>
      </w:r>
    </w:p>
    <w:p>
      <w:pPr>
        <w:spacing w:after="0" w:line="2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JOSÉ B. ALVAREZ*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3604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20">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José B. Alvarez, Director</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ALAN M. BENNETT*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3604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21">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Alan M. Bennett, Director</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ROSEMARY T. BERKERY*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3604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22">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Rosemary T. Berkery, Director</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DAVID T. CHING*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3604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23">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David T. Ching, Director</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 KIM GOODWIN*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3604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24">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 Kim Goodwin,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 JOHN KLINGER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17145</wp:posOffset>
            </wp:positionV>
            <wp:extent cx="366903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25">
                      <a:extLst>
                        <a:ext uri="{28A0092B-C50C-407E-A947-70E740481C1C}"/>
                      </a:extLst>
                    </a:blip>
                    <a:srcRect/>
                    <a:stretch>
                      <a:fillRect/>
                    </a:stretch>
                  </pic:blipFill>
                  <pic:spPr bwMode="auto">
                    <a:xfrm>
                      <a:off x="0" y="0"/>
                      <a:ext cx="3669030"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Klinger, Chief Financial Officer</w:t>
      </w: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AMY B. 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17145</wp:posOffset>
            </wp:positionV>
            <wp:extent cx="366903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26">
                      <a:extLst>
                        <a:ext uri="{28A0092B-C50C-407E-A947-70E740481C1C}"/>
                      </a:extLst>
                    </a:blip>
                    <a:srcRect/>
                    <a:stretch>
                      <a:fillRect/>
                    </a:stretch>
                  </pic:blipFill>
                  <pic:spPr bwMode="auto">
                    <a:xfrm>
                      <a:off x="0" y="0"/>
                      <a:ext cx="36690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Amy B. Lane, Director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CAROL MEYROWITZ*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17145</wp:posOffset>
            </wp:positionV>
            <wp:extent cx="366903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27">
                      <a:extLst>
                        <a:ext uri="{28A0092B-C50C-407E-A947-70E740481C1C}"/>
                      </a:extLst>
                    </a:blip>
                    <a:srcRect/>
                    <a:stretch>
                      <a:fillRect/>
                    </a:stretch>
                  </pic:blipFill>
                  <pic:spPr bwMode="auto">
                    <a:xfrm>
                      <a:off x="0" y="0"/>
                      <a:ext cx="36690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Carol Meyrowitz, Executive Chairman of the Board of Directors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JACKWYN L. NEMEROV*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17145</wp:posOffset>
            </wp:positionV>
            <wp:extent cx="366903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28">
                      <a:extLst>
                        <a:ext uri="{28A0092B-C50C-407E-A947-70E740481C1C}"/>
                      </a:extLst>
                    </a:blip>
                    <a:srcRect/>
                    <a:stretch>
                      <a:fillRect/>
                    </a:stretch>
                  </pic:blipFill>
                  <pic:spPr bwMode="auto">
                    <a:xfrm>
                      <a:off x="0" y="0"/>
                      <a:ext cx="36690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Jackwyn L. Nemerov, Director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CHARLES F. WAGNER,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17145</wp:posOffset>
            </wp:positionV>
            <wp:extent cx="366903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29">
                      <a:extLst>
                        <a:ext uri="{28A0092B-C50C-407E-A947-70E740481C1C}"/>
                      </a:extLst>
                    </a:blip>
                    <a:srcRect/>
                    <a:stretch>
                      <a:fillRect/>
                    </a:stretch>
                  </pic:blipFill>
                  <pic:spPr bwMode="auto">
                    <a:xfrm>
                      <a:off x="0" y="0"/>
                      <a:ext cx="366903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Charles F. Wagner, Jr., Director</w:t>
      </w:r>
    </w:p>
    <w:p>
      <w:pPr>
        <w:spacing w:after="0" w:line="942" w:lineRule="exact"/>
        <w:rPr>
          <w:sz w:val="20"/>
          <w:szCs w:val="20"/>
          <w:color w:val="auto"/>
        </w:rPr>
      </w:pPr>
    </w:p>
    <w:p>
      <w:pPr>
        <w:sectPr>
          <w:pgSz w:w="11900" w:h="16838" w:orient="portrait"/>
          <w:cols w:equalWidth="0" w:num="2">
            <w:col w:w="4720" w:space="720"/>
            <w:col w:w="5800"/>
          </w:cols>
          <w:pgMar w:left="320" w:top="88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520" w:type="dxa"/>
            <w:vAlign w:val="bottom"/>
          </w:tcPr>
          <w:p>
            <w:pPr>
              <w:ind w:left="6000"/>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JOHN KLINGER</w:t>
            </w:r>
          </w:p>
        </w:tc>
      </w:tr>
      <w:tr>
        <w:trPr>
          <w:trHeight w:val="169"/>
        </w:trPr>
        <w:tc>
          <w:tcPr>
            <w:tcW w:w="65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Dated:   April 3, 2024</w:t>
            </w:r>
          </w:p>
        </w:tc>
        <w:tc>
          <w:tcPr>
            <w:tcW w:w="468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John Klinger,</w:t>
            </w:r>
          </w:p>
        </w:tc>
      </w:tr>
      <w:tr>
        <w:trPr>
          <w:trHeight w:val="234"/>
        </w:trPr>
        <w:tc>
          <w:tcPr>
            <w:tcW w:w="652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attorney-in-fact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22"/>
          <w:szCs w:val="22"/>
          <w:b w:val="1"/>
          <w:bCs w:val="1"/>
          <w:color w:val="auto"/>
        </w:rPr>
        <w:t>The TJX Companies, Inc.</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Fiscal Years Ended February 3, 2024, January 28, 2023 and January 29, 2022.</w:t>
      </w:r>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5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 (PCAOB ID 238)</w:t>
            </w:r>
          </w:p>
        </w:tc>
        <w:tc>
          <w:tcPr>
            <w:tcW w:w="5380" w:type="dxa"/>
            <w:vAlign w:val="bottom"/>
          </w:tcPr>
          <w:p>
            <w:pPr>
              <w:spacing w:after="0"/>
              <w:rPr>
                <w:sz w:val="17"/>
                <w:szCs w:val="17"/>
                <w:color w:val="auto"/>
              </w:rPr>
            </w:pPr>
          </w:p>
        </w:tc>
        <w:tc>
          <w:tcPr>
            <w:tcW w:w="2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5"/>
              </w:rPr>
              <w:t>F-2</w:t>
            </w:r>
          </w:p>
        </w:tc>
      </w:tr>
      <w:tr>
        <w:trPr>
          <w:trHeight w:val="270"/>
        </w:trPr>
        <w:tc>
          <w:tcPr>
            <w:tcW w:w="10920" w:type="dxa"/>
            <w:vAlign w:val="bottom"/>
            <w:gridSpan w:val="8"/>
          </w:tcPr>
          <w:p>
            <w:pPr>
              <w:spacing w:after="0"/>
              <w:rPr>
                <w:sz w:val="20"/>
                <w:szCs w:val="20"/>
                <w:color w:val="auto"/>
              </w:rPr>
            </w:pPr>
            <w:r>
              <w:rPr>
                <w:rFonts w:ascii="Times New Roman" w:cs="Times New Roman" w:eastAsia="Times New Roman" w:hAnsi="Times New Roman"/>
                <w:sz w:val="20"/>
                <w:szCs w:val="20"/>
                <w:b w:val="1"/>
                <w:bCs w:val="1"/>
                <w:color w:val="auto"/>
              </w:rPr>
              <w:t>Consolidated Financial Statements:</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197"/>
        </w:trPr>
        <w:tc>
          <w:tcPr>
            <w:tcW w:w="200" w:type="dxa"/>
            <w:vAlign w:val="bottom"/>
          </w:tcPr>
          <w:p>
            <w:pPr>
              <w:spacing w:after="0"/>
              <w:rPr>
                <w:sz w:val="17"/>
                <w:szCs w:val="17"/>
                <w:color w:val="auto"/>
              </w:rPr>
            </w:pPr>
          </w:p>
        </w:tc>
        <w:tc>
          <w:tcPr>
            <w:tcW w:w="258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Income</w:t>
            </w:r>
          </w:p>
        </w:tc>
        <w:tc>
          <w:tcPr>
            <w:tcW w:w="8140" w:type="dxa"/>
            <w:vAlign w:val="bottom"/>
            <w:gridSpan w:val="5"/>
          </w:tcPr>
          <w:p>
            <w:pPr>
              <w:spacing w:after="0"/>
              <w:rPr>
                <w:sz w:val="17"/>
                <w:szCs w:val="17"/>
                <w:color w:val="auto"/>
              </w:rPr>
            </w:pPr>
          </w:p>
        </w:tc>
        <w:tc>
          <w:tcPr>
            <w:tcW w:w="260" w:type="dxa"/>
            <w:vAlign w:val="bottom"/>
            <w:tcBorders>
              <w:bottom w:val="single" w:sz="8" w:color="0000FF"/>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FF"/>
                <w:w w:val="95"/>
              </w:rPr>
              <w:t>F-4</w:t>
            </w:r>
          </w:p>
        </w:tc>
      </w:tr>
      <w:tr>
        <w:trPr>
          <w:trHeight w:val="209"/>
        </w:trPr>
        <w:tc>
          <w:tcPr>
            <w:tcW w:w="200" w:type="dxa"/>
            <w:vAlign w:val="bottom"/>
          </w:tcPr>
          <w:p>
            <w:pPr>
              <w:spacing w:after="0"/>
              <w:rPr>
                <w:sz w:val="18"/>
                <w:szCs w:val="18"/>
                <w:color w:val="auto"/>
              </w:rPr>
            </w:pPr>
          </w:p>
        </w:tc>
        <w:tc>
          <w:tcPr>
            <w:tcW w:w="107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95"/>
              </w:rPr>
              <w:t>F-5</w:t>
            </w:r>
          </w:p>
        </w:tc>
      </w:tr>
      <w:tr>
        <w:trPr>
          <w:trHeight w:val="210"/>
        </w:trPr>
        <w:tc>
          <w:tcPr>
            <w:tcW w:w="200" w:type="dxa"/>
            <w:vAlign w:val="bottom"/>
          </w:tcPr>
          <w:p>
            <w:pPr>
              <w:spacing w:after="0"/>
              <w:rPr>
                <w:sz w:val="18"/>
                <w:szCs w:val="18"/>
                <w:color w:val="auto"/>
              </w:rPr>
            </w:pPr>
          </w:p>
        </w:tc>
        <w:tc>
          <w:tcPr>
            <w:tcW w:w="21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1640" w:type="dxa"/>
            <w:vAlign w:val="bottom"/>
            <w:tcBorders>
              <w:top w:val="single" w:sz="8" w:color="0000FF"/>
            </w:tcBorders>
            <w:gridSpan w:val="4"/>
          </w:tcPr>
          <w:p>
            <w:pPr>
              <w:spacing w:after="0"/>
              <w:rPr>
                <w:sz w:val="18"/>
                <w:szCs w:val="18"/>
                <w:color w:val="auto"/>
              </w:rPr>
            </w:pPr>
          </w:p>
        </w:tc>
        <w:tc>
          <w:tcPr>
            <w:tcW w:w="6980" w:type="dxa"/>
            <w:vAlign w:val="bottom"/>
            <w:gridSpan w:val="2"/>
          </w:tcPr>
          <w:p>
            <w:pPr>
              <w:spacing w:after="0"/>
              <w:rPr>
                <w:sz w:val="18"/>
                <w:szCs w:val="18"/>
                <w:color w:val="auto"/>
              </w:rPr>
            </w:pPr>
          </w:p>
        </w:tc>
        <w:tc>
          <w:tcPr>
            <w:tcW w:w="26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5"/>
              </w:rPr>
              <w:t>F-6</w:t>
            </w:r>
          </w:p>
        </w:tc>
      </w:tr>
      <w:tr>
        <w:trPr>
          <w:trHeight w:val="209"/>
        </w:trPr>
        <w:tc>
          <w:tcPr>
            <w:tcW w:w="200" w:type="dxa"/>
            <w:vAlign w:val="bottom"/>
          </w:tcPr>
          <w:p>
            <w:pPr>
              <w:spacing w:after="0"/>
              <w:rPr>
                <w:sz w:val="18"/>
                <w:szCs w:val="18"/>
                <w:color w:val="auto"/>
              </w:rPr>
            </w:pPr>
          </w:p>
        </w:tc>
        <w:tc>
          <w:tcPr>
            <w:tcW w:w="28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7840" w:type="dxa"/>
            <w:vAlign w:val="bottom"/>
            <w:gridSpan w:val="4"/>
          </w:tcPr>
          <w:p>
            <w:pPr>
              <w:spacing w:after="0"/>
              <w:rPr>
                <w:sz w:val="18"/>
                <w:szCs w:val="18"/>
                <w:color w:val="auto"/>
              </w:rPr>
            </w:pPr>
          </w:p>
        </w:tc>
        <w:tc>
          <w:tcPr>
            <w:tcW w:w="2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5"/>
              </w:rPr>
              <w:t>F-7</w:t>
            </w:r>
          </w:p>
        </w:tc>
      </w:tr>
      <w:tr>
        <w:trPr>
          <w:trHeight w:val="209"/>
        </w:trPr>
        <w:tc>
          <w:tcPr>
            <w:tcW w:w="200" w:type="dxa"/>
            <w:vAlign w:val="bottom"/>
          </w:tcPr>
          <w:p>
            <w:pPr>
              <w:spacing w:after="0"/>
              <w:rPr>
                <w:sz w:val="18"/>
                <w:szCs w:val="18"/>
                <w:color w:val="auto"/>
              </w:rPr>
            </w:pPr>
          </w:p>
        </w:tc>
        <w:tc>
          <w:tcPr>
            <w:tcW w:w="35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Shareholders’ Equity</w:t>
            </w:r>
          </w:p>
        </w:tc>
        <w:tc>
          <w:tcPr>
            <w:tcW w:w="7160" w:type="dxa"/>
            <w:vAlign w:val="bottom"/>
            <w:gridSpan w:val="3"/>
          </w:tcPr>
          <w:p>
            <w:pPr>
              <w:spacing w:after="0"/>
              <w:rPr>
                <w:sz w:val="18"/>
                <w:szCs w:val="18"/>
                <w:color w:val="auto"/>
              </w:rPr>
            </w:pPr>
          </w:p>
        </w:tc>
        <w:tc>
          <w:tcPr>
            <w:tcW w:w="2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5"/>
              </w:rPr>
              <w:t>F-8</w:t>
            </w:r>
          </w:p>
        </w:tc>
      </w:tr>
      <w:tr>
        <w:trPr>
          <w:trHeight w:val="237"/>
        </w:trPr>
        <w:tc>
          <w:tcPr>
            <w:tcW w:w="10920" w:type="dxa"/>
            <w:vAlign w:val="bottom"/>
            <w:gridSpan w:val="8"/>
          </w:tcPr>
          <w:p>
            <w:pP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tc>
        <w:tc>
          <w:tcPr>
            <w:tcW w:w="2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5"/>
              </w:rPr>
              <w:t>F-9</w:t>
            </w:r>
          </w:p>
        </w:tc>
      </w:tr>
      <w:tr>
        <w:trPr>
          <w:trHeight w:val="270"/>
        </w:trPr>
        <w:tc>
          <w:tcPr>
            <w:tcW w:w="10920" w:type="dxa"/>
            <w:vAlign w:val="bottom"/>
            <w:gridSpan w:val="8"/>
          </w:tcPr>
          <w:p>
            <w:pPr>
              <w:spacing w:after="0"/>
              <w:rPr>
                <w:sz w:val="20"/>
                <w:szCs w:val="20"/>
                <w:color w:val="auto"/>
              </w:rPr>
            </w:pPr>
            <w:r>
              <w:rPr>
                <w:rFonts w:ascii="Times New Roman" w:cs="Times New Roman" w:eastAsia="Times New Roman" w:hAnsi="Times New Roman"/>
                <w:sz w:val="20"/>
                <w:szCs w:val="20"/>
                <w:b w:val="1"/>
                <w:bCs w:val="1"/>
                <w:color w:val="auto"/>
              </w:rPr>
              <w:t>Financial Statement Schedule:</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196"/>
        </w:trPr>
        <w:tc>
          <w:tcPr>
            <w:tcW w:w="200" w:type="dxa"/>
            <w:vAlign w:val="bottom"/>
          </w:tcPr>
          <w:p>
            <w:pPr>
              <w:spacing w:after="0"/>
              <w:rPr>
                <w:sz w:val="17"/>
                <w:szCs w:val="17"/>
                <w:color w:val="auto"/>
              </w:rPr>
            </w:pPr>
          </w:p>
        </w:tc>
        <w:tc>
          <w:tcPr>
            <w:tcW w:w="35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Schedule II – Valuation and Qualifying Accounts</w:t>
            </w:r>
          </w:p>
        </w:tc>
        <w:tc>
          <w:tcPr>
            <w:tcW w:w="7160" w:type="dxa"/>
            <w:vAlign w:val="bottom"/>
            <w:gridSpan w:val="3"/>
          </w:tcPr>
          <w:p>
            <w:pPr>
              <w:spacing w:after="0"/>
              <w:rPr>
                <w:sz w:val="17"/>
                <w:szCs w:val="17"/>
                <w:color w:val="auto"/>
              </w:rPr>
            </w:pPr>
          </w:p>
        </w:tc>
        <w:tc>
          <w:tcPr>
            <w:tcW w:w="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FF"/>
              </w:rPr>
              <w:t>42</w:t>
            </w:r>
          </w:p>
        </w:tc>
      </w:tr>
      <w:tr>
        <w:trPr>
          <w:trHeight w:val="20"/>
        </w:trPr>
        <w:tc>
          <w:tcPr>
            <w:tcW w:w="20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4" w:right="3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2"/>
          <w:szCs w:val="22"/>
          <w:b w:val="1"/>
          <w:bCs w:val="1"/>
          <w:color w:val="auto"/>
        </w:rPr>
        <w:t>Report of Independent Registered Public Accounting Firm</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 The TJX Companies, Inc.</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12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The TJX Companies, Inc. and its subsidiaries (the “Company”) as of February 3, 2024 and January 28, 2023, and the related consolidated statements of income, of comprehensive income, of shareholders' equity and of cash flows, for each of the three years in the period ended February 3, 2024, including the related notes and schedule of valuation and qualifying accounts for each of the three years in the period ended February 3, 2024 appearing under Item 15(a) (collectively referred to as the “consolidated financial statements”). We also have audited the Company's internal control over financial reporting as of February 3, 2024,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Committee of Sponsoring Organizations of the Treadway Commission (COSO).</w:t>
      </w:r>
    </w:p>
    <w:p>
      <w:pPr>
        <w:spacing w:after="0" w:line="7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February 3, 2024 and January 28, 2023, and the results of its operations and its cash flows for each of the three years in the period ended February 3, 2024 in conformity with accounting principles generally accepted in the United States of America. Also in our opinion, the Company maintained, in all material respects, effective internal control over financial reporting as of February 3, 2024,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COSO.</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121"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6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Provision</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described in Note K to the consolidated financial statements, the Company recorded a provision for income taxes of $1.5 billion for the year ended February 3, 2024 and has a deferred tax asset net of deferred tax liability of $24 million, including a valuation allowance of $63 million, as of February 3, 2024. The Company is subject to taxation in the United States, as well as multiple state, local and foreign jurisdictions. The use of estimates and judgments, as well as the interpretation and application of complex tax laws is required by management to determine its provision for income taxes.</w:t>
      </w:r>
    </w:p>
    <w:p>
      <w:pPr>
        <w:spacing w:after="0" w:line="7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provision for income taxes is a critical audit matter are (i) the significant judgment by management when determining the provision for income taxes, which led to (ii) a high degree of auditor judgment, subjectivity, and effort in performing procedures relating to the provision for income taxes.</w:t>
      </w:r>
    </w:p>
    <w:p>
      <w:pPr>
        <w:spacing w:after="0" w:line="6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provision for income taxes. These procedures also included, among others, testing the provision for income taxes, including the rate reconciliation, current and deferred tax provision, and the application of foreign and domestic tax laws and regulations.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 2024</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1962.</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color w:val="auto"/>
        </w:rPr>
        <w:t>THE TJX COMPANIES,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7"/>
              </w:rPr>
              <w:t>Fiscal Year Ended</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r>
      <w:tr>
        <w:trPr>
          <w:trHeight w:val="174"/>
        </w:trPr>
        <w:tc>
          <w:tcPr>
            <w:tcW w:w="6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center"/>
              <w:ind w:right="90"/>
              <w:spacing w:after="0" w:line="174" w:lineRule="exact"/>
              <w:rPr>
                <w:sz w:val="20"/>
                <w:szCs w:val="20"/>
                <w:color w:val="auto"/>
              </w:rPr>
            </w:pPr>
            <w:r>
              <w:rPr>
                <w:rFonts w:ascii="Times New Roman" w:cs="Times New Roman" w:eastAsia="Times New Roman" w:hAnsi="Times New Roman"/>
                <w:sz w:val="18"/>
                <w:szCs w:val="18"/>
                <w:b w:val="1"/>
                <w:bCs w:val="1"/>
                <w:color w:val="auto"/>
                <w:w w:val="98"/>
              </w:rPr>
              <w:t>February 3,</w:t>
            </w:r>
          </w:p>
        </w:tc>
        <w:tc>
          <w:tcPr>
            <w:tcW w:w="220" w:type="dxa"/>
            <w:vAlign w:val="bottom"/>
          </w:tcPr>
          <w:p>
            <w:pPr>
              <w:spacing w:after="0"/>
              <w:rPr>
                <w:sz w:val="15"/>
                <w:szCs w:val="15"/>
                <w:color w:val="auto"/>
              </w:rPr>
            </w:pPr>
          </w:p>
        </w:tc>
        <w:tc>
          <w:tcPr>
            <w:tcW w:w="1220" w:type="dxa"/>
            <w:vAlign w:val="bottom"/>
          </w:tcPr>
          <w:p>
            <w:pPr>
              <w:jc w:val="center"/>
              <w:ind w:right="110"/>
              <w:spacing w:after="0" w:line="174" w:lineRule="exact"/>
              <w:rPr>
                <w:sz w:val="20"/>
                <w:szCs w:val="20"/>
                <w:color w:val="auto"/>
              </w:rPr>
            </w:pPr>
            <w:r>
              <w:rPr>
                <w:rFonts w:ascii="Times New Roman" w:cs="Times New Roman" w:eastAsia="Times New Roman" w:hAnsi="Times New Roman"/>
                <w:sz w:val="18"/>
                <w:szCs w:val="18"/>
                <w:color w:val="auto"/>
                <w:w w:val="98"/>
              </w:rPr>
              <w:t>January 28,</w:t>
            </w:r>
          </w:p>
        </w:tc>
        <w:tc>
          <w:tcPr>
            <w:tcW w:w="220" w:type="dxa"/>
            <w:vAlign w:val="bottom"/>
          </w:tcPr>
          <w:p>
            <w:pPr>
              <w:spacing w:after="0"/>
              <w:rPr>
                <w:sz w:val="15"/>
                <w:szCs w:val="15"/>
                <w:color w:val="auto"/>
              </w:rPr>
            </w:pPr>
          </w:p>
        </w:tc>
        <w:tc>
          <w:tcPr>
            <w:tcW w:w="1240" w:type="dxa"/>
            <w:vAlign w:val="bottom"/>
          </w:tcPr>
          <w:p>
            <w:pPr>
              <w:jc w:val="right"/>
              <w:ind w:right="210"/>
              <w:spacing w:after="0" w:line="174" w:lineRule="exact"/>
              <w:rPr>
                <w:sz w:val="20"/>
                <w:szCs w:val="20"/>
                <w:color w:val="auto"/>
              </w:rPr>
            </w:pPr>
            <w:r>
              <w:rPr>
                <w:rFonts w:ascii="Times New Roman" w:cs="Times New Roman" w:eastAsia="Times New Roman" w:hAnsi="Times New Roman"/>
                <w:sz w:val="18"/>
                <w:szCs w:val="18"/>
                <w:color w:val="auto"/>
              </w:rPr>
              <w:t>January 29,</w:t>
            </w:r>
          </w:p>
        </w:tc>
      </w:tr>
      <w:tr>
        <w:trPr>
          <w:trHeight w:val="238"/>
        </w:trPr>
        <w:tc>
          <w:tcPr>
            <w:tcW w:w="69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2023</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6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(53 weeks)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6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54,217</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49,936</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48,550</w:t>
            </w:r>
          </w:p>
        </w:tc>
      </w:tr>
      <w:tr>
        <w:trPr>
          <w:trHeight w:val="223"/>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 including buying and occupancy costs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37,951</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36,149</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34,714</w:t>
            </w: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10,469</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8,927</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9,081</w:t>
            </w:r>
          </w:p>
        </w:tc>
      </w:tr>
      <w:tr>
        <w:trPr>
          <w:trHeight w:val="230"/>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on equity investment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29"/>
        </w:trPr>
        <w:tc>
          <w:tcPr>
            <w:tcW w:w="6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2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5,967</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4,636</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4,398</w:t>
            </w:r>
          </w:p>
        </w:tc>
      </w:tr>
      <w:tr>
        <w:trPr>
          <w:trHeight w:val="229"/>
        </w:trPr>
        <w:tc>
          <w:tcPr>
            <w:tcW w:w="6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1,493</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w:t>
            </w:r>
          </w:p>
        </w:tc>
      </w:tr>
      <w:tr>
        <w:trPr>
          <w:trHeight w:val="223"/>
        </w:trPr>
        <w:tc>
          <w:tcPr>
            <w:tcW w:w="6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4,474</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3,498</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3,283</w:t>
            </w:r>
          </w:p>
        </w:tc>
      </w:tr>
      <w:tr>
        <w:trPr>
          <w:trHeight w:val="223"/>
        </w:trPr>
        <w:tc>
          <w:tcPr>
            <w:tcW w:w="6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3.90</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230"/>
        </w:trPr>
        <w:tc>
          <w:tcPr>
            <w:tcW w:w="6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 average common shares – basic</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1,146</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r>
      <w:tr>
        <w:trPr>
          <w:trHeight w:val="229"/>
        </w:trPr>
        <w:tc>
          <w:tcPr>
            <w:tcW w:w="6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3.86</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30"/>
        </w:trPr>
        <w:tc>
          <w:tcPr>
            <w:tcW w:w="690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 average common shares – diluted</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1,159</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color w:val="auto"/>
        </w:rPr>
        <w:t>THE TJX COMPANIES,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7"/>
              </w:rPr>
              <w:t>Fiscal Year Ended</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6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center"/>
              <w:ind w:right="70"/>
              <w:spacing w:after="0" w:line="174" w:lineRule="exact"/>
              <w:rPr>
                <w:sz w:val="20"/>
                <w:szCs w:val="20"/>
                <w:color w:val="auto"/>
              </w:rPr>
            </w:pPr>
            <w:r>
              <w:rPr>
                <w:rFonts w:ascii="Times New Roman" w:cs="Times New Roman" w:eastAsia="Times New Roman" w:hAnsi="Times New Roman"/>
                <w:sz w:val="18"/>
                <w:szCs w:val="18"/>
                <w:b w:val="1"/>
                <w:bCs w:val="1"/>
                <w:color w:val="auto"/>
                <w:w w:val="98"/>
              </w:rPr>
              <w:t>February 3,</w:t>
            </w:r>
          </w:p>
        </w:tc>
        <w:tc>
          <w:tcPr>
            <w:tcW w:w="240" w:type="dxa"/>
            <w:vAlign w:val="bottom"/>
          </w:tcPr>
          <w:p>
            <w:pPr>
              <w:spacing w:after="0"/>
              <w:rPr>
                <w:sz w:val="15"/>
                <w:szCs w:val="15"/>
                <w:color w:val="auto"/>
              </w:rPr>
            </w:pPr>
          </w:p>
        </w:tc>
        <w:tc>
          <w:tcPr>
            <w:tcW w:w="1240" w:type="dxa"/>
            <w:vAlign w:val="bottom"/>
          </w:tcPr>
          <w:p>
            <w:pPr>
              <w:jc w:val="center"/>
              <w:ind w:right="130"/>
              <w:spacing w:after="0" w:line="174" w:lineRule="exact"/>
              <w:rPr>
                <w:sz w:val="20"/>
                <w:szCs w:val="20"/>
                <w:color w:val="auto"/>
              </w:rPr>
            </w:pPr>
            <w:r>
              <w:rPr>
                <w:rFonts w:ascii="Times New Roman" w:cs="Times New Roman" w:eastAsia="Times New Roman" w:hAnsi="Times New Roman"/>
                <w:sz w:val="18"/>
                <w:szCs w:val="18"/>
                <w:color w:val="auto"/>
                <w:w w:val="98"/>
              </w:rPr>
              <w:t>January 28,</w:t>
            </w:r>
          </w:p>
        </w:tc>
        <w:tc>
          <w:tcPr>
            <w:tcW w:w="200" w:type="dxa"/>
            <w:vAlign w:val="bottom"/>
          </w:tcPr>
          <w:p>
            <w:pPr>
              <w:spacing w:after="0"/>
              <w:rPr>
                <w:sz w:val="15"/>
                <w:szCs w:val="15"/>
                <w:color w:val="auto"/>
              </w:rPr>
            </w:pPr>
          </w:p>
        </w:tc>
        <w:tc>
          <w:tcPr>
            <w:tcW w:w="1240" w:type="dxa"/>
            <w:vAlign w:val="bottom"/>
          </w:tcPr>
          <w:p>
            <w:pPr>
              <w:jc w:val="right"/>
              <w:ind w:right="210"/>
              <w:spacing w:after="0" w:line="174" w:lineRule="exact"/>
              <w:rPr>
                <w:sz w:val="20"/>
                <w:szCs w:val="20"/>
                <w:color w:val="auto"/>
              </w:rPr>
            </w:pPr>
            <w:r>
              <w:rPr>
                <w:rFonts w:ascii="Times New Roman" w:cs="Times New Roman" w:eastAsia="Times New Roman" w:hAnsi="Times New Roman"/>
                <w:sz w:val="18"/>
                <w:szCs w:val="18"/>
                <w:color w:val="auto"/>
              </w:rPr>
              <w:t>January 29,</w:t>
            </w:r>
          </w:p>
        </w:tc>
        <w:tc>
          <w:tcPr>
            <w:tcW w:w="0" w:type="dxa"/>
            <w:vAlign w:val="bottom"/>
          </w:tcPr>
          <w:p>
            <w:pPr>
              <w:spacing w:after="0"/>
              <w:rPr>
                <w:sz w:val="1"/>
                <w:szCs w:val="1"/>
                <w:color w:val="auto"/>
              </w:rPr>
            </w:pPr>
          </w:p>
        </w:tc>
      </w:tr>
      <w:tr>
        <w:trPr>
          <w:trHeight w:val="238"/>
        </w:trPr>
        <w:tc>
          <w:tcPr>
            <w:tcW w:w="69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2023</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23"/>
        </w:trPr>
        <w:tc>
          <w:tcPr>
            <w:tcW w:w="6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(53 weeks)</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4,474</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3,498</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3,283</w:t>
            </w:r>
          </w:p>
        </w:tc>
        <w:tc>
          <w:tcPr>
            <w:tcW w:w="0" w:type="dxa"/>
            <w:vAlign w:val="bottom"/>
          </w:tcPr>
          <w:p>
            <w:pPr>
              <w:spacing w:after="0"/>
              <w:rPr>
                <w:sz w:val="1"/>
                <w:szCs w:val="1"/>
                <w:color w:val="auto"/>
              </w:rPr>
            </w:pPr>
          </w:p>
        </w:tc>
      </w:tr>
      <w:tr>
        <w:trPr>
          <w:trHeight w:val="223"/>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other comprehensive income (loss), net of tax:</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6900" w:type="dxa"/>
            <w:vAlign w:val="bottom"/>
            <w:shd w:val="clear" w:color="auto" w:fill="CCEEFF"/>
          </w:tcPr>
          <w:p>
            <w:pPr>
              <w:ind w:left="220"/>
              <w:spacing w:after="0" w:line="184" w:lineRule="exact"/>
              <w:rPr>
                <w:sz w:val="20"/>
                <w:szCs w:val="20"/>
                <w:color w:val="auto"/>
              </w:rPr>
            </w:pPr>
            <w:r>
              <w:rPr>
                <w:rFonts w:ascii="Times New Roman" w:cs="Times New Roman" w:eastAsia="Times New Roman" w:hAnsi="Times New Roman"/>
                <w:sz w:val="18"/>
                <w:szCs w:val="18"/>
                <w:color w:val="auto"/>
              </w:rPr>
              <w:t>Foreign currency translation adjustments, net of related tax benefits of $1 and $7 in fiscal</w:t>
            </w:r>
          </w:p>
        </w:tc>
        <w:tc>
          <w:tcPr>
            <w:tcW w:w="20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2024 and 2023, respectively and tax provision of $0.2 in fiscal 2022</w:t>
            </w:r>
          </w:p>
        </w:tc>
        <w:tc>
          <w:tcPr>
            <w:tcW w:w="200" w:type="dxa"/>
            <w:vAlign w:val="bottom"/>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84"/>
        </w:trPr>
        <w:tc>
          <w:tcPr>
            <w:tcW w:w="690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Recognition of net gains/(losses) on benefit obligations, net of related tax provisions of $16</w:t>
            </w:r>
          </w:p>
        </w:tc>
        <w:tc>
          <w:tcPr>
            <w:tcW w:w="200" w:type="dxa"/>
            <w:vAlign w:val="bottom"/>
          </w:tcPr>
          <w:p>
            <w:pPr>
              <w:spacing w:after="0"/>
              <w:rPr>
                <w:sz w:val="16"/>
                <w:szCs w:val="16"/>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and $41 in fiscal 2024 and 2023, respectively and tax benefit of $18 in fiscal 2022</w:t>
            </w:r>
          </w:p>
        </w:tc>
        <w:tc>
          <w:tcPr>
            <w:tcW w:w="20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Reclassifications from other comprehensive income (loss) to net income: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(loss) on cash flow hedge, net of related tax provisions of $1 in fiscal 2022</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4"/>
        </w:trPr>
        <w:tc>
          <w:tcPr>
            <w:tcW w:w="6900" w:type="dxa"/>
            <w:vAlign w:val="bottom"/>
            <w:shd w:val="clear" w:color="auto" w:fill="CCEEFF"/>
          </w:tcPr>
          <w:p>
            <w:pPr>
              <w:ind w:left="220"/>
              <w:spacing w:after="0" w:line="184" w:lineRule="exact"/>
              <w:rPr>
                <w:sz w:val="20"/>
                <w:szCs w:val="20"/>
                <w:color w:val="auto"/>
              </w:rPr>
            </w:pPr>
            <w:r>
              <w:rPr>
                <w:rFonts w:ascii="Times New Roman" w:cs="Times New Roman" w:eastAsia="Times New Roman" w:hAnsi="Times New Roman"/>
                <w:sz w:val="18"/>
                <w:szCs w:val="18"/>
                <w:color w:val="auto"/>
              </w:rPr>
              <w:t>Amortization of prior service cost and deferred gains, net of related tax provisions of $1, $6</w:t>
            </w:r>
          </w:p>
        </w:tc>
        <w:tc>
          <w:tcPr>
            <w:tcW w:w="20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9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and $5 in fiscal 2024, 2023 and 2022, respectively</w:t>
            </w: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69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3"/>
        </w:trPr>
        <w:tc>
          <w:tcPr>
            <w:tcW w:w="6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4,548</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3,579</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3,203</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color w:val="auto"/>
        </w:rPr>
        <w:t>THE TJX COMPANIES,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SHARE AMOUNTS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3"/>
          </w:tcPr>
          <w:p>
            <w:pPr>
              <w:jc w:val="right"/>
              <w:ind w:right="690"/>
              <w:spacing w:after="0"/>
              <w:rPr>
                <w:sz w:val="20"/>
                <w:szCs w:val="20"/>
                <w:color w:val="auto"/>
              </w:rPr>
            </w:pPr>
            <w:r>
              <w:rPr>
                <w:rFonts w:ascii="Times New Roman" w:cs="Times New Roman" w:eastAsia="Times New Roman" w:hAnsi="Times New Roman"/>
                <w:sz w:val="18"/>
                <w:szCs w:val="18"/>
                <w:color w:val="auto"/>
              </w:rPr>
              <w:t>Fiscal Year Ended</w:t>
            </w:r>
          </w:p>
        </w:tc>
        <w:tc>
          <w:tcPr>
            <w:tcW w:w="0" w:type="dxa"/>
            <w:vAlign w:val="bottom"/>
          </w:tcPr>
          <w:p>
            <w:pPr>
              <w:spacing w:after="0"/>
              <w:rPr>
                <w:sz w:val="1"/>
                <w:szCs w:val="1"/>
                <w:color w:val="auto"/>
              </w:rPr>
            </w:pPr>
          </w:p>
        </w:tc>
      </w:tr>
      <w:tr>
        <w:trPr>
          <w:trHeight w:val="169"/>
        </w:trPr>
        <w:tc>
          <w:tcPr>
            <w:tcW w:w="8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ind w:right="170"/>
              <w:spacing w:after="0" w:line="169" w:lineRule="exact"/>
              <w:rPr>
                <w:sz w:val="20"/>
                <w:szCs w:val="20"/>
                <w:color w:val="auto"/>
              </w:rPr>
            </w:pPr>
            <w:r>
              <w:rPr>
                <w:rFonts w:ascii="Times New Roman" w:cs="Times New Roman" w:eastAsia="Times New Roman" w:hAnsi="Times New Roman"/>
                <w:sz w:val="18"/>
                <w:szCs w:val="18"/>
                <w:b w:val="1"/>
                <w:bCs w:val="1"/>
                <w:color w:val="auto"/>
              </w:rPr>
              <w:t>February 3,</w:t>
            </w:r>
          </w:p>
        </w:tc>
        <w:tc>
          <w:tcPr>
            <w:tcW w:w="200" w:type="dxa"/>
            <w:vAlign w:val="bottom"/>
          </w:tcPr>
          <w:p>
            <w:pPr>
              <w:spacing w:after="0"/>
              <w:rPr>
                <w:sz w:val="14"/>
                <w:szCs w:val="14"/>
                <w:color w:val="auto"/>
              </w:rPr>
            </w:pPr>
          </w:p>
        </w:tc>
        <w:tc>
          <w:tcPr>
            <w:tcW w:w="1240" w:type="dxa"/>
            <w:vAlign w:val="bottom"/>
          </w:tcPr>
          <w:p>
            <w:pPr>
              <w:jc w:val="right"/>
              <w:ind w:right="210"/>
              <w:spacing w:after="0" w:line="169" w:lineRule="exact"/>
              <w:rPr>
                <w:sz w:val="20"/>
                <w:szCs w:val="20"/>
                <w:color w:val="auto"/>
              </w:rPr>
            </w:pPr>
            <w:r>
              <w:rPr>
                <w:rFonts w:ascii="Times New Roman" w:cs="Times New Roman" w:eastAsia="Times New Roman" w:hAnsi="Times New Roman"/>
                <w:sz w:val="18"/>
                <w:szCs w:val="18"/>
                <w:color w:val="auto"/>
              </w:rPr>
              <w:t>January 28,</w:t>
            </w:r>
          </w:p>
        </w:tc>
        <w:tc>
          <w:tcPr>
            <w:tcW w:w="0" w:type="dxa"/>
            <w:vAlign w:val="bottom"/>
          </w:tcPr>
          <w:p>
            <w:pPr>
              <w:spacing w:after="0"/>
              <w:rPr>
                <w:sz w:val="1"/>
                <w:szCs w:val="1"/>
                <w:color w:val="auto"/>
              </w:rPr>
            </w:pPr>
          </w:p>
        </w:tc>
      </w:tr>
      <w:tr>
        <w:trPr>
          <w:trHeight w:val="241"/>
        </w:trPr>
        <w:tc>
          <w:tcPr>
            <w:tcW w:w="8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5"/>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5,477</w:t>
            </w:r>
          </w:p>
        </w:tc>
        <w:tc>
          <w:tcPr>
            <w:tcW w:w="0" w:type="dxa"/>
            <w:vAlign w:val="bottom"/>
          </w:tcPr>
          <w:p>
            <w:pPr>
              <w:spacing w:after="0"/>
              <w:rPr>
                <w:sz w:val="1"/>
                <w:szCs w:val="1"/>
                <w:color w:val="auto"/>
              </w:rPr>
            </w:pPr>
          </w:p>
        </w:tc>
      </w:tr>
      <w:tr>
        <w:trPr>
          <w:trHeight w:val="229"/>
        </w:trPr>
        <w:tc>
          <w:tcPr>
            <w:tcW w:w="8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529</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Merchandise inventories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5,965</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5,819</w:t>
            </w:r>
          </w:p>
        </w:tc>
        <w:tc>
          <w:tcPr>
            <w:tcW w:w="0" w:type="dxa"/>
            <w:vAlign w:val="bottom"/>
          </w:tcPr>
          <w:p>
            <w:pPr>
              <w:spacing w:after="0"/>
              <w:rPr>
                <w:sz w:val="1"/>
                <w:szCs w:val="1"/>
                <w:color w:val="auto"/>
              </w:rPr>
            </w:pPr>
          </w:p>
        </w:tc>
      </w:tr>
      <w:tr>
        <w:trPr>
          <w:trHeight w:val="229"/>
        </w:trPr>
        <w:tc>
          <w:tcPr>
            <w:tcW w:w="8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511</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229"/>
        </w:trPr>
        <w:tc>
          <w:tcPr>
            <w:tcW w:w="83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Federal, state and foreign income taxes recoverable</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23"/>
        </w:trPr>
        <w:tc>
          <w:tcPr>
            <w:tcW w:w="83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12,664</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12,456</w:t>
            </w: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property at cost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6,571</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5,783</w:t>
            </w:r>
          </w:p>
        </w:tc>
        <w:tc>
          <w:tcPr>
            <w:tcW w:w="0" w:type="dxa"/>
            <w:vAlign w:val="bottom"/>
          </w:tcPr>
          <w:p>
            <w:pPr>
              <w:spacing w:after="0"/>
              <w:rPr>
                <w:sz w:val="1"/>
                <w:szCs w:val="1"/>
                <w:color w:val="auto"/>
              </w:rPr>
            </w:pPr>
          </w:p>
        </w:tc>
      </w:tr>
      <w:tr>
        <w:trPr>
          <w:trHeight w:val="22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deferred income taxes, net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172</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9,396</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9,086</w:t>
            </w: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29"/>
        </w:trPr>
        <w:tc>
          <w:tcPr>
            <w:tcW w:w="8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849</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0" w:type="dxa"/>
            <w:vAlign w:val="bottom"/>
          </w:tcPr>
          <w:p>
            <w:pPr>
              <w:spacing w:after="0"/>
              <w:rPr>
                <w:sz w:val="1"/>
                <w:szCs w:val="1"/>
                <w:color w:val="auto"/>
              </w:rPr>
            </w:pPr>
          </w:p>
        </w:tc>
      </w:tr>
      <w:tr>
        <w:trPr>
          <w:trHeight w:val="223"/>
        </w:trPr>
        <w:tc>
          <w:tcPr>
            <w:tcW w:w="8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29,747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28,349</w:t>
            </w: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3,862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3,794</w:t>
            </w:r>
          </w:p>
        </w:tc>
        <w:tc>
          <w:tcPr>
            <w:tcW w:w="0" w:type="dxa"/>
            <w:vAlign w:val="bottom"/>
          </w:tcPr>
          <w:p>
            <w:pPr>
              <w:spacing w:after="0"/>
              <w:rPr>
                <w:sz w:val="1"/>
                <w:szCs w:val="1"/>
                <w:color w:val="auto"/>
              </w:rPr>
            </w:pPr>
          </w:p>
        </w:tc>
      </w:tr>
      <w:tr>
        <w:trPr>
          <w:trHeight w:val="229"/>
        </w:trPr>
        <w:tc>
          <w:tcPr>
            <w:tcW w:w="8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4,870</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4,346</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1,620</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0" w:type="dxa"/>
            <w:vAlign w:val="bottom"/>
          </w:tcPr>
          <w:p>
            <w:pPr>
              <w:spacing w:after="0"/>
              <w:rPr>
                <w:sz w:val="1"/>
                <w:szCs w:val="1"/>
                <w:color w:val="auto"/>
              </w:rPr>
            </w:pPr>
          </w:p>
        </w:tc>
      </w:tr>
      <w:tr>
        <w:trPr>
          <w:trHeight w:val="230"/>
        </w:trPr>
        <w:tc>
          <w:tcPr>
            <w:tcW w:w="8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30"/>
        </w:trPr>
        <w:tc>
          <w:tcPr>
            <w:tcW w:w="83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Federal, state and foreign income taxes payable</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3"/>
        </w:trPr>
        <w:tc>
          <w:tcPr>
            <w:tcW w:w="83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10,451</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10,305</w:t>
            </w: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924</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deferred income taxes, net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148</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8,060</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7,775</w:t>
            </w: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2,862</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(See Note N)</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 authorized 5,000,000 shares, par value $1, no shares issued</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8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authorized 1,800,000,000 shares, par value $1, issued and outstanding 1,133,586,545 and</w:t>
            </w:r>
          </w:p>
        </w:tc>
        <w:tc>
          <w:tcPr>
            <w:tcW w:w="1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1,134</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1,155,437,908 shares, respectively</w:t>
            </w:r>
          </w:p>
        </w:tc>
        <w:tc>
          <w:tcPr>
            <w:tcW w:w="18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(532)</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0" w:type="dxa"/>
            <w:vAlign w:val="bottom"/>
          </w:tcPr>
          <w:p>
            <w:pPr>
              <w:spacing w:after="0"/>
              <w:rPr>
                <w:sz w:val="1"/>
                <w:szCs w:val="1"/>
                <w:color w:val="auto"/>
              </w:rPr>
            </w:pPr>
          </w:p>
        </w:tc>
      </w:tr>
      <w:tr>
        <w:trPr>
          <w:trHeight w:val="229"/>
        </w:trPr>
        <w:tc>
          <w:tcPr>
            <w:tcW w:w="8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6,700</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5,815</w:t>
            </w:r>
          </w:p>
        </w:tc>
        <w:tc>
          <w:tcPr>
            <w:tcW w:w="0" w:type="dxa"/>
            <w:vAlign w:val="bottom"/>
          </w:tcPr>
          <w:p>
            <w:pPr>
              <w:spacing w:after="0"/>
              <w:rPr>
                <w:sz w:val="1"/>
                <w:szCs w:val="1"/>
                <w:color w:val="auto"/>
              </w:rPr>
            </w:pPr>
          </w:p>
        </w:tc>
      </w:tr>
      <w:tr>
        <w:trPr>
          <w:trHeight w:val="223"/>
        </w:trPr>
        <w:tc>
          <w:tcPr>
            <w:tcW w:w="83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7,302</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6,364</w:t>
            </w:r>
          </w:p>
        </w:tc>
        <w:tc>
          <w:tcPr>
            <w:tcW w:w="0" w:type="dxa"/>
            <w:vAlign w:val="bottom"/>
          </w:tcPr>
          <w:p>
            <w:pPr>
              <w:spacing w:after="0"/>
              <w:rPr>
                <w:sz w:val="1"/>
                <w:szCs w:val="1"/>
                <w:color w:val="auto"/>
              </w:rPr>
            </w:pPr>
          </w:p>
        </w:tc>
      </w:tr>
      <w:tr>
        <w:trPr>
          <w:trHeight w:val="223"/>
        </w:trPr>
        <w:tc>
          <w:tcPr>
            <w:tcW w:w="8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29,747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28,349</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1" w:right="35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color w:val="auto"/>
        </w:rPr>
        <w:t>THE TJX COMPANIES,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w w:val="97"/>
              </w:rPr>
              <w:t>Fiscal Year Ended</w:t>
            </w: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169"/>
        </w:trPr>
        <w:tc>
          <w:tcPr>
            <w:tcW w:w="7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rPr>
              <w:t>February 3,</w:t>
            </w:r>
          </w:p>
        </w:tc>
        <w:tc>
          <w:tcPr>
            <w:tcW w:w="180" w:type="dxa"/>
            <w:vAlign w:val="bottom"/>
          </w:tcPr>
          <w:p>
            <w:pPr>
              <w:spacing w:after="0"/>
              <w:rPr>
                <w:sz w:val="14"/>
                <w:szCs w:val="14"/>
                <w:color w:val="auto"/>
              </w:rPr>
            </w:pPr>
          </w:p>
        </w:tc>
        <w:tc>
          <w:tcPr>
            <w:tcW w:w="1160" w:type="dxa"/>
            <w:vAlign w:val="bottom"/>
          </w:tcPr>
          <w:p>
            <w:pPr>
              <w:jc w:val="right"/>
              <w:ind w:right="150"/>
              <w:spacing w:after="0" w:line="169" w:lineRule="exact"/>
              <w:rPr>
                <w:sz w:val="20"/>
                <w:szCs w:val="20"/>
                <w:color w:val="auto"/>
              </w:rPr>
            </w:pPr>
            <w:r>
              <w:rPr>
                <w:rFonts w:ascii="Times New Roman" w:cs="Times New Roman" w:eastAsia="Times New Roman" w:hAnsi="Times New Roman"/>
                <w:sz w:val="18"/>
                <w:szCs w:val="18"/>
                <w:color w:val="auto"/>
              </w:rPr>
              <w:t>January 28,</w:t>
            </w:r>
          </w:p>
        </w:tc>
        <w:tc>
          <w:tcPr>
            <w:tcW w:w="180" w:type="dxa"/>
            <w:vAlign w:val="bottom"/>
          </w:tcPr>
          <w:p>
            <w:pPr>
              <w:spacing w:after="0"/>
              <w:rPr>
                <w:sz w:val="14"/>
                <w:szCs w:val="14"/>
                <w:color w:val="auto"/>
              </w:rPr>
            </w:pPr>
          </w:p>
        </w:tc>
        <w:tc>
          <w:tcPr>
            <w:tcW w:w="1160" w:type="dxa"/>
            <w:vAlign w:val="bottom"/>
          </w:tcPr>
          <w:p>
            <w:pPr>
              <w:jc w:val="right"/>
              <w:ind w:right="170"/>
              <w:spacing w:after="0" w:line="169" w:lineRule="exact"/>
              <w:rPr>
                <w:sz w:val="20"/>
                <w:szCs w:val="20"/>
                <w:color w:val="auto"/>
              </w:rPr>
            </w:pPr>
            <w:r>
              <w:rPr>
                <w:rFonts w:ascii="Times New Roman" w:cs="Times New Roman" w:eastAsia="Times New Roman" w:hAnsi="Times New Roman"/>
                <w:sz w:val="18"/>
                <w:szCs w:val="18"/>
                <w:color w:val="auto"/>
              </w:rPr>
              <w:t>January 29,</w:t>
            </w:r>
          </w:p>
        </w:tc>
      </w:tr>
      <w:tr>
        <w:trPr>
          <w:trHeight w:val="241"/>
        </w:trPr>
        <w:tc>
          <w:tcPr>
            <w:tcW w:w="7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r>
      <w:tr>
        <w:trPr>
          <w:trHeight w:val="225"/>
        </w:trPr>
        <w:tc>
          <w:tcPr>
            <w:tcW w:w="7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(53 weeks)</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7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4,474</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3,283</w:t>
            </w:r>
          </w:p>
        </w:tc>
      </w:tr>
      <w:tr>
        <w:trPr>
          <w:trHeight w:val="229"/>
        </w:trPr>
        <w:tc>
          <w:tcPr>
            <w:tcW w:w="7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7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964</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r>
      <w:tr>
        <w:trPr>
          <w:trHeight w:val="230"/>
        </w:trPr>
        <w:tc>
          <w:tcPr>
            <w:tcW w:w="7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Impairment on equity investment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30"/>
        </w:trPr>
        <w:tc>
          <w:tcPr>
            <w:tcW w:w="7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Loss on property disposals and impairment charges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7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Deferred income tax (benefit) provision</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9"/>
        </w:trPr>
        <w:tc>
          <w:tcPr>
            <w:tcW w:w="7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30"/>
        </w:trPr>
        <w:tc>
          <w:tcPr>
            <w:tcW w:w="7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72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Decrease (increase) in accounts receivable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0"/>
        </w:trPr>
        <w:tc>
          <w:tcPr>
            <w:tcW w:w="72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(Increase) decrease in merchandise inventories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(145)</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w:t>
            </w:r>
          </w:p>
        </w:tc>
      </w:tr>
      <w:tr>
        <w:trPr>
          <w:trHeight w:val="229"/>
        </w:trPr>
        <w:tc>
          <w:tcPr>
            <w:tcW w:w="72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Decrease (increase) in income taxes recoverable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9"/>
        </w:trPr>
        <w:tc>
          <w:tcPr>
            <w:tcW w:w="72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(Increase) decrease in prepaid expenses and other current assets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72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Increase (decrease) in accounts payable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29"/>
        </w:trPr>
        <w:tc>
          <w:tcPr>
            <w:tcW w:w="72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Increase (decrease) in accrued expenses and other liabilities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443</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r>
      <w:tr>
        <w:trPr>
          <w:trHeight w:val="229"/>
        </w:trPr>
        <w:tc>
          <w:tcPr>
            <w:tcW w:w="72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Increase (decrease) in income taxes payable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72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(Decrease) in net operating lease liabilities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29"/>
        </w:trPr>
        <w:tc>
          <w:tcPr>
            <w:tcW w:w="724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net</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72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6,057</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4,084</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3,057</w:t>
            </w:r>
          </w:p>
        </w:tc>
      </w:tr>
      <w:tr>
        <w:trPr>
          <w:trHeight w:val="223"/>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7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additions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(1,722)</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w:t>
            </w:r>
          </w:p>
        </w:tc>
      </w:tr>
      <w:tr>
        <w:trPr>
          <w:trHeight w:val="230"/>
        </w:trPr>
        <w:tc>
          <w:tcPr>
            <w:tcW w:w="7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 of investments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72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Sales and maturities of investments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724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(1,717)</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(1,470)</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(1,046)</w:t>
            </w:r>
          </w:p>
        </w:tc>
      </w:tr>
      <w:tr>
        <w:trPr>
          <w:trHeight w:val="22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7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for repurchase of common stock</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(2,484)</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w:t>
            </w:r>
          </w:p>
        </w:tc>
      </w:tr>
      <w:tr>
        <w:trPr>
          <w:trHeight w:val="230"/>
        </w:trPr>
        <w:tc>
          <w:tcPr>
            <w:tcW w:w="7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285</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29"/>
        </w:trPr>
        <w:tc>
          <w:tcPr>
            <w:tcW w:w="7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dividends paid</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(1,484)</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w:t>
            </w:r>
          </w:p>
        </w:tc>
      </w:tr>
      <w:tr>
        <w:trPr>
          <w:trHeight w:val="230"/>
        </w:trPr>
        <w:tc>
          <w:tcPr>
            <w:tcW w:w="7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Repayment of debt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(500)</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(2,976)</w:t>
            </w:r>
          </w:p>
        </w:tc>
      </w:tr>
      <w:tr>
        <w:trPr>
          <w:trHeight w:val="230"/>
        </w:trPr>
        <w:tc>
          <w:tcPr>
            <w:tcW w:w="724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72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(4,215)</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(3,306)</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(6,200)</w:t>
            </w:r>
          </w:p>
        </w:tc>
      </w:tr>
      <w:tr>
        <w:trPr>
          <w:trHeight w:val="223"/>
        </w:trPr>
        <w:tc>
          <w:tcPr>
            <w:tcW w:w="7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(4,243)</w:t>
            </w:r>
          </w:p>
        </w:tc>
      </w:tr>
      <w:tr>
        <w:trPr>
          <w:trHeight w:val="230"/>
        </w:trPr>
        <w:tc>
          <w:tcPr>
            <w:tcW w:w="7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5,477</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6,227</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10,470</w:t>
            </w:r>
          </w:p>
        </w:tc>
      </w:tr>
      <w:tr>
        <w:trPr>
          <w:trHeight w:val="223"/>
        </w:trPr>
        <w:tc>
          <w:tcPr>
            <w:tcW w:w="7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year</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5,600</w:t>
            </w: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5,477</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6,227</w:t>
            </w: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color w:val="auto"/>
        </w:rPr>
        <w:t>THE TJX COMPANIES,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000" w:type="dxa"/>
            <w:vAlign w:val="bottom"/>
          </w:tcPr>
          <w:p>
            <w:pPr>
              <w:spacing w:after="0"/>
              <w:rPr>
                <w:sz w:val="19"/>
                <w:szCs w:val="19"/>
                <w:color w:val="auto"/>
              </w:rPr>
            </w:pPr>
          </w:p>
        </w:tc>
        <w:tc>
          <w:tcPr>
            <w:tcW w:w="236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tcPr>
          <w:p>
            <w:pPr>
              <w:spacing w:after="0"/>
              <w:rPr>
                <w:sz w:val="19"/>
                <w:szCs w:val="19"/>
                <w:color w:val="auto"/>
              </w:rPr>
            </w:pPr>
          </w:p>
        </w:tc>
        <w:tc>
          <w:tcPr>
            <w:tcW w:w="122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Additional</w:t>
            </w:r>
          </w:p>
        </w:tc>
        <w:tc>
          <w:tcPr>
            <w:tcW w:w="160" w:type="dxa"/>
            <w:vAlign w:val="bottom"/>
          </w:tcPr>
          <w:p>
            <w:pPr>
              <w:spacing w:after="0"/>
              <w:rPr>
                <w:sz w:val="19"/>
                <w:szCs w:val="19"/>
                <w:color w:val="auto"/>
              </w:rPr>
            </w:pPr>
          </w:p>
        </w:tc>
        <w:tc>
          <w:tcPr>
            <w:tcW w:w="1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Accumulated</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3000" w:type="dxa"/>
            <w:vAlign w:val="bottom"/>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22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360" w:type="dxa"/>
            <w:vAlign w:val="bottom"/>
            <w:vMerge w:val="restart"/>
          </w:tcPr>
          <w:p>
            <w:pPr>
              <w:jc w:val="center"/>
              <w:ind w:right="70"/>
              <w:spacing w:after="0" w:line="149" w:lineRule="exact"/>
              <w:rPr>
                <w:sz w:val="20"/>
                <w:szCs w:val="20"/>
                <w:color w:val="auto"/>
              </w:rPr>
            </w:pPr>
            <w:r>
              <w:rPr>
                <w:rFonts w:ascii="Times New Roman" w:cs="Times New Roman" w:eastAsia="Times New Roman" w:hAnsi="Times New Roman"/>
                <w:sz w:val="17"/>
                <w:szCs w:val="17"/>
                <w:color w:val="auto"/>
              </w:rPr>
              <w:t>Other</w:t>
            </w:r>
          </w:p>
        </w:tc>
        <w:tc>
          <w:tcPr>
            <w:tcW w:w="2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3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Par Value</w:t>
            </w:r>
          </w:p>
        </w:tc>
        <w:tc>
          <w:tcPr>
            <w:tcW w:w="22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18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Retained</w:t>
            </w: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3000" w:type="dxa"/>
            <w:vAlign w:val="bottom"/>
          </w:tcPr>
          <w:p>
            <w:pPr>
              <w:spacing w:after="0"/>
              <w:rPr>
                <w:sz w:val="15"/>
                <w:szCs w:val="15"/>
                <w:color w:val="auto"/>
              </w:rPr>
            </w:pPr>
          </w:p>
        </w:tc>
        <w:tc>
          <w:tcPr>
            <w:tcW w:w="118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Shares</w:t>
            </w:r>
          </w:p>
        </w:tc>
        <w:tc>
          <w:tcPr>
            <w:tcW w:w="1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ind w:right="370"/>
              <w:spacing w:after="0" w:line="176" w:lineRule="exact"/>
              <w:rPr>
                <w:sz w:val="20"/>
                <w:szCs w:val="20"/>
                <w:color w:val="auto"/>
              </w:rPr>
            </w:pPr>
            <w:r>
              <w:rPr>
                <w:rFonts w:ascii="Times New Roman" w:cs="Times New Roman" w:eastAsia="Times New Roman" w:hAnsi="Times New Roman"/>
                <w:sz w:val="18"/>
                <w:szCs w:val="18"/>
                <w:color w:val="auto"/>
              </w:rPr>
              <w:t>Paid-In</w:t>
            </w:r>
          </w:p>
        </w:tc>
        <w:tc>
          <w:tcPr>
            <w:tcW w:w="160" w:type="dxa"/>
            <w:vAlign w:val="bottom"/>
          </w:tcPr>
          <w:p>
            <w:pPr>
              <w:spacing w:after="0"/>
              <w:rPr>
                <w:sz w:val="15"/>
                <w:szCs w:val="15"/>
                <w:color w:val="auto"/>
              </w:rPr>
            </w:pPr>
          </w:p>
        </w:tc>
        <w:tc>
          <w:tcPr>
            <w:tcW w:w="136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99"/>
              </w:rPr>
              <w:t>Comprehensive</w:t>
            </w:r>
          </w:p>
        </w:tc>
        <w:tc>
          <w:tcPr>
            <w:tcW w:w="2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9"/>
        </w:trPr>
        <w:tc>
          <w:tcPr>
            <w:tcW w:w="30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Capital</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(Loss) Income</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Earnings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January 30, 2021</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(607)</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4,974</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5,833</w:t>
            </w:r>
          </w:p>
        </w:tc>
        <w:tc>
          <w:tcPr>
            <w:tcW w:w="0" w:type="dxa"/>
            <w:vAlign w:val="bottom"/>
          </w:tcPr>
          <w:p>
            <w:pPr>
              <w:spacing w:after="0"/>
              <w:rPr>
                <w:sz w:val="1"/>
                <w:szCs w:val="1"/>
                <w:color w:val="auto"/>
              </w:rPr>
            </w:pPr>
          </w:p>
        </w:tc>
      </w:tr>
      <w:tr>
        <w:trPr>
          <w:trHeight w:val="229"/>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184"/>
        </w:trPr>
        <w:tc>
          <w:tcPr>
            <w:tcW w:w="30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Cash dividends declared on common</w:t>
            </w: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0" w:type="dxa"/>
            <w:vAlign w:val="bottom"/>
          </w:tcPr>
          <w:p>
            <w:pPr>
              <w:spacing w:after="0"/>
              <w:rPr>
                <w:sz w:val="1"/>
                <w:szCs w:val="1"/>
                <w:color w:val="auto"/>
              </w:rPr>
            </w:pPr>
          </w:p>
        </w:tc>
      </w:tr>
      <w:tr>
        <w:trPr>
          <w:trHeight w:val="184"/>
        </w:trPr>
        <w:tc>
          <w:tcPr>
            <w:tcW w:w="30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Recognition of share-based</w:t>
            </w:r>
          </w:p>
        </w:tc>
        <w:tc>
          <w:tcPr>
            <w:tcW w:w="1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184"/>
        </w:trPr>
        <w:tc>
          <w:tcPr>
            <w:tcW w:w="30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Issuance of common stock under stock</w:t>
            </w: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incentive plan and related tax effect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29"/>
        </w:trPr>
        <w:tc>
          <w:tcPr>
            <w:tcW w:w="3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0" w:type="dxa"/>
            <w:vAlign w:val="bottom"/>
          </w:tcPr>
          <w:p>
            <w:pPr>
              <w:spacing w:after="0"/>
              <w:rPr>
                <w:sz w:val="1"/>
                <w:szCs w:val="1"/>
                <w:color w:val="auto"/>
              </w:rPr>
            </w:pPr>
          </w:p>
        </w:tc>
      </w:tr>
      <w:tr>
        <w:trPr>
          <w:trHeight w:val="223"/>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January 29, 2022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(687)</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5,509</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6,003</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3,498</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3,498</w:t>
            </w: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184"/>
        </w:trPr>
        <w:tc>
          <w:tcPr>
            <w:tcW w:w="30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Cash dividends declared on common</w:t>
            </w:r>
          </w:p>
        </w:tc>
        <w:tc>
          <w:tcPr>
            <w:tcW w:w="1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0" w:type="dxa"/>
            <w:vAlign w:val="bottom"/>
          </w:tcPr>
          <w:p>
            <w:pPr>
              <w:spacing w:after="0"/>
              <w:rPr>
                <w:sz w:val="1"/>
                <w:szCs w:val="1"/>
                <w:color w:val="auto"/>
              </w:rPr>
            </w:pPr>
          </w:p>
        </w:tc>
      </w:tr>
      <w:tr>
        <w:trPr>
          <w:trHeight w:val="184"/>
        </w:trPr>
        <w:tc>
          <w:tcPr>
            <w:tcW w:w="30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Recognition of share-based</w:t>
            </w: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184"/>
        </w:trPr>
        <w:tc>
          <w:tcPr>
            <w:tcW w:w="30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Issuance of common stock under stock</w:t>
            </w:r>
          </w:p>
        </w:tc>
        <w:tc>
          <w:tcPr>
            <w:tcW w:w="1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incentive plan and related tax effect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30"/>
        </w:trPr>
        <w:tc>
          <w:tcPr>
            <w:tcW w:w="3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0" w:type="dxa"/>
            <w:vAlign w:val="bottom"/>
          </w:tcPr>
          <w:p>
            <w:pPr>
              <w:spacing w:after="0"/>
              <w:rPr>
                <w:sz w:val="1"/>
                <w:szCs w:val="1"/>
                <w:color w:val="auto"/>
              </w:rPr>
            </w:pPr>
          </w:p>
        </w:tc>
      </w:tr>
      <w:tr>
        <w:trPr>
          <w:trHeight w:val="223"/>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January 28, 2023</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(606)</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5,815</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6,364</w:t>
            </w: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4,474</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4,474</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0" w:type="dxa"/>
            <w:vAlign w:val="bottom"/>
          </w:tcPr>
          <w:p>
            <w:pPr>
              <w:spacing w:after="0"/>
              <w:rPr>
                <w:sz w:val="1"/>
                <w:szCs w:val="1"/>
                <w:color w:val="auto"/>
              </w:rPr>
            </w:pPr>
          </w:p>
        </w:tc>
      </w:tr>
      <w:tr>
        <w:trPr>
          <w:trHeight w:val="184"/>
        </w:trPr>
        <w:tc>
          <w:tcPr>
            <w:tcW w:w="30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Cash dividends declared on common</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6"/>
                <w:szCs w:val="16"/>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6"/>
                <w:szCs w:val="16"/>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(1,522)</w:t>
            </w:r>
          </w:p>
        </w:tc>
        <w:tc>
          <w:tcPr>
            <w:tcW w:w="34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(1,522)</w:t>
            </w:r>
          </w:p>
        </w:tc>
        <w:tc>
          <w:tcPr>
            <w:tcW w:w="0" w:type="dxa"/>
            <w:vAlign w:val="bottom"/>
          </w:tcPr>
          <w:p>
            <w:pPr>
              <w:spacing w:after="0"/>
              <w:rPr>
                <w:sz w:val="1"/>
                <w:szCs w:val="1"/>
                <w:color w:val="auto"/>
              </w:rPr>
            </w:pPr>
          </w:p>
        </w:tc>
      </w:tr>
      <w:tr>
        <w:trPr>
          <w:trHeight w:val="234"/>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w:t>
            </w:r>
          </w:p>
        </w:tc>
        <w:tc>
          <w:tcPr>
            <w:tcW w:w="11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0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Recognition of share-based</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w:t>
            </w:r>
          </w:p>
        </w:tc>
        <w:tc>
          <w:tcPr>
            <w:tcW w:w="160" w:type="dxa"/>
            <w:vAlign w:val="bottom"/>
            <w:shd w:val="clear" w:color="auto" w:fill="CCEEFF"/>
          </w:tcPr>
          <w:p>
            <w:pPr>
              <w:spacing w:after="0"/>
              <w:rPr>
                <w:sz w:val="16"/>
                <w:szCs w:val="16"/>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6"/>
                <w:szCs w:val="16"/>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w:t>
            </w:r>
          </w:p>
        </w:tc>
        <w:tc>
          <w:tcPr>
            <w:tcW w:w="0" w:type="dxa"/>
            <w:vAlign w:val="bottom"/>
          </w:tcPr>
          <w:p>
            <w:pPr>
              <w:spacing w:after="0"/>
              <w:rPr>
                <w:sz w:val="1"/>
                <w:szCs w:val="1"/>
                <w:color w:val="auto"/>
              </w:rPr>
            </w:pPr>
          </w:p>
        </w:tc>
      </w:tr>
      <w:tr>
        <w:trPr>
          <w:trHeight w:val="234"/>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w:t>
            </w:r>
          </w:p>
        </w:tc>
        <w:tc>
          <w:tcPr>
            <w:tcW w:w="118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vMerge w:val="continue"/>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vMerge w:val="continue"/>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0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Issuance of common stock under stock</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8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20" w:type="dxa"/>
            <w:vAlign w:val="bottom"/>
          </w:tcPr>
          <w:p>
            <w:pPr>
              <w:spacing w:after="0"/>
              <w:rPr>
                <w:sz w:val="16"/>
                <w:szCs w:val="16"/>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248</w:t>
            </w:r>
          </w:p>
        </w:tc>
        <w:tc>
          <w:tcPr>
            <w:tcW w:w="160" w:type="dxa"/>
            <w:vAlign w:val="bottom"/>
          </w:tcPr>
          <w:p>
            <w:pPr>
              <w:spacing w:after="0"/>
              <w:rPr>
                <w:sz w:val="16"/>
                <w:szCs w:val="16"/>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34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255</w:t>
            </w:r>
          </w:p>
        </w:tc>
        <w:tc>
          <w:tcPr>
            <w:tcW w:w="0" w:type="dxa"/>
            <w:vAlign w:val="bottom"/>
          </w:tcPr>
          <w:p>
            <w:pPr>
              <w:spacing w:after="0"/>
              <w:rPr>
                <w:sz w:val="1"/>
                <w:szCs w:val="1"/>
                <w:color w:val="auto"/>
              </w:rPr>
            </w:pPr>
          </w:p>
        </w:tc>
      </w:tr>
      <w:tr>
        <w:trPr>
          <w:trHeight w:val="234"/>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incentive plan and related tax effect</w:t>
            </w:r>
          </w:p>
        </w:tc>
        <w:tc>
          <w:tcPr>
            <w:tcW w:w="11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(408)</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(2,066)</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(2,503)</w:t>
            </w:r>
          </w:p>
        </w:tc>
        <w:tc>
          <w:tcPr>
            <w:tcW w:w="0" w:type="dxa"/>
            <w:vAlign w:val="bottom"/>
          </w:tcPr>
          <w:p>
            <w:pPr>
              <w:spacing w:after="0"/>
              <w:rPr>
                <w:sz w:val="1"/>
                <w:szCs w:val="1"/>
                <w:color w:val="auto"/>
              </w:rPr>
            </w:pPr>
          </w:p>
        </w:tc>
      </w:tr>
      <w:tr>
        <w:trPr>
          <w:trHeight w:val="223"/>
        </w:trPr>
        <w:tc>
          <w:tcPr>
            <w:tcW w:w="3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February 3, 2024</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1,134</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(532)</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6,700</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7,302</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A. Basis of Presentation and Summary of Accounting Policies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of Presentation</w:t>
      </w:r>
    </w:p>
    <w:p>
      <w:pPr>
        <w:spacing w:after="0" w:line="11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and Notes thereto of The TJX Companies, Inc. (referred to as “TJX,” “we” or “the Company”) have been prepared in accordance with accounting principles generally accepted in the United States of America (“GAAP”) and include the consolidated financial statements of all of TJX’s subsidiaries, all of which are wholly owned. All of the Company's activities are conducted by TJX or its subsidiaries and are consolidated in these consolidated financial statements. All intercompany transactions have been eliminated in consolidation.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Fiscal Year</w:t>
      </w:r>
    </w:p>
    <w:p>
      <w:pPr>
        <w:spacing w:after="0" w:line="130"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TJX’s fiscal year ends on the Saturday nearest to the last day of January of each year. The fiscal year ended February 3, 2024 (“fiscal 2024”) is a 53-week fiscal year. The fiscal years ended January 28, 2023 (“fiscal 2023”) and January 29, 2022 (“fiscal 2022”) were 52-week fiscal years. Fiscal 2025 will be a 52-week fiscal year and will end February 1, 2025.</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Use of Estimates</w:t>
      </w:r>
    </w:p>
    <w:p>
      <w:pPr>
        <w:spacing w:after="0" w:line="13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liabilities at the date of the financial statements as well as the reported amounts of revenues and expenses during the reporting period. TJX considers its accounting policies relating to inventory valuation, reserves for uncertain tax positions and loss contingencies to be the most significant accounting policies that involve management estimates and judgments. Actual amounts could differ from these estimates, and such differences could be material.</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Summary of Accounting Policies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Sales</w:t>
      </w:r>
    </w:p>
    <w:p>
      <w:pPr>
        <w:spacing w:after="0" w:line="11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Net sales consist primarily of merchandise sales, which are recorded net of a reserve for estimated returns, any discounts and sales taxes, for the sales of merchandise both within our stores and online. Net sales also include an immaterial amount of other revenues that represent less than 1% of total revenues, including revenue generated by the TJX-branded credit card program. In addition, certain customers, primarily Associates, may receive discounts that are accounted for as consideration reducing the transaction price. Merchandise sales from our stores are recognized at the point of sale when TJX provides the merchandise to the customer. The performance obligation is fulfilled at this point when the customer has obtained control by paying for and leaving with the merchandise. Merchandise sales made online are recognized when the product has been shipped, which is when legal title has passed and when TJX is entitled to payment, and the customer has obtained the ability to direct the use of and obtain substantially all of the remaining benefits from the goods. Shipping and handling activities related to online sales occur after the customer obtains control of the goods. TJX’s policy is to treat shipping costs as part of our fulfillment center costs within our operating expenditures. As a result, shipping fee revenues received are recognized when control of the goods transfer to the customer and are recorded as net sales. Shipping and handling costs incurred by TJX are included in cost of sales, including buying and occupancy costs. TJX disaggregates revenue by operating segment, see Note G—Segment Information.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Deferred Gift Card Revenue</w:t>
      </w:r>
    </w:p>
    <w:p>
      <w:pPr>
        <w:spacing w:after="0" w:line="13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Proceeds from the sale of gift cards as well as the value of store cards issued to customers as a result of a return or exchange are deferred until the customers use the cards to acquire merchandise, as TJX does not fulfill its performance obligation until the gift card has been redeemed. While gift cards have an indefinite life, substantially all are redeemed in the first year of issuance.</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deferred gift card revenue activity:</w:t>
            </w:r>
          </w:p>
        </w:tc>
        <w:tc>
          <w:tcPr>
            <w:tcW w:w="20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03"/>
        </w:trPr>
        <w:tc>
          <w:tcPr>
            <w:tcW w:w="64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60" w:type="dxa"/>
            <w:vAlign w:val="bottom"/>
          </w:tcPr>
          <w:p>
            <w:pPr>
              <w:jc w:val="center"/>
              <w:ind w:right="110"/>
              <w:spacing w:after="0" w:line="202" w:lineRule="exact"/>
              <w:rPr>
                <w:sz w:val="20"/>
                <w:szCs w:val="20"/>
                <w:color w:val="auto"/>
              </w:rPr>
            </w:pPr>
            <w:r>
              <w:rPr>
                <w:rFonts w:ascii="Times New Roman" w:cs="Times New Roman" w:eastAsia="Times New Roman" w:hAnsi="Times New Roman"/>
                <w:sz w:val="18"/>
                <w:szCs w:val="18"/>
                <w:b w:val="1"/>
                <w:bCs w:val="1"/>
                <w:color w:val="auto"/>
                <w:w w:val="98"/>
              </w:rPr>
              <w:t>February 3,</w:t>
            </w:r>
          </w:p>
        </w:tc>
        <w:tc>
          <w:tcPr>
            <w:tcW w:w="200" w:type="dxa"/>
            <w:vAlign w:val="bottom"/>
          </w:tcPr>
          <w:p>
            <w:pPr>
              <w:spacing w:after="0"/>
              <w:rPr>
                <w:sz w:val="17"/>
                <w:szCs w:val="17"/>
                <w:color w:val="auto"/>
              </w:rPr>
            </w:pPr>
          </w:p>
        </w:tc>
        <w:tc>
          <w:tcPr>
            <w:tcW w:w="1240" w:type="dxa"/>
            <w:vAlign w:val="bottom"/>
          </w:tcPr>
          <w:p>
            <w:pPr>
              <w:jc w:val="right"/>
              <w:ind w:right="210"/>
              <w:spacing w:after="0" w:line="202" w:lineRule="exact"/>
              <w:rPr>
                <w:sz w:val="20"/>
                <w:szCs w:val="20"/>
                <w:color w:val="auto"/>
              </w:rPr>
            </w:pPr>
            <w:r>
              <w:rPr>
                <w:rFonts w:ascii="Times New Roman" w:cs="Times New Roman" w:eastAsia="Times New Roman" w:hAnsi="Times New Roman"/>
                <w:sz w:val="18"/>
                <w:szCs w:val="18"/>
                <w:color w:val="auto"/>
              </w:rPr>
              <w:t>January 28,</w:t>
            </w:r>
          </w:p>
        </w:tc>
      </w:tr>
      <w:tr>
        <w:trPr>
          <w:trHeight w:val="241"/>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0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r>
      <w:tr>
        <w:trPr>
          <w:trHeight w:val="225"/>
        </w:trPr>
        <w:tc>
          <w:tcPr>
            <w:tcW w:w="64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(53 weeks)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beginning of year</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0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w:t>
            </w: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rates changes on deferred revenue</w:t>
            </w:r>
          </w:p>
        </w:tc>
        <w:tc>
          <w:tcPr>
            <w:tcW w:w="20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Revenue recognized</w:t>
            </w:r>
          </w:p>
        </w:tc>
        <w:tc>
          <w:tcPr>
            <w:tcW w:w="20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(1,967)</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(1,886)</w:t>
            </w:r>
          </w:p>
        </w:tc>
      </w:tr>
      <w:tr>
        <w:trPr>
          <w:trHeight w:val="223"/>
        </w:trPr>
        <w:tc>
          <w:tcPr>
            <w:tcW w:w="6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end of year</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773</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55" w:name="page56"/>
    <w:bookmarkEnd w:id="55"/>
    <w:p>
      <w:pPr>
        <w:ind w:right="20"/>
        <w:spacing w:after="0" w:line="256" w:lineRule="auto"/>
        <w:rPr>
          <w:sz w:val="20"/>
          <w:szCs w:val="20"/>
          <w:color w:val="auto"/>
        </w:rPr>
      </w:pPr>
      <w:r>
        <w:rPr>
          <w:rFonts w:ascii="Times New Roman" w:cs="Times New Roman" w:eastAsia="Times New Roman" w:hAnsi="Times New Roman"/>
          <w:sz w:val="18"/>
          <w:szCs w:val="18"/>
          <w:color w:val="auto"/>
        </w:rPr>
        <w:t>TJX recognized $2 billion in gift card revenue in fiscal 2024 and $1.9 billion in fiscal 2023 and $1.7 billion in fiscal 2022. Gift cards are combined in one homogeneous pool and are not separately identifiable. As such, the revenue recognized consists of gift cards that were part of the deferred revenue balance at the beginning of the period as well as gift cards that were issued during the period. Based on historical experience, the Company estimates the amount of gift cards and store cards that will not be redeemed (referred to as breakage) and, to the extent allowed by local law, these amounts are amortized into income over the estimated redemption period. Revenue recognized from breakage was $36 million in fiscal 2024, $44 million in fiscal 2023 and $21 million in fiscal 2022.</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Sales Return Reserve</w:t>
      </w:r>
    </w:p>
    <w:p>
      <w:pPr>
        <w:spacing w:after="0" w:line="13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Company's products are generally sold with a right of return and the Company may provide other credits or incentives, which are accounted for as variable consideration when estimating the amount of revenue to recognize. The Company has elected to apply the portfolio practical expedient. The Company estimates the variable consideration using the expected value method when calculating the returns reserve because the difference in applying it to the individual contract would not differ materially. Returns are estimated based on historical experience and are required to be established and presented at the gross sales value with an asset established for the estimated value of the merchandise returned separately from the refund liability. Liabilities for return allowances are included in “Accrued expenses and other current liabilities” and the estimated value of the merchandise to be returned is included in “Prepaid expenses and other current assets” on the Company’s Consolidated Balance Sheets.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Consolidated Statements of Income Classifications</w:t>
      </w:r>
    </w:p>
    <w:p>
      <w:pPr>
        <w:spacing w:after="0" w:line="11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Cost of sales, including buying and occupancy costs, includes the cost of merchandise sold including foreign currency gains and losses on merchandise purchases denominated in other currencies; gains and losses on inventory and fuel-related derivative contracts; asset retirement obligation costs; divisional occupancy costs (including real estate taxes, utility and maintenance costs and fixed asset depreciation); the costs of operating distribution centers; payroll, benefits and travel costs directly associated with buying inventory; and systems costs related to the buying and tracking of inventory.</w:t>
      </w:r>
    </w:p>
    <w:p>
      <w:pPr>
        <w:spacing w:after="0" w:line="7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include store payroll, benefits and supplies costs; communication costs; credit and check expenses; advertising; administrative and field management payroll, benefits and travel costs; corporate administrative costs and depreciation; gains and losses on non-inventory related foreign currency exchange contracts; and other miscellaneous income and expense items.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and Cash Equivalents</w:t>
      </w:r>
    </w:p>
    <w:p>
      <w:pPr>
        <w:spacing w:after="0" w:line="13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TJX generally considers highly liquid investments with a maturity of 90 days or less at the date of purchase to be cash equivalents. If applicable, investments with maturities greater than 90 days but less than one year at the date of purchase are included in short-term investments. These investments are classified as trading securities and are stated at fair value. Investments are classified as either short-term or long-term based on their original maturities. TJX’s investments are primarily high-grade commercial paper, institutional money market funds and time deposits with major banks.</w:t>
      </w:r>
    </w:p>
    <w:p>
      <w:pPr>
        <w:spacing w:after="0" w:line="7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of February 3, 2024, TJX’s cash and cash equivalents held outside the U.S. were $1.4 billion, of which $804 million was held in countries where TJX has the intention to reinvest any undistributed earnings indefinitely.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Merchandise Inventories</w:t>
      </w:r>
    </w:p>
    <w:p>
      <w:pPr>
        <w:spacing w:after="0" w:line="11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Inventories are stated at the lower of cost or market. TJX uses the retail method for valuing inventories at all of its businesses, except TK Maxx in Australia which is immaterial. The businesses that utilize the retail method have some inventory that is initially valued at cost before the retail method is applied as that inventory has not been fully processed for sale (i.e. inventory in transit and unprocessed inventory in the Company’s distribution centers). Under the retail method, TJX utilizes a permanent markdown strategy and lowers the cost value of the inventory that is subject to markdown at the time the retail prices are lowered in the stores. TJX records inventory at the time title transfers, which is typically at the time when inventory is shipped. As a result, Merchandise inventories on TJX’s Consolidated Balance Sheets include in-transit inventory of $1.3 billion at both February 3, 2024 and January 28, 2023. Comparable amounts were reflected in Accounts payable at those dates.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Common Stock and Equity</w:t>
      </w:r>
    </w:p>
    <w:p>
      <w:pPr>
        <w:spacing w:after="0" w:line="13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Equity transactions consist primarily of the repurchase by TJX of its common stock under its stock repurchase programs and the recognition of compensation expense and issuance of common stock under TJX’s Stock Incentive Plan. Under TJX’s stock repurchase programs, the Company repurchases its common stock on the open market. The par value of the shares repurchased is charged to Common stock with the excess of the purchase price over par first charged against any available Additional paid-in capital (“APIC”) and the balance charged to Retained earnings. Due to the volume of share repurchases under previous programs, TJX has historically had no remaining balance in APIC. All shares repurchased have been retired.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56" w:name="page57"/>
    <w:bookmarkEnd w:id="56"/>
    <w:p>
      <w:pPr>
        <w:ind w:right="200"/>
        <w:spacing w:after="0" w:line="266" w:lineRule="auto"/>
        <w:rPr>
          <w:sz w:val="20"/>
          <w:szCs w:val="20"/>
          <w:color w:val="auto"/>
        </w:rPr>
      </w:pPr>
      <w:r>
        <w:rPr>
          <w:rFonts w:ascii="Times New Roman" w:cs="Times New Roman" w:eastAsia="Times New Roman" w:hAnsi="Times New Roman"/>
          <w:sz w:val="18"/>
          <w:szCs w:val="18"/>
          <w:color w:val="auto"/>
        </w:rPr>
        <w:t>The Inflation Reduction Act of 2022 (“IRA”) introduced a 1% excise tax after December 31, 2022 on the fair market value of certain stock that is repurchased during the taxable year. The taxable amount is reduced by the fair market value of certain issuances of stock throughout the year. Any excise tax incurred on repurchases is recognized as part of the cost of the repurchase.</w:t>
      </w:r>
    </w:p>
    <w:p>
      <w:pPr>
        <w:spacing w:after="0" w:line="6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Shares issued under TJX’s Stock Incentive Plan are issued from authorized but unissued shares, and proceeds received are recorded by increasing common stock for the par value of the shares with the excess over par added to APIC. Income tax benefits upon the expensing of options result in the creation of a deferred tax asset, while income tax benefits due to the exercise of stock options reduce deferred tax assets up to the amount that an asset for the related grant has been created. Any excess tax benefits or deficiencies are included in the provision for income taxes. The par value of performance share units and restricted stock units is added to common stock when shares are delivered following performance measurement date or service period to the extent vesting requirements have been achieved. The fair value of stock awards and units are added to APIC as the awards are amortized into earnings over the related requisite service periods.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Share-Based Compensation</w:t>
      </w:r>
    </w:p>
    <w:p>
      <w:pPr>
        <w:spacing w:after="0" w:line="13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TJX accounts for share-based compensation by estimating the fair value of each award on the date of grant. TJX uses the Black-Scholes option pricing model for options awarded and the market price on the grant date for stock awards. Compensation expense is recognized over the requisite service period for each award with forfeitures recognized as they occur. Performance-based awards are evaluated quarterly for probability of vesting and performance achievement levels. See Note H—Stock Incentive Plan for a detailed discussion of share-based compensation.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(Income) Expense, net</w:t>
      </w:r>
    </w:p>
    <w:p>
      <w:pPr>
        <w:spacing w:after="0" w:line="11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TJX’s interest (income) expense, net is presented net of capitalized interest and interest income. The following is a summary of interest (income) expense, net:</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7"/>
              </w:rPr>
              <w:t>Fiscal Year Ended</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r>
      <w:tr>
        <w:trPr>
          <w:trHeight w:val="174"/>
        </w:trPr>
        <w:tc>
          <w:tcPr>
            <w:tcW w:w="6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center"/>
              <w:ind w:right="90"/>
              <w:spacing w:after="0" w:line="174" w:lineRule="exact"/>
              <w:rPr>
                <w:sz w:val="20"/>
                <w:szCs w:val="20"/>
                <w:color w:val="auto"/>
              </w:rPr>
            </w:pPr>
            <w:r>
              <w:rPr>
                <w:rFonts w:ascii="Times New Roman" w:cs="Times New Roman" w:eastAsia="Times New Roman" w:hAnsi="Times New Roman"/>
                <w:sz w:val="18"/>
                <w:szCs w:val="18"/>
                <w:b w:val="1"/>
                <w:bCs w:val="1"/>
                <w:color w:val="auto"/>
                <w:w w:val="98"/>
              </w:rPr>
              <w:t>February 3,</w:t>
            </w:r>
          </w:p>
        </w:tc>
        <w:tc>
          <w:tcPr>
            <w:tcW w:w="220" w:type="dxa"/>
            <w:vAlign w:val="bottom"/>
          </w:tcPr>
          <w:p>
            <w:pPr>
              <w:spacing w:after="0"/>
              <w:rPr>
                <w:sz w:val="15"/>
                <w:szCs w:val="15"/>
                <w:color w:val="auto"/>
              </w:rPr>
            </w:pPr>
          </w:p>
        </w:tc>
        <w:tc>
          <w:tcPr>
            <w:tcW w:w="1240" w:type="dxa"/>
            <w:vAlign w:val="bottom"/>
          </w:tcPr>
          <w:p>
            <w:pPr>
              <w:jc w:val="center"/>
              <w:ind w:right="130"/>
              <w:spacing w:after="0" w:line="174" w:lineRule="exact"/>
              <w:rPr>
                <w:sz w:val="20"/>
                <w:szCs w:val="20"/>
                <w:color w:val="auto"/>
              </w:rPr>
            </w:pPr>
            <w:r>
              <w:rPr>
                <w:rFonts w:ascii="Times New Roman" w:cs="Times New Roman" w:eastAsia="Times New Roman" w:hAnsi="Times New Roman"/>
                <w:sz w:val="18"/>
                <w:szCs w:val="18"/>
                <w:color w:val="auto"/>
                <w:w w:val="98"/>
              </w:rPr>
              <w:t>January 28,</w:t>
            </w:r>
          </w:p>
        </w:tc>
        <w:tc>
          <w:tcPr>
            <w:tcW w:w="200" w:type="dxa"/>
            <w:vAlign w:val="bottom"/>
          </w:tcPr>
          <w:p>
            <w:pPr>
              <w:spacing w:after="0"/>
              <w:rPr>
                <w:sz w:val="15"/>
                <w:szCs w:val="15"/>
                <w:color w:val="auto"/>
              </w:rPr>
            </w:pPr>
          </w:p>
        </w:tc>
        <w:tc>
          <w:tcPr>
            <w:tcW w:w="1240" w:type="dxa"/>
            <w:vAlign w:val="bottom"/>
          </w:tcPr>
          <w:p>
            <w:pPr>
              <w:jc w:val="right"/>
              <w:ind w:right="210"/>
              <w:spacing w:after="0" w:line="174" w:lineRule="exact"/>
              <w:rPr>
                <w:sz w:val="20"/>
                <w:szCs w:val="20"/>
                <w:color w:val="auto"/>
              </w:rPr>
            </w:pPr>
            <w:r>
              <w:rPr>
                <w:rFonts w:ascii="Times New Roman" w:cs="Times New Roman" w:eastAsia="Times New Roman" w:hAnsi="Times New Roman"/>
                <w:sz w:val="18"/>
                <w:szCs w:val="18"/>
                <w:color w:val="auto"/>
              </w:rPr>
              <w:t>January 29,</w:t>
            </w:r>
          </w:p>
        </w:tc>
      </w:tr>
      <w:tr>
        <w:trPr>
          <w:trHeight w:val="238"/>
        </w:trPr>
        <w:tc>
          <w:tcPr>
            <w:tcW w:w="6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2023</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6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(53 weeks)</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30"/>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interest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6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(249)</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69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TJX capitalizes interest during the active construction period of major capital projects and adds the interest to the related assets.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Property and Equipment</w:t>
      </w:r>
    </w:p>
    <w:p>
      <w:pPr>
        <w:spacing w:after="0" w:line="11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For financial reporting purposes, TJX provides for depreciation and amortization of property using the straight-line method over the estimated useful lives of the assets. Buildings are depreciated over 33 years. Leasehold costs and improvements are generally amortized over their useful life or the committed lease term (typically 10 years to 15 years), whichever is shorter. Furniture, fixtures and equipment are depreciated over 3 to 10 years. Depreciation and amortization expense for property was $958 million in fiscal 2024, $879 million in fiscal 2023, and $858 million in fiscal 2022. TJX had no property held under finance leases during fiscal 2024, fiscal 2023 or fiscal 2022. Maintenance and repairs are charged to expense as incurred. Significant costs incurred for internally developed software are capitalized and amortized, generally over 5 years. Upon retirement or sale, the cost of disposed assets and the related accumulated depreciation are eliminated, and any gain or loss is included in income. Pre-opening costs, including rent, are expensed as incurred.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20"/>
          <w:szCs w:val="20"/>
          <w:b w:val="1"/>
          <w:bCs w:val="1"/>
          <w:i w:val="1"/>
          <w:iCs w:val="1"/>
          <w:color w:val="auto"/>
        </w:rPr>
        <w:t>Lease Accounting</w:t>
      </w:r>
    </w:p>
    <w:p>
      <w:pPr>
        <w:spacing w:after="0" w:line="13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Operating leases are included in “Operating lease right of use assets,” “Current portion of operating lease liabilities,” and “Long-term operating lease liabilities” on the Company’s Consolidated Balance Sheets. Right of use (“ROU”) assets represent TJX’s right to use an underlying asset for the lease term and lease liabilities represent TJX’s obligation to make lease payments arising from the lease. At the inception of the arrangement, the Company determines if an arrangement is a lease based on assessment of the terms and conditions of the contract. Operating lease ROU assets and lease liabilities are recognized at possession date based on the present value of lease payments over the lease term. The majority of the Company’s leases are retail store locations, and the possession date is typically 30 to 60 days prior to the opening of the store and generally occurs before the commencement of the lease term, as specified in the lease. TJX’s lessors do not provide an implicit rate, nor is one readily available, therefore the Company uses its incremental borrowing rate based on the information available at possession date in determining the present value of future lease payments. The incremental borrowing rate is calculated based on the US Consumer Discretionary yield curve and adjusted for collateralization and foreign currency impact for TJX International and Canada leases. The operating lease ROU assets also include any acquisition costs offset by lease incentives. The Company’s lease terms include options to extend the lease when it is reasonably certain that the Company will exercise that option. Lease expense for lease payments is recognized on a straight-line basis over the lease term within “Cost of sales, including buying and occupancy costs”. See Note L—Leases for a detailed discussion of lease accounting.</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Goodwill and Tradenames</w:t>
      </w:r>
    </w:p>
    <w:p>
      <w:pPr>
        <w:spacing w:after="0" w:line="11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Goodwill includes the excess of the purchase price paid over the carrying value of the minority interest acquired in fiscal 1990 in TJX’s former 83%-owned subsidiary and represents goodwill associated with the TJ Maxx chain, which is included in the Marmaxx segment. The Company’s goodwill also includes the excess of cost over the estimated fair market value of the net assets acquired by TJX in the purchase of Winners in fiscal 1991, included in TJX Canada, as well as the purchase of Trade Secret in fiscal 2016, which was re-branded under the TK Maxx name during fiscal 2018 and is included in TJX International.</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is a roll forward of goodwill by segment:</w:t>
            </w:r>
          </w:p>
        </w:tc>
        <w:tc>
          <w:tcPr>
            <w:tcW w:w="1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6"/>
        </w:trPr>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Marmaxx</w:t>
            </w: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TJX Canada</w:t>
            </w:r>
          </w:p>
        </w:tc>
        <w:tc>
          <w:tcPr>
            <w:tcW w:w="13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TJX International</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January 29, 2022</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29"/>
        </w:trPr>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goodwill</w:t>
            </w:r>
          </w:p>
        </w:tc>
        <w:tc>
          <w:tcPr>
            <w:tcW w:w="1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January 28, 2023</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30"/>
        </w:trPr>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goodwill</w:t>
            </w:r>
          </w:p>
        </w:tc>
        <w:tc>
          <w:tcPr>
            <w:tcW w:w="1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5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February 3, 2024</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6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is considered to have an indefinite life and accordingly is not amortized.</w:t>
      </w:r>
    </w:p>
    <w:p>
      <w:pPr>
        <w:spacing w:after="0" w:line="11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Tradenames, which are included in other assets, are the value assigned to the name “Marshalls,” acquired by TJX in fiscal 1996 as part of the acquisition of the Marshalls chain, the value assigned to the name “Sierra Trading Post,” acquired by TJX in fiscal 2013 and the value assigned to the name “Trade Secret,” acquired by TJX in fiscal 2016. The tradenames were valued utilizing the relief from royalty method, which calculates the discounted present value of assumed after-tax royalty payments. The Marshalls tradename is considered to have an indefinite life and accordingly is not amortized.</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is a roll forward of tradenames:</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4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color w:val="auto"/>
              </w:rPr>
              <w:t>Fiscal Year Ended</w:t>
            </w: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February 3, 2024</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January 28, 2023</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ind w:right="10"/>
              <w:spacing w:after="0" w:line="169" w:lineRule="exact"/>
              <w:rPr>
                <w:sz w:val="20"/>
                <w:szCs w:val="20"/>
                <w:color w:val="auto"/>
              </w:rPr>
            </w:pPr>
            <w:r>
              <w:rPr>
                <w:rFonts w:ascii="Times New Roman" w:cs="Times New Roman" w:eastAsia="Times New Roman" w:hAnsi="Times New Roman"/>
                <w:sz w:val="18"/>
                <w:szCs w:val="18"/>
                <w:color w:val="auto"/>
                <w:w w:val="99"/>
              </w:rPr>
              <w:t>Gross</w:t>
            </w:r>
          </w:p>
        </w:tc>
        <w:tc>
          <w:tcPr>
            <w:tcW w:w="200" w:type="dxa"/>
            <w:vAlign w:val="bottom"/>
          </w:tcPr>
          <w:p>
            <w:pPr>
              <w:spacing w:after="0"/>
              <w:rPr>
                <w:sz w:val="14"/>
                <w:szCs w:val="14"/>
                <w:color w:val="auto"/>
              </w:rPr>
            </w:pP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Accumulated</w:t>
            </w:r>
          </w:p>
        </w:tc>
        <w:tc>
          <w:tcPr>
            <w:tcW w:w="140" w:type="dxa"/>
            <w:vAlign w:val="bottom"/>
          </w:tcPr>
          <w:p>
            <w:pPr>
              <w:spacing w:after="0"/>
              <w:rPr>
                <w:sz w:val="14"/>
                <w:szCs w:val="14"/>
                <w:color w:val="auto"/>
              </w:rPr>
            </w:pPr>
          </w:p>
        </w:tc>
        <w:tc>
          <w:tcPr>
            <w:tcW w:w="860" w:type="dxa"/>
            <w:vAlign w:val="bottom"/>
            <w:tcBorders>
              <w:right w:val="single" w:sz="8" w:color="auto"/>
            </w:tcBorders>
          </w:tcPr>
          <w:p>
            <w:pPr>
              <w:jc w:val="center"/>
              <w:ind w:right="70"/>
              <w:spacing w:after="0" w:line="169" w:lineRule="exact"/>
              <w:rPr>
                <w:sz w:val="20"/>
                <w:szCs w:val="20"/>
                <w:color w:val="auto"/>
              </w:rPr>
            </w:pPr>
            <w:r>
              <w:rPr>
                <w:rFonts w:ascii="Times New Roman" w:cs="Times New Roman" w:eastAsia="Times New Roman" w:hAnsi="Times New Roman"/>
                <w:sz w:val="18"/>
                <w:szCs w:val="18"/>
                <w:color w:val="auto"/>
                <w:w w:val="99"/>
              </w:rPr>
              <w:t>Net</w:t>
            </w:r>
          </w:p>
        </w:tc>
        <w:tc>
          <w:tcPr>
            <w:tcW w:w="220" w:type="dxa"/>
            <w:vAlign w:val="bottom"/>
          </w:tcPr>
          <w:p>
            <w:pPr>
              <w:spacing w:after="0"/>
              <w:rPr>
                <w:sz w:val="14"/>
                <w:szCs w:val="14"/>
                <w:color w:val="auto"/>
              </w:rPr>
            </w:pPr>
          </w:p>
        </w:tc>
        <w:tc>
          <w:tcPr>
            <w:tcW w:w="88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color w:val="auto"/>
                <w:w w:val="99"/>
              </w:rPr>
              <w:t>Gross</w:t>
            </w:r>
          </w:p>
        </w:tc>
        <w:tc>
          <w:tcPr>
            <w:tcW w:w="160" w:type="dxa"/>
            <w:vAlign w:val="bottom"/>
          </w:tcPr>
          <w:p>
            <w:pPr>
              <w:spacing w:after="0"/>
              <w:rPr>
                <w:sz w:val="14"/>
                <w:szCs w:val="14"/>
                <w:color w:val="auto"/>
              </w:rPr>
            </w:pP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Accumulated</w:t>
            </w:r>
          </w:p>
        </w:tc>
        <w:tc>
          <w:tcPr>
            <w:tcW w:w="140" w:type="dxa"/>
            <w:vAlign w:val="bottom"/>
          </w:tcPr>
          <w:p>
            <w:pPr>
              <w:spacing w:after="0"/>
              <w:rPr>
                <w:sz w:val="14"/>
                <w:szCs w:val="14"/>
                <w:color w:val="auto"/>
              </w:rPr>
            </w:pPr>
          </w:p>
        </w:tc>
        <w:tc>
          <w:tcPr>
            <w:tcW w:w="84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color w:val="auto"/>
                <w:w w:val="99"/>
              </w:rPr>
              <w:t>Net</w:t>
            </w:r>
          </w:p>
        </w:tc>
        <w:tc>
          <w:tcPr>
            <w:tcW w:w="0" w:type="dxa"/>
            <w:vAlign w:val="bottom"/>
          </w:tcPr>
          <w:p>
            <w:pPr>
              <w:spacing w:after="0"/>
              <w:rPr>
                <w:sz w:val="1"/>
                <w:szCs w:val="1"/>
                <w:color w:val="auto"/>
              </w:rPr>
            </w:pPr>
          </w:p>
        </w:tc>
      </w:tr>
      <w:tr>
        <w:trPr>
          <w:trHeight w:val="175"/>
        </w:trPr>
        <w:tc>
          <w:tcPr>
            <w:tcW w:w="4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Carrying</w:t>
            </w:r>
          </w:p>
        </w:tc>
        <w:tc>
          <w:tcPr>
            <w:tcW w:w="20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Borders>
              <w:right w:val="single" w:sz="8" w:color="auto"/>
            </w:tcBorders>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9"/>
              </w:rPr>
              <w:t>Carrying</w:t>
            </w:r>
          </w:p>
        </w:tc>
        <w:tc>
          <w:tcPr>
            <w:tcW w:w="220" w:type="dxa"/>
            <w:vAlign w:val="bottom"/>
          </w:tcPr>
          <w:p>
            <w:pPr>
              <w:spacing w:after="0"/>
              <w:rPr>
                <w:sz w:val="15"/>
                <w:szCs w:val="15"/>
                <w:color w:val="auto"/>
              </w:rPr>
            </w:pPr>
          </w:p>
        </w:tc>
        <w:tc>
          <w:tcPr>
            <w:tcW w:w="88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w w:val="99"/>
              </w:rPr>
              <w:t>Carrying</w:t>
            </w:r>
          </w:p>
        </w:tc>
        <w:tc>
          <w:tcPr>
            <w:tcW w:w="1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w w:val="99"/>
              </w:rPr>
              <w:t>Carrying</w:t>
            </w:r>
          </w:p>
        </w:tc>
        <w:tc>
          <w:tcPr>
            <w:tcW w:w="0" w:type="dxa"/>
            <w:vAlign w:val="bottom"/>
          </w:tcPr>
          <w:p>
            <w:pPr>
              <w:spacing w:after="0"/>
              <w:rPr>
                <w:sz w:val="1"/>
                <w:szCs w:val="1"/>
                <w:color w:val="auto"/>
              </w:rPr>
            </w:pPr>
          </w:p>
        </w:tc>
      </w:tr>
      <w:tr>
        <w:trPr>
          <w:trHeight w:val="243"/>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Amount</w:t>
            </w: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7"/>
              </w:rPr>
              <w:t>Value</w:t>
            </w: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Amount</w:t>
            </w: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7"/>
              </w:rPr>
              <w:t>Value</w:t>
            </w: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Definite-lived intangible assets:</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tcBorders>
              <w:right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Sierra Trading Post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tcBorders>
              <w:right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Marshalls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6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108</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TJX occasionally acquires or licenses other trademarks to be used in connection with private label merchandise. Such trademarks are included in other assets and are amortized to cost of sales, including buying and occupancy costs, over their useful life, generally from 7 to 10 years.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58" w:name="page59"/>
    <w:bookmarkEnd w:id="58"/>
    <w:p>
      <w:pPr>
        <w:ind w:right="120"/>
        <w:spacing w:after="0" w:line="282" w:lineRule="auto"/>
        <w:rPr>
          <w:sz w:val="20"/>
          <w:szCs w:val="20"/>
          <w:color w:val="auto"/>
        </w:rPr>
      </w:pPr>
      <w:r>
        <w:rPr>
          <w:rFonts w:ascii="Times New Roman" w:cs="Times New Roman" w:eastAsia="Times New Roman" w:hAnsi="Times New Roman"/>
          <w:sz w:val="18"/>
          <w:szCs w:val="18"/>
          <w:color w:val="auto"/>
        </w:rPr>
        <w:t>Goodwill, tradenames and trademarks, and the related accumulated amortization or impairment if any, are included in the respective operating segment to which they relate.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Impairment of Long-Lived Assets, Goodwill and Tradenames</w:t>
      </w:r>
    </w:p>
    <w:p>
      <w:pPr>
        <w:spacing w:after="0" w:line="13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TJX evaluates long-lived assets, including tradenames that are amortized and operating lease right of use assets, for impairment whenever events or changes in circumstances indicate that their carrying amounts may not be recoverable. This evaluation is performed at the lowest level of identifiable cash flows which are largely independent of other groups of assets, generally at the individual store level for fixed assets and operating lease right of use assets, and at the reporting unit for tradenames that are amortized. If indicators of impairment are identified, an undiscounted cash flow analysis is performed to determine if the carrying value of the asset or asset group is recoverable. If the cash flow is less than the carrying value then an impairment charge will be recorded to the extent the fair value of an asset or asset group is less than the carrying value of that asset or asset group. This resulted in immaterial impairment charges on operating lease ROU assets and store fixed assets in fiscal 2024, fiscal 2023 and fiscal 2022. There were no impairments related to tradenames in fiscal 2024, fiscal 2023, or fiscal 2022.</w:t>
      </w:r>
    </w:p>
    <w:p>
      <w:pPr>
        <w:spacing w:after="0" w:line="8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Goodwill and indefinite life tradenames are tested for impairment whenever events or changes in circumstances indicate that an impairment may have occurred and at least annually in the fourth quarter of each fiscal year. Goodwill is tested for impairment by using a quantitative assessment by comparing the carrying value of the related reporting unit to its fair value. An impairment exists when this analysis, using typical valuation models such as the discounted cash flow method, shows that the fair value of the reporting unit is less than the carrying value of the reporting unit. The Company may assess qualitative factors to determine if it is more likely than not that the fair value of a reporting unit is less than its carrying value, including goodwill. The assessment of qualitative factors is optional and at the Company’s discretion. Indefinite life tradenames are tested for impairment by comparing their carrying value to their fair value, which is determined by calculating the discounted present value of assumed after-tax royalty payments. In fiscal 2024, fiscal 2023 and fiscal 2022, the Company bypassed the qualitative assessment and performed the quantitative impairment test. There were no impairments related to the Company’s goodwill or indefinite life tradenames in fiscal 2024, fiscal 2023, or fiscal 2022.</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Advertising Costs</w:t>
      </w:r>
    </w:p>
    <w:p>
      <w:pPr>
        <w:spacing w:after="0" w:line="11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TJX expenses advertising costs as incurred. Advertising expense was $573 million for fiscal 2024, $507 million for fiscal 2023 and $506 million for fiscal 2022.</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Currency Translation</w:t>
      </w:r>
    </w:p>
    <w:p>
      <w:pPr>
        <w:spacing w:after="0" w:line="130"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TJX’s foreign assets and liabilities are translated into U.S. dollars at fiscal year-end exchange rates with resulting translation gains and losses included in shareholders’ equity as a component of Accumulated other comprehensive (loss) income. Activity of the foreign operations that affect the Consolidated Statements of Income and Cash Flows is translated at average exchange rates prevailing during the fiscal year.</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Loss Contingencies</w:t>
      </w:r>
    </w:p>
    <w:p>
      <w:pPr>
        <w:spacing w:after="0" w:line="11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TJX records a reserve for loss contingencies when it is both probable that a loss will be incurred and the amount of the loss is reasonably estimable. TJX evaluates pending litigation and other contingencies at least quarterly and adjusts the reserve for such contingencies for changes in probable and reasonably estimable losses. TJX includes an estimate for related legal costs at the time such costs are both probable and reasonably estimable.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Equity Investment</w:t>
      </w:r>
    </w:p>
    <w:p>
      <w:pPr>
        <w:spacing w:after="0" w:line="13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fiscal 2020, the Company acquired a minority ownership stake in privately held Familia, an off-price retailer of apparel and home fashions domiciled in Luxembourg that operates stores throughout Russia. During fiscal 2023, the Company announced that it had committed to divesting its minority investment, resulting in an impairment charge of $218 million representing the entire carrying value of the Company’s investment. Additionally, the Company realized a $54 million tax benefit when the Company completed the divestiture of this investment during the third quarter ended October 29, 2022. See Note F—Fair Value Measurements for additional information.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Future Adoption of New Accounting Standards</w:t>
      </w:r>
    </w:p>
    <w:p>
      <w:pPr>
        <w:spacing w:after="0" w:line="13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From time to time, the Financial Accounting Standards Board (“FASB”) or other standard setting bodies issue new accounting pronouncements. Updates to the FASB Accounting Standards Codification are communicated through issuance of an Accounting Standards Update (“ASU”). Unless otherwise discussed, the Company has reviewed the new guidance and has determined that it will either not apply to TJX or is not expected to be material to its consolidated financial statements upon adoption, and, therefore, the guidance is not disclosed.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20"/>
          <w:szCs w:val="20"/>
          <w:b w:val="1"/>
          <w:bCs w:val="1"/>
          <w:i w:val="1"/>
          <w:iCs w:val="1"/>
          <w:color w:val="auto"/>
        </w:rPr>
        <w:t>Improvements to Reportable Segment Disclosures</w:t>
      </w:r>
    </w:p>
    <w:p>
      <w:pPr>
        <w:spacing w:after="0" w:line="13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guidance related to improvements to reportable segment disclosures. The new standard improves financial reporting by requiring disclosure of incremental segment information on an annual and interim basis to enable investors to develop more decision-useful financial analyses. This standard is effective for fiscal years beginning after December 15, 2023, and interim periods within fiscal years beginning after December 15, 2024, with early adoption permitted. The Company will adopt this standard for the fiscal 2025 Form 10-K and does not anticipate a material impact of the adoption on its consolidated financial statement disclosures.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Improvements to Income Tax Disclosures</w:t>
      </w:r>
    </w:p>
    <w:p>
      <w:pPr>
        <w:spacing w:after="0" w:line="11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guidance related to improvements to income tax disclosures. The amendment updates the income tax disclosure related to the rate reconciliation and requires disclosure of income taxes paid by jurisdiction. The amendment also provides for further disclosure comparability. The amendments are effective for fiscal years beginning after December 15, 2024 (fiscal 2026). Early adoption is permitted. The Company is currently evaluating the impact of the adoption of this standard on its consolidated financial statement disclosures.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 Rule Changes</w:t>
      </w:r>
    </w:p>
    <w:p>
      <w:pPr>
        <w:spacing w:after="0" w:line="13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March 2024, the SEC adopted new rules that, if remaining in effect, will require registrants to provide certain climate-related information in their registration statements and annual reports. The rules require information about a registrant's climate-related risks that are reasonably likely to have a material impact on its business, results of operations, or financial condition. The required information about climate-related risks will also include disclosure of a registrant's greenhouse gas emissions. In addition, the rules will require registrants to present certain climate-related financial disclosures in their audited financial statements. The Company is currently evaluating the potential impact of these rules on its consolidated financial statements and disclosures.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B. Property at Cost</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components of property at cost:</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56"/>
        </w:trPr>
        <w:tc>
          <w:tcPr>
            <w:tcW w:w="83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700" w:type="dxa"/>
            <w:vAlign w:val="bottom"/>
            <w:tcBorders>
              <w:bottom w:val="single" w:sz="8" w:color="auto"/>
            </w:tcBorders>
            <w:gridSpan w:val="3"/>
          </w:tcPr>
          <w:p>
            <w:pPr>
              <w:jc w:val="right"/>
              <w:ind w:right="710"/>
              <w:spacing w:after="0"/>
              <w:rPr>
                <w:sz w:val="20"/>
                <w:szCs w:val="20"/>
                <w:color w:val="auto"/>
              </w:rPr>
            </w:pPr>
            <w:r>
              <w:rPr>
                <w:rFonts w:ascii="Times New Roman" w:cs="Times New Roman" w:eastAsia="Times New Roman" w:hAnsi="Times New Roman"/>
                <w:sz w:val="18"/>
                <w:szCs w:val="18"/>
                <w:color w:val="auto"/>
              </w:rPr>
              <w:t>Fiscal Year Ended</w:t>
            </w:r>
          </w:p>
        </w:tc>
      </w:tr>
      <w:tr>
        <w:trPr>
          <w:trHeight w:val="169"/>
        </w:trPr>
        <w:tc>
          <w:tcPr>
            <w:tcW w:w="8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w w:val="98"/>
              </w:rPr>
              <w:t>February 3,</w:t>
            </w:r>
          </w:p>
        </w:tc>
        <w:tc>
          <w:tcPr>
            <w:tcW w:w="240" w:type="dxa"/>
            <w:vAlign w:val="bottom"/>
          </w:tcPr>
          <w:p>
            <w:pPr>
              <w:spacing w:after="0"/>
              <w:rPr>
                <w:sz w:val="14"/>
                <w:szCs w:val="14"/>
                <w:color w:val="auto"/>
              </w:rPr>
            </w:pPr>
          </w:p>
        </w:tc>
        <w:tc>
          <w:tcPr>
            <w:tcW w:w="1240" w:type="dxa"/>
            <w:vAlign w:val="bottom"/>
          </w:tcPr>
          <w:p>
            <w:pPr>
              <w:jc w:val="center"/>
              <w:ind w:right="130"/>
              <w:spacing w:after="0" w:line="169" w:lineRule="exact"/>
              <w:rPr>
                <w:sz w:val="20"/>
                <w:szCs w:val="20"/>
                <w:color w:val="auto"/>
              </w:rPr>
            </w:pPr>
            <w:r>
              <w:rPr>
                <w:rFonts w:ascii="Times New Roman" w:cs="Times New Roman" w:eastAsia="Times New Roman" w:hAnsi="Times New Roman"/>
                <w:sz w:val="18"/>
                <w:szCs w:val="18"/>
                <w:color w:val="auto"/>
                <w:w w:val="98"/>
              </w:rPr>
              <w:t>January 28,</w:t>
            </w:r>
          </w:p>
        </w:tc>
      </w:tr>
      <w:tr>
        <w:trPr>
          <w:trHeight w:val="241"/>
        </w:trPr>
        <w:tc>
          <w:tcPr>
            <w:tcW w:w="8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25"/>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buildings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2,179</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w:t>
            </w: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costs and improvements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4,306</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3,874</w:t>
            </w:r>
          </w:p>
        </w:tc>
      </w:tr>
      <w:tr>
        <w:trPr>
          <w:trHeight w:val="230"/>
        </w:trPr>
        <w:tc>
          <w:tcPr>
            <w:tcW w:w="8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8,134</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7,400</w:t>
            </w:r>
          </w:p>
        </w:tc>
      </w:tr>
      <w:tr>
        <w:trPr>
          <w:trHeight w:val="223"/>
        </w:trPr>
        <w:tc>
          <w:tcPr>
            <w:tcW w:w="8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property at cost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14,619</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13,317</w:t>
            </w:r>
          </w:p>
        </w:tc>
      </w:tr>
      <w:tr>
        <w:trPr>
          <w:trHeight w:val="230"/>
        </w:trPr>
        <w:tc>
          <w:tcPr>
            <w:tcW w:w="8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8,048</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7,534</w:t>
            </w:r>
          </w:p>
        </w:tc>
      </w:tr>
      <w:tr>
        <w:trPr>
          <w:trHeight w:val="223"/>
        </w:trPr>
        <w:tc>
          <w:tcPr>
            <w:tcW w:w="83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Net property at cost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6,571</w:t>
            </w:r>
          </w:p>
        </w:tc>
        <w:tc>
          <w:tcPr>
            <w:tcW w:w="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5,783</w:t>
            </w:r>
          </w:p>
        </w:tc>
      </w:tr>
      <w:tr>
        <w:trPr>
          <w:trHeight w:val="412"/>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Presented below is information related to carrying values of TJX’s long-lived tangible assets by geographic location:</w:t>
            </w: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6"/>
        </w:trPr>
        <w:tc>
          <w:tcPr>
            <w:tcW w:w="83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700" w:type="dxa"/>
            <w:vAlign w:val="bottom"/>
            <w:tcBorders>
              <w:bottom w:val="single" w:sz="8" w:color="auto"/>
            </w:tcBorders>
            <w:gridSpan w:val="3"/>
          </w:tcPr>
          <w:p>
            <w:pPr>
              <w:jc w:val="right"/>
              <w:ind w:right="710"/>
              <w:spacing w:after="0"/>
              <w:rPr>
                <w:sz w:val="20"/>
                <w:szCs w:val="20"/>
                <w:color w:val="auto"/>
              </w:rPr>
            </w:pPr>
            <w:r>
              <w:rPr>
                <w:rFonts w:ascii="Times New Roman" w:cs="Times New Roman" w:eastAsia="Times New Roman" w:hAnsi="Times New Roman"/>
                <w:sz w:val="18"/>
                <w:szCs w:val="18"/>
                <w:color w:val="auto"/>
              </w:rPr>
              <w:t>Fiscal Year Ended</w:t>
            </w:r>
          </w:p>
        </w:tc>
      </w:tr>
      <w:tr>
        <w:trPr>
          <w:trHeight w:val="169"/>
        </w:trPr>
        <w:tc>
          <w:tcPr>
            <w:tcW w:w="8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w w:val="98"/>
              </w:rPr>
              <w:t>February 3,</w:t>
            </w:r>
          </w:p>
        </w:tc>
        <w:tc>
          <w:tcPr>
            <w:tcW w:w="240" w:type="dxa"/>
            <w:vAlign w:val="bottom"/>
          </w:tcPr>
          <w:p>
            <w:pPr>
              <w:spacing w:after="0"/>
              <w:rPr>
                <w:sz w:val="14"/>
                <w:szCs w:val="14"/>
                <w:color w:val="auto"/>
              </w:rPr>
            </w:pPr>
          </w:p>
        </w:tc>
        <w:tc>
          <w:tcPr>
            <w:tcW w:w="1240" w:type="dxa"/>
            <w:vAlign w:val="bottom"/>
          </w:tcPr>
          <w:p>
            <w:pPr>
              <w:jc w:val="center"/>
              <w:ind w:right="130"/>
              <w:spacing w:after="0" w:line="169" w:lineRule="exact"/>
              <w:rPr>
                <w:sz w:val="20"/>
                <w:szCs w:val="20"/>
                <w:color w:val="auto"/>
              </w:rPr>
            </w:pPr>
            <w:r>
              <w:rPr>
                <w:rFonts w:ascii="Times New Roman" w:cs="Times New Roman" w:eastAsia="Times New Roman" w:hAnsi="Times New Roman"/>
                <w:sz w:val="18"/>
                <w:szCs w:val="18"/>
                <w:color w:val="auto"/>
                <w:w w:val="98"/>
              </w:rPr>
              <w:t>January 28,</w:t>
            </w:r>
          </w:p>
        </w:tc>
      </w:tr>
      <w:tr>
        <w:trPr>
          <w:trHeight w:val="241"/>
        </w:trPr>
        <w:tc>
          <w:tcPr>
            <w:tcW w:w="8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25"/>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5,127</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4,518</w:t>
            </w: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341</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1,028</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r>
      <w:tr>
        <w:trPr>
          <w:trHeight w:val="229"/>
        </w:trPr>
        <w:tc>
          <w:tcPr>
            <w:tcW w:w="8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Australia</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3"/>
        </w:trPr>
        <w:tc>
          <w:tcPr>
            <w:tcW w:w="83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long-lived tangible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6,571</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5,783</w:t>
            </w: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2"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22"/>
          <w:szCs w:val="22"/>
          <w:b w:val="1"/>
          <w:bCs w:val="1"/>
          <w:color w:val="auto"/>
        </w:rPr>
        <w:t>Note C. Accumulated Other Comprehensive (Loss) Income</w:t>
      </w:r>
    </w:p>
    <w:p>
      <w:pPr>
        <w:spacing w:after="0" w:line="11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Amounts included in Accumulated other comprehensive (loss) income relate to the Company’s foreign currency translation adjustments, deferred gains/(losses) on pension and other post-retirement obligations and a cash flow hedge on issued debt, all of which are recorded net of the related income tax effects. The following table details the changes in Accumulated other comprehensive (loss) income for fiscal 2024, fiscal 2023 and fiscal 2022:</w:t>
      </w:r>
    </w:p>
    <w:tbl>
      <w:tblPr>
        <w:tblLayout w:type="fixed"/>
        <w:tblInd w:w="0" w:type="dxa"/>
        <w:tblCellMar>
          <w:top w:w="0" w:type="dxa"/>
          <w:left w:w="0" w:type="dxa"/>
          <w:bottom w:w="0" w:type="dxa"/>
          <w:right w:w="0" w:type="dxa"/>
        </w:tblCellMar>
      </w:tblPr>
      <w:tr>
        <w:trPr>
          <w:trHeight w:val="189"/>
        </w:trPr>
        <w:tc>
          <w:tcPr>
            <w:tcW w:w="5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Foreign</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36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color w:val="auto"/>
                <w:w w:val="99"/>
              </w:rPr>
              <w:t>Accumulated</w:t>
            </w:r>
          </w:p>
        </w:tc>
        <w:tc>
          <w:tcPr>
            <w:tcW w:w="0" w:type="dxa"/>
            <w:vAlign w:val="bottom"/>
          </w:tcPr>
          <w:p>
            <w:pPr>
              <w:spacing w:after="0"/>
              <w:rPr>
                <w:sz w:val="1"/>
                <w:szCs w:val="1"/>
                <w:color w:val="auto"/>
              </w:rPr>
            </w:pPr>
          </w:p>
        </w:tc>
      </w:tr>
      <w:tr>
        <w:trPr>
          <w:trHeight w:val="180"/>
        </w:trPr>
        <w:tc>
          <w:tcPr>
            <w:tcW w:w="5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Deferred</w:t>
            </w:r>
          </w:p>
        </w:tc>
        <w:tc>
          <w:tcPr>
            <w:tcW w:w="160" w:type="dxa"/>
            <w:vAlign w:val="bottom"/>
          </w:tcPr>
          <w:p>
            <w:pPr>
              <w:spacing w:after="0"/>
              <w:rPr>
                <w:sz w:val="15"/>
                <w:szCs w:val="15"/>
                <w:color w:val="auto"/>
              </w:rPr>
            </w:pPr>
          </w:p>
        </w:tc>
        <w:tc>
          <w:tcPr>
            <w:tcW w:w="14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Cash Flow</w:t>
            </w:r>
          </w:p>
        </w:tc>
        <w:tc>
          <w:tcPr>
            <w:tcW w:w="1360" w:type="dxa"/>
            <w:vAlign w:val="bottom"/>
          </w:tcPr>
          <w:p>
            <w:pPr>
              <w:jc w:val="center"/>
              <w:ind w:right="50"/>
              <w:spacing w:after="0" w:line="181" w:lineRule="exact"/>
              <w:rPr>
                <w:sz w:val="20"/>
                <w:szCs w:val="20"/>
                <w:color w:val="auto"/>
              </w:rPr>
            </w:pPr>
            <w:r>
              <w:rPr>
                <w:rFonts w:ascii="Times New Roman" w:cs="Times New Roman" w:eastAsia="Times New Roman" w:hAnsi="Times New Roman"/>
                <w:sz w:val="18"/>
                <w:szCs w:val="18"/>
                <w:color w:val="auto"/>
              </w:rPr>
              <w:t>Other</w:t>
            </w:r>
          </w:p>
        </w:tc>
        <w:tc>
          <w:tcPr>
            <w:tcW w:w="0" w:type="dxa"/>
            <w:vAlign w:val="bottom"/>
          </w:tcPr>
          <w:p>
            <w:pPr>
              <w:spacing w:after="0"/>
              <w:rPr>
                <w:sz w:val="1"/>
                <w:szCs w:val="1"/>
                <w:color w:val="auto"/>
              </w:rPr>
            </w:pPr>
          </w:p>
        </w:tc>
      </w:tr>
      <w:tr>
        <w:trPr>
          <w:trHeight w:val="176"/>
        </w:trPr>
        <w:tc>
          <w:tcPr>
            <w:tcW w:w="5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98"/>
              </w:rPr>
              <w:t>Currency</w:t>
            </w:r>
          </w:p>
        </w:tc>
        <w:tc>
          <w:tcPr>
            <w:tcW w:w="1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136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rPr>
              <w:t>Comprehensive</w:t>
            </w:r>
          </w:p>
        </w:tc>
        <w:tc>
          <w:tcPr>
            <w:tcW w:w="0" w:type="dxa"/>
            <w:vAlign w:val="bottom"/>
          </w:tcPr>
          <w:p>
            <w:pPr>
              <w:spacing w:after="0"/>
              <w:rPr>
                <w:sz w:val="1"/>
                <w:szCs w:val="1"/>
                <w:color w:val="auto"/>
              </w:rPr>
            </w:pPr>
          </w:p>
        </w:tc>
      </w:tr>
      <w:tr>
        <w:trPr>
          <w:trHeight w:val="229"/>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 and net of immaterial taxes</w:t>
            </w: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Translation</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Benefit Costs</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Hedge on Debt</w:t>
            </w:r>
          </w:p>
        </w:tc>
        <w:tc>
          <w:tcPr>
            <w:tcW w:w="13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(Loss) Income</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January 30, 2021</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b w:val="1"/>
                <w:bCs w:val="1"/>
                <w:color w:val="auto"/>
              </w:rPr>
              <w:t>— $</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(607)</w:t>
            </w: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other comprehensive (loss):</w:t>
            </w:r>
          </w:p>
        </w:tc>
        <w:tc>
          <w:tcPr>
            <w:tcW w:w="5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 net of taxes</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9"/>
        </w:trPr>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Recognition of net (losses) on benefit obligations, net of taxes</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tcPr>
          <w:p>
            <w:pPr>
              <w:spacing w:after="0"/>
              <w:rPr>
                <w:sz w:val="19"/>
                <w:szCs w:val="19"/>
                <w:color w:val="auto"/>
              </w:rPr>
            </w:pPr>
          </w:p>
        </w:tc>
        <w:tc>
          <w:tcPr>
            <w:tcW w:w="14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Reclassifications from other comprehensive (loss) to net income:</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(loss) on cash flow hedge, net of taxes</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8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9"/>
        </w:trPr>
        <w:tc>
          <w:tcPr>
            <w:tcW w:w="52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prior service cost and deferred gains, net of taxes</w:t>
            </w: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January 29, 2022</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Pr>
          <w:p>
            <w:pPr>
              <w:ind w:left="1080"/>
              <w:spacing w:after="0"/>
              <w:rPr>
                <w:sz w:val="20"/>
                <w:szCs w:val="20"/>
                <w:color w:val="auto"/>
              </w:rPr>
            </w:pPr>
            <w:r>
              <w:rPr>
                <w:rFonts w:ascii="Times New Roman" w:cs="Times New Roman" w:eastAsia="Times New Roman" w:hAnsi="Times New Roman"/>
                <w:sz w:val="18"/>
                <w:szCs w:val="18"/>
                <w:b w:val="1"/>
                <w:bCs w:val="1"/>
                <w:color w:val="auto"/>
              </w:rPr>
              <w:t>— $</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(687)</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to other comprehensive (loss):</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 net of taxes</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Recognition of net gains on benefit obligations, net of taxes</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Reclassifications from other comprehensive (loss) to net income:</w:t>
            </w:r>
          </w:p>
        </w:tc>
        <w:tc>
          <w:tcPr>
            <w:tcW w:w="5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prior service cost and deferred gains, net of taxes</w:t>
            </w: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January 28, 2023</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Pr>
          <w:p>
            <w:pPr>
              <w:ind w:left="1080"/>
              <w:spacing w:after="0"/>
              <w:rPr>
                <w:sz w:val="20"/>
                <w:szCs w:val="20"/>
                <w:color w:val="auto"/>
              </w:rPr>
            </w:pPr>
            <w:r>
              <w:rPr>
                <w:rFonts w:ascii="Times New Roman" w:cs="Times New Roman" w:eastAsia="Times New Roman" w:hAnsi="Times New Roman"/>
                <w:sz w:val="18"/>
                <w:szCs w:val="18"/>
                <w:b w:val="1"/>
                <w:bCs w:val="1"/>
                <w:color w:val="auto"/>
              </w:rPr>
              <w:t>— $</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(606)</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to other comprehensive (loss):</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 net of taxes</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480" w:type="dxa"/>
            <w:vAlign w:val="bottom"/>
          </w:tcPr>
          <w:p>
            <w:pPr>
              <w:ind w:left="108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Recognition of net gains on benefit obligations, net of taxes</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Reclassifications from other comprehensive (loss) to net income:</w:t>
            </w:r>
          </w:p>
        </w:tc>
        <w:tc>
          <w:tcPr>
            <w:tcW w:w="5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prior service cost and deferred gains, net of taxes</w:t>
            </w: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February 3, 2024</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b w:val="1"/>
                <w:bCs w:val="1"/>
                <w:color w:val="auto"/>
              </w:rPr>
              <w:t>— $</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(532)</w:t>
            </w: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D. Capital Stock and Earnings Per Share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Capital Stock</w:t>
      </w:r>
    </w:p>
    <w:p>
      <w:pPr>
        <w:spacing w:after="0" w:line="13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February 2024, the Company announced that its Board of Directors had approved a new stock repurchase program that authorizes the repurchase of up to an additional $2.5 billion of TJX common stock from time to time. Under this program and previously announced programs, TJX had approximately $3.5 billion available for repurchase as of February 3, 2024.</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provides share repurchases, excluding applicable excise tax:</w:t>
            </w: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56"/>
        </w:trPr>
        <w:tc>
          <w:tcPr>
            <w:tcW w:w="69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7"/>
              </w:rPr>
              <w:t>Fiscal Year Ended</w:t>
            </w: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r>
      <w:tr>
        <w:trPr>
          <w:trHeight w:val="169"/>
        </w:trPr>
        <w:tc>
          <w:tcPr>
            <w:tcW w:w="6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ind w:right="190"/>
              <w:spacing w:after="0" w:line="169" w:lineRule="exact"/>
              <w:rPr>
                <w:sz w:val="20"/>
                <w:szCs w:val="20"/>
                <w:color w:val="auto"/>
              </w:rPr>
            </w:pPr>
            <w:r>
              <w:rPr>
                <w:rFonts w:ascii="Times New Roman" w:cs="Times New Roman" w:eastAsia="Times New Roman" w:hAnsi="Times New Roman"/>
                <w:sz w:val="18"/>
                <w:szCs w:val="18"/>
                <w:color w:val="auto"/>
              </w:rPr>
              <w:t>February 3,</w:t>
            </w:r>
          </w:p>
        </w:tc>
        <w:tc>
          <w:tcPr>
            <w:tcW w:w="240" w:type="dxa"/>
            <w:vAlign w:val="bottom"/>
          </w:tcPr>
          <w:p>
            <w:pPr>
              <w:spacing w:after="0"/>
              <w:rPr>
                <w:sz w:val="14"/>
                <w:szCs w:val="14"/>
                <w:color w:val="auto"/>
              </w:rPr>
            </w:pPr>
          </w:p>
        </w:tc>
        <w:tc>
          <w:tcPr>
            <w:tcW w:w="1220" w:type="dxa"/>
            <w:vAlign w:val="bottom"/>
          </w:tcPr>
          <w:p>
            <w:pPr>
              <w:jc w:val="center"/>
              <w:ind w:right="110"/>
              <w:spacing w:after="0" w:line="169" w:lineRule="exact"/>
              <w:rPr>
                <w:sz w:val="20"/>
                <w:szCs w:val="20"/>
                <w:color w:val="auto"/>
              </w:rPr>
            </w:pPr>
            <w:r>
              <w:rPr>
                <w:rFonts w:ascii="Times New Roman" w:cs="Times New Roman" w:eastAsia="Times New Roman" w:hAnsi="Times New Roman"/>
                <w:sz w:val="18"/>
                <w:szCs w:val="18"/>
                <w:color w:val="auto"/>
                <w:w w:val="98"/>
              </w:rPr>
              <w:t>January 28,</w:t>
            </w:r>
          </w:p>
        </w:tc>
        <w:tc>
          <w:tcPr>
            <w:tcW w:w="220" w:type="dxa"/>
            <w:vAlign w:val="bottom"/>
          </w:tcPr>
          <w:p>
            <w:pPr>
              <w:spacing w:after="0"/>
              <w:rPr>
                <w:sz w:val="14"/>
                <w:szCs w:val="14"/>
                <w:color w:val="auto"/>
              </w:rPr>
            </w:pPr>
          </w:p>
        </w:tc>
        <w:tc>
          <w:tcPr>
            <w:tcW w:w="1240" w:type="dxa"/>
            <w:vAlign w:val="bottom"/>
          </w:tcPr>
          <w:p>
            <w:pPr>
              <w:jc w:val="right"/>
              <w:ind w:right="210"/>
              <w:spacing w:after="0" w:line="169" w:lineRule="exact"/>
              <w:rPr>
                <w:sz w:val="20"/>
                <w:szCs w:val="20"/>
                <w:color w:val="auto"/>
              </w:rPr>
            </w:pPr>
            <w:r>
              <w:rPr>
                <w:rFonts w:ascii="Times New Roman" w:cs="Times New Roman" w:eastAsia="Times New Roman" w:hAnsi="Times New Roman"/>
                <w:sz w:val="18"/>
                <w:szCs w:val="18"/>
                <w:color w:val="auto"/>
              </w:rPr>
              <w:t>January 29,</w:t>
            </w:r>
          </w:p>
        </w:tc>
      </w:tr>
      <w:tr>
        <w:trPr>
          <w:trHeight w:val="239"/>
        </w:trPr>
        <w:tc>
          <w:tcPr>
            <w:tcW w:w="6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2023</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r>
      <w:tr>
        <w:trPr>
          <w:trHeight w:val="227"/>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number of shares repurchased and retired</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29.0</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30"/>
        </w:trPr>
        <w:tc>
          <w:tcPr>
            <w:tcW w:w="6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cost</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2,484</w:t>
            </w:r>
          </w:p>
        </w:tc>
        <w:tc>
          <w:tcPr>
            <w:tcW w:w="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2,176</w:t>
            </w: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shares repurchased under the stock repurchase programs have been retired. These expenditures were funded by cash generated from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TJX has five million shares of authorized but unissued preferred stock, $1 par value.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20"/>
          <w:szCs w:val="20"/>
          <w:b w:val="1"/>
          <w:bCs w:val="1"/>
          <w:i w:val="1"/>
          <w:iCs w:val="1"/>
          <w:color w:val="auto"/>
        </w:rPr>
        <w:t>Earnings Per Share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earnings per share:</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56"/>
        </w:trPr>
        <w:tc>
          <w:tcPr>
            <w:tcW w:w="69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7"/>
              </w:rPr>
              <w:t>Fiscal Year Ended</w:t>
            </w: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r>
      <w:tr>
        <w:trPr>
          <w:trHeight w:val="169"/>
        </w:trPr>
        <w:tc>
          <w:tcPr>
            <w:tcW w:w="6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w w:val="98"/>
              </w:rPr>
              <w:t>February 3,</w:t>
            </w:r>
          </w:p>
        </w:tc>
        <w:tc>
          <w:tcPr>
            <w:tcW w:w="240" w:type="dxa"/>
            <w:vAlign w:val="bottom"/>
          </w:tcPr>
          <w:p>
            <w:pPr>
              <w:spacing w:after="0"/>
              <w:rPr>
                <w:sz w:val="14"/>
                <w:szCs w:val="14"/>
                <w:color w:val="auto"/>
              </w:rPr>
            </w:pPr>
          </w:p>
        </w:tc>
        <w:tc>
          <w:tcPr>
            <w:tcW w:w="1220" w:type="dxa"/>
            <w:vAlign w:val="bottom"/>
          </w:tcPr>
          <w:p>
            <w:pPr>
              <w:jc w:val="center"/>
              <w:ind w:right="110"/>
              <w:spacing w:after="0" w:line="169" w:lineRule="exact"/>
              <w:rPr>
                <w:sz w:val="20"/>
                <w:szCs w:val="20"/>
                <w:color w:val="auto"/>
              </w:rPr>
            </w:pPr>
            <w:r>
              <w:rPr>
                <w:rFonts w:ascii="Times New Roman" w:cs="Times New Roman" w:eastAsia="Times New Roman" w:hAnsi="Times New Roman"/>
                <w:sz w:val="18"/>
                <w:szCs w:val="18"/>
                <w:color w:val="auto"/>
                <w:w w:val="98"/>
              </w:rPr>
              <w:t>January 28,</w:t>
            </w:r>
          </w:p>
        </w:tc>
        <w:tc>
          <w:tcPr>
            <w:tcW w:w="220" w:type="dxa"/>
            <w:vAlign w:val="bottom"/>
          </w:tcPr>
          <w:p>
            <w:pPr>
              <w:spacing w:after="0"/>
              <w:rPr>
                <w:sz w:val="14"/>
                <w:szCs w:val="14"/>
                <w:color w:val="auto"/>
              </w:rPr>
            </w:pPr>
          </w:p>
        </w:tc>
        <w:tc>
          <w:tcPr>
            <w:tcW w:w="1240" w:type="dxa"/>
            <w:vAlign w:val="bottom"/>
          </w:tcPr>
          <w:p>
            <w:pPr>
              <w:jc w:val="right"/>
              <w:ind w:right="210"/>
              <w:spacing w:after="0" w:line="169" w:lineRule="exact"/>
              <w:rPr>
                <w:sz w:val="20"/>
                <w:szCs w:val="20"/>
                <w:color w:val="auto"/>
              </w:rPr>
            </w:pPr>
            <w:r>
              <w:rPr>
                <w:rFonts w:ascii="Times New Roman" w:cs="Times New Roman" w:eastAsia="Times New Roman" w:hAnsi="Times New Roman"/>
                <w:sz w:val="18"/>
                <w:szCs w:val="18"/>
                <w:color w:val="auto"/>
              </w:rPr>
              <w:t>January 29,</w:t>
            </w:r>
          </w:p>
        </w:tc>
      </w:tr>
      <w:tr>
        <w:trPr>
          <w:trHeight w:val="241"/>
        </w:trPr>
        <w:tc>
          <w:tcPr>
            <w:tcW w:w="6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Amounts in millions, except per share amounts</w:t>
            </w: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2023</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r>
      <w:tr>
        <w:trPr>
          <w:trHeight w:val="225"/>
        </w:trPr>
        <w:tc>
          <w:tcPr>
            <w:tcW w:w="6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(53 weeks)</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Basic earnings per share: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69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4,474</w:t>
            </w:r>
          </w:p>
        </w:tc>
        <w:tc>
          <w:tcPr>
            <w:tcW w:w="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3,498</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3,283</w:t>
            </w:r>
          </w:p>
        </w:tc>
      </w:tr>
      <w:tr>
        <w:trPr>
          <w:trHeight w:val="223"/>
        </w:trPr>
        <w:tc>
          <w:tcPr>
            <w:tcW w:w="6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Weighted average common shares outstanding for basic earnings per share calculation</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1,146</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r>
      <w:tr>
        <w:trPr>
          <w:trHeight w:val="229"/>
        </w:trPr>
        <w:tc>
          <w:tcPr>
            <w:tcW w:w="6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3.90</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Diluted earnings per share: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69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4,474</w:t>
            </w:r>
          </w:p>
        </w:tc>
        <w:tc>
          <w:tcPr>
            <w:tcW w:w="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3,498</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3,283</w:t>
            </w:r>
          </w:p>
        </w:tc>
      </w:tr>
      <w:tr>
        <w:trPr>
          <w:trHeight w:val="223"/>
        </w:trPr>
        <w:tc>
          <w:tcPr>
            <w:tcW w:w="6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Weighted average common shares outstanding for basic earnings per share calculation</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1,146</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r>
      <w:tr>
        <w:trPr>
          <w:trHeight w:val="230"/>
        </w:trPr>
        <w:tc>
          <w:tcPr>
            <w:tcW w:w="69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Assumed exercise/vesting of stock options and awards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69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Weighted average common shares outstanding for diluted earnings per share calculation</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1,159</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r>
      <w:tr>
        <w:trPr>
          <w:trHeight w:val="223"/>
        </w:trPr>
        <w:tc>
          <w:tcPr>
            <w:tcW w:w="6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3.86</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29"/>
        </w:trPr>
        <w:tc>
          <w:tcPr>
            <w:tcW w:w="69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Cash dividends declared per share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bl>
    <w:p>
      <w:pPr>
        <w:spacing w:after="0" w:line="17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weighted average common shares for the diluted earnings per share calculation excludes the impact of outstanding stock options if the assumed proceeds per share of the option is in excess of the average price of TJX’s common stock for the related fiscal periods. Such options are excluded because they would have an antidilutive effect. There were 5 million, 6 million, and 5 million such options excluded at the end of fiscal 2024, fiscal 2023 and fiscal 2022, respectively.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E. Financial Instruments</w:t>
      </w:r>
    </w:p>
    <w:p>
      <w:pPr>
        <w:spacing w:after="0" w:line="11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As a result of its operating and financing activities, TJX is exposed to market risks from changes in interest and foreign currency exchange rates and fuel costs. These market risks may adversely affect TJX’s operating results and financial position. TJX seeks to minimize risk from changes in interest and foreign currency exchange rates and fuel costs through the use of derivative financial instruments when and to the extent deemed appropriate. TJX does not use derivative financial instruments for trading or other speculative purposes and does not use any leveraged derivative financial instruments. TJX recognizes all derivative instruments as either assets or liabilities in the Consolidated Balance Sheet and measures those instruments at fair value. The fair values of the derivatives are classified as assets or liabilities, current or non-current, based upon valuation results and settlement dates of the individual contracts. Changes to the fair value of derivative contracts that do not qualify for hedge accounting are reported in earnings in the period of the change. For derivatives that qualify for hedge accounting, changes in the fair value of the derivatives are either recorded in shareholders’ equity as a component of Accumulated other comprehensive (loss) income or are recognized currently in earnings, along with an offsetting adjustment against the basis of the item being hedged. Gains and losses on derivative instruments are reported in the Consolidated Statements of Cash Flows in operating activities, under Other, net.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Diesel Fuel Contracts</w:t>
      </w:r>
    </w:p>
    <w:p>
      <w:pPr>
        <w:spacing w:after="0" w:line="13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TJX hedges portions of its estimated notional diesel fuel requirements based on the diesel fuel expected to be consumed by independent freight carriers transporting TJX’s inventory. Independent freight carriers transporting TJX’s inventory charge TJX a mileage surcharge based on the price of diesel fuel. The hedge agreements are designed to mitigate the volatility of diesel fuel pricing, and the resulting per mile surcharges payable by TJX, by setting a fixed price per gallon for the period being hedged. During fiscal 2024, TJX entered into agreements to hedge a portion of its estimated notional diesel fuel requirements for fiscal 2025. The hedge agreements outstanding at February 3, 2024 relate to approximately 50% of TJX’s estimated notional diesel fuel requirements for fiscal 2025. These diesel fuel hedge agreements will settle throughout fiscal 2025 and the first month of fiscal 2026. Upon settlement, the realized gains and losses on these contracts are offset by the realized gains and losses of the underlying item in Cost of sales, including buying and occupancy costs. TJX elected not to apply hedge accounting to these contracts.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Currency Contracts</w:t>
      </w:r>
    </w:p>
    <w:p>
      <w:pPr>
        <w:spacing w:after="0" w:line="13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TJX enters into forward foreign currency exchange contracts to obtain economic hedges on portions of merchandise purchases made and anticipated to be made by the Company’s operations in currencies other than their respective functional currencies. The contracts outstanding at February 3, 2024 cover merchandise purchases the Company is committed to over the next several months in fiscal 2025. Additionally, TJX’s operations in Europe are subject to foreign currency exposure as a result of their buying function being centralized in the U.K. Merchandise is purchased centrally in the U.K. and then shipped and billed to the retail entities in other countries. This intercompany billing to TJX’s European businesses’ Euro denominated operations creates exposure to the central buying entity for changes in the exchange rate between the Euro and British Pound. A portion of the inflows of Euros to the central buying entity provides a natural hedge for Euro denominated merchandise purchases from third-party vendors. TJX calculates any excess Euro exposure each month and enters into forward contracts of approximately 30 days’ duration to mitigate this excess exposure. Upon settlement, the realized gains and losses on these contracts are offset by the realized gains and losses of the underlying item in Cost of sales, including buying and occupancy costs.</w:t>
      </w:r>
    </w:p>
    <w:p>
      <w:pPr>
        <w:spacing w:after="0" w:line="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TJX also enters into derivative contracts, generally designated as fair value hedges, to hedge intercompany debt. The changes in fair value of these contracts are recorded in Selling, general and administrative expenses and are offset by marking the underlying item to fair value in the same period. Upon settlement, the realized gains and losses on these contracts are offset by the realized gains and losses of the underlying item in Selling, general and administrative expenses.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TJX’s derivative financial instruments, related fair value and balance sheet classification at February 3, 2024:</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Blended</w:t>
            </w:r>
          </w:p>
        </w:tc>
        <w:tc>
          <w:tcPr>
            <w:tcW w:w="150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Balance Sheet</w:t>
            </w:r>
          </w:p>
        </w:tc>
        <w:tc>
          <w:tcPr>
            <w:tcW w:w="400" w:type="dxa"/>
            <w:vAlign w:val="bottom"/>
          </w:tcPr>
          <w:p>
            <w:pPr>
              <w:spacing w:after="0"/>
              <w:rPr>
                <w:sz w:val="17"/>
                <w:szCs w:val="17"/>
                <w:color w:val="auto"/>
              </w:rPr>
            </w:pPr>
          </w:p>
        </w:tc>
        <w:tc>
          <w:tcPr>
            <w:tcW w:w="10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Current</w:t>
            </w:r>
          </w:p>
        </w:tc>
        <w:tc>
          <w:tcPr>
            <w:tcW w:w="220" w:type="dxa"/>
            <w:vAlign w:val="bottom"/>
          </w:tcPr>
          <w:p>
            <w:pPr>
              <w:spacing w:after="0"/>
              <w:rPr>
                <w:sz w:val="17"/>
                <w:szCs w:val="17"/>
                <w:color w:val="auto"/>
              </w:rPr>
            </w:pPr>
          </w:p>
        </w:tc>
        <w:tc>
          <w:tcPr>
            <w:tcW w:w="11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Current</w:t>
            </w:r>
          </w:p>
        </w:tc>
        <w:tc>
          <w:tcPr>
            <w:tcW w:w="140" w:type="dxa"/>
            <w:vAlign w:val="bottom"/>
          </w:tcPr>
          <w:p>
            <w:pPr>
              <w:spacing w:after="0"/>
              <w:rPr>
                <w:sz w:val="17"/>
                <w:szCs w:val="17"/>
                <w:color w:val="auto"/>
              </w:rPr>
            </w:pPr>
          </w:p>
        </w:tc>
        <w:tc>
          <w:tcPr>
            <w:tcW w:w="14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Net Fair Value</w:t>
            </w: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2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w w:val="99"/>
              </w:rPr>
              <w:t>Contract</w:t>
            </w:r>
          </w:p>
        </w:tc>
        <w:tc>
          <w:tcPr>
            <w:tcW w:w="150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jc w:val="right"/>
              <w:ind w:right="350"/>
              <w:spacing w:after="0" w:line="176" w:lineRule="exact"/>
              <w:rPr>
                <w:sz w:val="20"/>
                <w:szCs w:val="20"/>
                <w:color w:val="auto"/>
              </w:rPr>
            </w:pPr>
            <w:r>
              <w:rPr>
                <w:rFonts w:ascii="Times New Roman" w:cs="Times New Roman" w:eastAsia="Times New Roman" w:hAnsi="Times New Roman"/>
                <w:sz w:val="18"/>
                <w:szCs w:val="18"/>
                <w:color w:val="auto"/>
              </w:rPr>
              <w:t>Asset</w:t>
            </w:r>
          </w:p>
        </w:tc>
        <w:tc>
          <w:tcPr>
            <w:tcW w:w="220" w:type="dxa"/>
            <w:vAlign w:val="bottom"/>
          </w:tcPr>
          <w:p>
            <w:pPr>
              <w:spacing w:after="0"/>
              <w:rPr>
                <w:sz w:val="15"/>
                <w:szCs w:val="15"/>
                <w:color w:val="auto"/>
              </w:rPr>
            </w:pPr>
          </w:p>
        </w:tc>
        <w:tc>
          <w:tcPr>
            <w:tcW w:w="112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color w:val="auto"/>
                <w:w w:val="99"/>
              </w:rPr>
              <w:t>(Liability)</w:t>
            </w:r>
          </w:p>
        </w:tc>
        <w:tc>
          <w:tcPr>
            <w:tcW w:w="140" w:type="dxa"/>
            <w:vAlign w:val="bottom"/>
          </w:tcPr>
          <w:p>
            <w:pPr>
              <w:spacing w:after="0"/>
              <w:rPr>
                <w:sz w:val="15"/>
                <w:szCs w:val="15"/>
                <w:color w:val="auto"/>
              </w:rPr>
            </w:pPr>
          </w:p>
        </w:tc>
        <w:tc>
          <w:tcPr>
            <w:tcW w:w="140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rPr>
              <w:t>in U.S.$ at</w:t>
            </w:r>
          </w:p>
        </w:tc>
        <w:tc>
          <w:tcPr>
            <w:tcW w:w="0" w:type="dxa"/>
            <w:vAlign w:val="bottom"/>
          </w:tcPr>
          <w:p>
            <w:pPr>
              <w:spacing w:after="0"/>
              <w:rPr>
                <w:sz w:val="1"/>
                <w:szCs w:val="1"/>
                <w:color w:val="auto"/>
              </w:rPr>
            </w:pPr>
          </w:p>
        </w:tc>
      </w:tr>
      <w:tr>
        <w:trPr>
          <w:trHeight w:val="243"/>
        </w:trPr>
        <w:tc>
          <w:tcPr>
            <w:tcW w:w="1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Pay</w:t>
            </w:r>
          </w:p>
        </w:tc>
        <w:tc>
          <w:tcPr>
            <w:tcW w:w="6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Receive</w:t>
            </w:r>
          </w:p>
        </w:tc>
        <w:tc>
          <w:tcPr>
            <w:tcW w:w="8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6"/>
              </w:rPr>
              <w:t>Rate</w:t>
            </w:r>
          </w:p>
        </w:tc>
        <w:tc>
          <w:tcPr>
            <w:tcW w:w="15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Location</w:t>
            </w:r>
          </w:p>
        </w:tc>
        <w:tc>
          <w:tcPr>
            <w:tcW w:w="4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U.S.$</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7"/>
              </w:rPr>
              <w:t>U.S.$</w:t>
            </w:r>
          </w:p>
        </w:tc>
        <w:tc>
          <w:tcPr>
            <w:tcW w:w="1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8"/>
              </w:rPr>
              <w:t>February 3, 2024</w:t>
            </w:r>
          </w:p>
        </w:tc>
        <w:tc>
          <w:tcPr>
            <w:tcW w:w="0" w:type="dxa"/>
            <w:vAlign w:val="bottom"/>
          </w:tcPr>
          <w:p>
            <w:pPr>
              <w:spacing w:after="0"/>
              <w:rPr>
                <w:sz w:val="1"/>
                <w:szCs w:val="1"/>
                <w:color w:val="auto"/>
              </w:rPr>
            </w:pPr>
          </w:p>
        </w:tc>
      </w:tr>
      <w:tr>
        <w:trPr>
          <w:trHeight w:val="223"/>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hedges:</w:t>
            </w:r>
          </w:p>
        </w:tc>
        <w:tc>
          <w:tcPr>
            <w:tcW w:w="6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Intercompany balances, primarily debt:</w:t>
            </w:r>
          </w:p>
        </w:tc>
        <w:tc>
          <w:tcPr>
            <w:tcW w:w="1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50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Prepaid Exp /</w:t>
            </w:r>
          </w:p>
        </w:tc>
        <w:tc>
          <w:tcPr>
            <w:tcW w:w="40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vMerge w:val="restart"/>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7"/>
              </w:rPr>
              <w:t>0.0</w:t>
            </w:r>
          </w:p>
        </w:tc>
        <w:tc>
          <w:tcPr>
            <w:tcW w:w="0" w:type="dxa"/>
            <w:vAlign w:val="bottom"/>
          </w:tcPr>
          <w:p>
            <w:pPr>
              <w:spacing w:after="0"/>
              <w:rPr>
                <w:sz w:val="1"/>
                <w:szCs w:val="1"/>
                <w:color w:val="auto"/>
              </w:rPr>
            </w:pPr>
          </w:p>
        </w:tc>
      </w:tr>
      <w:tr>
        <w:trPr>
          <w:trHeight w:val="243"/>
        </w:trPr>
        <w:tc>
          <w:tcPr>
            <w:tcW w:w="11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78</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67</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0.8622</w:t>
            </w:r>
          </w:p>
        </w:tc>
        <w:tc>
          <w:tcPr>
            <w:tcW w:w="1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Exp)</w:t>
            </w:r>
          </w:p>
        </w:tc>
        <w:tc>
          <w:tcPr>
            <w:tcW w:w="400" w:type="dxa"/>
            <w:vAlign w:val="bottom"/>
            <w:vMerge w:val="continue"/>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14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A$</w:t>
            </w: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w:t>
            </w:r>
          </w:p>
        </w:tc>
        <w:tc>
          <w:tcPr>
            <w:tcW w:w="15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95</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0.6751</w:t>
            </w:r>
          </w:p>
        </w:tc>
        <w:tc>
          <w:tcPr>
            <w:tcW w:w="1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Prepaid Exp</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40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7"/>
              </w:rPr>
              <w:t>2.7</w:t>
            </w:r>
          </w:p>
        </w:tc>
        <w:tc>
          <w:tcPr>
            <w:tcW w:w="0" w:type="dxa"/>
            <w:vAlign w:val="bottom"/>
          </w:tcPr>
          <w:p>
            <w:pPr>
              <w:spacing w:after="0"/>
              <w:rPr>
                <w:sz w:val="1"/>
                <w:szCs w:val="1"/>
                <w:color w:val="auto"/>
              </w:rPr>
            </w:pPr>
          </w:p>
        </w:tc>
      </w:tr>
      <w:tr>
        <w:trPr>
          <w:trHeight w:val="229"/>
        </w:trPr>
        <w:tc>
          <w:tcPr>
            <w:tcW w:w="11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U.S.$</w:t>
            </w:r>
          </w:p>
        </w:tc>
        <w:tc>
          <w:tcPr>
            <w:tcW w:w="1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70</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0.7898</w:t>
            </w:r>
          </w:p>
        </w:tc>
        <w:tc>
          <w:tcPr>
            <w:tcW w:w="1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Exp)</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rPr>
              <w:t>(0.2)</w:t>
            </w:r>
          </w:p>
        </w:tc>
        <w:tc>
          <w:tcPr>
            <w:tcW w:w="0" w:type="dxa"/>
            <w:vAlign w:val="bottom"/>
          </w:tcPr>
          <w:p>
            <w:pPr>
              <w:spacing w:after="0"/>
              <w:rPr>
                <w:sz w:val="1"/>
                <w:szCs w:val="1"/>
                <w:color w:val="auto"/>
              </w:rPr>
            </w:pPr>
          </w:p>
        </w:tc>
      </w:tr>
      <w:tr>
        <w:trPr>
          <w:trHeight w:val="230"/>
        </w:trPr>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w:t>
            </w:r>
          </w:p>
        </w:tc>
        <w:tc>
          <w:tcPr>
            <w:tcW w:w="15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127</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1.2727</w:t>
            </w:r>
          </w:p>
        </w:tc>
        <w:tc>
          <w:tcPr>
            <w:tcW w:w="1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Prepaid Exp</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0.8</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40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7"/>
              </w:rPr>
              <w:t>0.8</w:t>
            </w:r>
          </w:p>
        </w:tc>
        <w:tc>
          <w:tcPr>
            <w:tcW w:w="0" w:type="dxa"/>
            <w:vAlign w:val="bottom"/>
          </w:tcPr>
          <w:p>
            <w:pPr>
              <w:spacing w:after="0"/>
              <w:rPr>
                <w:sz w:val="1"/>
                <w:szCs w:val="1"/>
                <w:color w:val="auto"/>
              </w:rPr>
            </w:pPr>
          </w:p>
        </w:tc>
      </w:tr>
      <w:tr>
        <w:trPr>
          <w:trHeight w:val="175"/>
        </w:trPr>
        <w:tc>
          <w:tcPr>
            <w:tcW w:w="1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50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Prepaid Exp /</w:t>
            </w:r>
          </w:p>
        </w:tc>
        <w:tc>
          <w:tcPr>
            <w:tcW w:w="4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14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7"/>
              </w:rPr>
              <w:t>2.7</w:t>
            </w:r>
          </w:p>
        </w:tc>
        <w:tc>
          <w:tcPr>
            <w:tcW w:w="0" w:type="dxa"/>
            <w:vAlign w:val="bottom"/>
          </w:tcPr>
          <w:p>
            <w:pPr>
              <w:spacing w:after="0"/>
              <w:rPr>
                <w:sz w:val="1"/>
                <w:szCs w:val="1"/>
                <w:color w:val="auto"/>
              </w:rPr>
            </w:pPr>
          </w:p>
        </w:tc>
      </w:tr>
      <w:tr>
        <w:trPr>
          <w:trHeight w:val="243"/>
        </w:trPr>
        <w:tc>
          <w:tcPr>
            <w:tcW w:w="11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200</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w:t>
            </w:r>
          </w:p>
        </w:tc>
        <w:tc>
          <w:tcPr>
            <w:tcW w:w="15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219</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1.0969</w:t>
            </w:r>
          </w:p>
        </w:tc>
        <w:tc>
          <w:tcPr>
            <w:tcW w:w="1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Exp)</w:t>
            </w:r>
          </w:p>
        </w:tc>
        <w:tc>
          <w:tcPr>
            <w:tcW w:w="400" w:type="dxa"/>
            <w:vAlign w:val="bottom"/>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6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Economic hedges for which hedge accounting was not elected:</w:t>
            </w:r>
          </w:p>
        </w:tc>
        <w:tc>
          <w:tcPr>
            <w:tcW w:w="8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14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Diesel fuel</w:t>
            </w:r>
          </w:p>
        </w:tc>
        <w:tc>
          <w:tcPr>
            <w:tcW w:w="1360" w:type="dxa"/>
            <w:vAlign w:val="bottom"/>
            <w:shd w:val="clear" w:color="auto" w:fill="CCEEFF"/>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rPr>
              <w:t>Fixed on</w:t>
            </w:r>
          </w:p>
        </w:tc>
        <w:tc>
          <w:tcPr>
            <w:tcW w:w="600" w:type="dxa"/>
            <w:vAlign w:val="bottom"/>
            <w:shd w:val="clear" w:color="auto" w:fill="CCEEFF"/>
          </w:tcPr>
          <w:p>
            <w:pPr>
              <w:spacing w:after="0"/>
              <w:rPr>
                <w:sz w:val="15"/>
                <w:szCs w:val="15"/>
                <w:color w:val="auto"/>
              </w:rPr>
            </w:pPr>
          </w:p>
        </w:tc>
        <w:tc>
          <w:tcPr>
            <w:tcW w:w="1500" w:type="dxa"/>
            <w:vAlign w:val="bottom"/>
            <w:shd w:val="clear" w:color="auto" w:fill="CCEEFF"/>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rPr>
              <w:t>Float on</w:t>
            </w:r>
          </w:p>
        </w:tc>
        <w:tc>
          <w:tcPr>
            <w:tcW w:w="8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40" w:type="dxa"/>
            <w:vAlign w:val="bottom"/>
            <w:vMerge w:val="continue"/>
            <w:shd w:val="clear" w:color="auto" w:fill="CCEEFF"/>
          </w:tcPr>
          <w:p>
            <w:pPr>
              <w:spacing w:after="0"/>
              <w:rPr>
                <w:sz w:val="15"/>
                <w:szCs w:val="15"/>
                <w:color w:val="auto"/>
              </w:rPr>
            </w:pPr>
          </w:p>
        </w:tc>
        <w:tc>
          <w:tcPr>
            <w:tcW w:w="1360" w:type="dxa"/>
            <w:vAlign w:val="bottom"/>
            <w:shd w:val="clear" w:color="auto" w:fill="CCEEFF"/>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99"/>
              </w:rPr>
              <w:t>3.0M - 3.8M</w:t>
            </w:r>
          </w:p>
        </w:tc>
        <w:tc>
          <w:tcPr>
            <w:tcW w:w="600" w:type="dxa"/>
            <w:vAlign w:val="bottom"/>
            <w:shd w:val="clear" w:color="auto" w:fill="CCEEFF"/>
          </w:tcPr>
          <w:p>
            <w:pPr>
              <w:spacing w:after="0"/>
              <w:rPr>
                <w:sz w:val="15"/>
                <w:szCs w:val="15"/>
                <w:color w:val="auto"/>
              </w:rPr>
            </w:pPr>
          </w:p>
        </w:tc>
        <w:tc>
          <w:tcPr>
            <w:tcW w:w="1500" w:type="dxa"/>
            <w:vAlign w:val="bottom"/>
            <w:shd w:val="clear" w:color="auto" w:fill="CCEEFF"/>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w w:val="99"/>
              </w:rPr>
              <w:t>3.0M - 3.8M</w:t>
            </w:r>
          </w:p>
        </w:tc>
        <w:tc>
          <w:tcPr>
            <w:tcW w:w="8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c>
          <w:tcPr>
            <w:tcW w:w="14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rPr>
              <w:t>(7.2)</w:t>
            </w:r>
          </w:p>
        </w:tc>
        <w:tc>
          <w:tcPr>
            <w:tcW w:w="0" w:type="dxa"/>
            <w:vAlign w:val="bottom"/>
          </w:tcPr>
          <w:p>
            <w:pPr>
              <w:spacing w:after="0"/>
              <w:rPr>
                <w:sz w:val="1"/>
                <w:szCs w:val="1"/>
                <w:color w:val="auto"/>
              </w:rPr>
            </w:pPr>
          </w:p>
        </w:tc>
      </w:tr>
      <w:tr>
        <w:trPr>
          <w:trHeight w:val="243"/>
        </w:trPr>
        <w:tc>
          <w:tcPr>
            <w:tcW w:w="11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contracts</w:t>
            </w:r>
          </w:p>
        </w:tc>
        <w:tc>
          <w:tcPr>
            <w:tcW w:w="136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gal per month</w:t>
            </w:r>
          </w:p>
        </w:tc>
        <w:tc>
          <w:tcPr>
            <w:tcW w:w="600" w:type="dxa"/>
            <w:vAlign w:val="bottom"/>
            <w:shd w:val="clear" w:color="auto" w:fill="CCEEFF"/>
          </w:tcPr>
          <w:p>
            <w:pPr>
              <w:spacing w:after="0"/>
              <w:rPr>
                <w:sz w:val="21"/>
                <w:szCs w:val="21"/>
                <w:color w:val="auto"/>
              </w:rPr>
            </w:pPr>
          </w:p>
        </w:tc>
        <w:tc>
          <w:tcPr>
            <w:tcW w:w="150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9"/>
              </w:rPr>
              <w:t>gal per month</w:t>
            </w:r>
          </w:p>
        </w:tc>
        <w:tc>
          <w:tcPr>
            <w:tcW w:w="23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N/A (Accrued Exp)</w:t>
            </w:r>
          </w:p>
        </w:tc>
        <w:tc>
          <w:tcPr>
            <w:tcW w:w="400" w:type="dxa"/>
            <w:vAlign w:val="bottom"/>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42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Intercompany billings in TJX International, primarily merchandise:</w:t>
            </w:r>
          </w:p>
        </w:tc>
        <w:tc>
          <w:tcPr>
            <w:tcW w:w="1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130</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0.8604</w:t>
            </w:r>
          </w:p>
        </w:tc>
        <w:tc>
          <w:tcPr>
            <w:tcW w:w="1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Prepaid Exp</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0.9</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7"/>
              </w:rPr>
              <w:t>0.9</w:t>
            </w:r>
          </w:p>
        </w:tc>
        <w:tc>
          <w:tcPr>
            <w:tcW w:w="0" w:type="dxa"/>
            <w:vAlign w:val="bottom"/>
          </w:tcPr>
          <w:p>
            <w:pPr>
              <w:spacing w:after="0"/>
              <w:rPr>
                <w:sz w:val="1"/>
                <w:szCs w:val="1"/>
                <w:color w:val="auto"/>
              </w:rPr>
            </w:pPr>
          </w:p>
        </w:tc>
      </w:tr>
      <w:tr>
        <w:trPr>
          <w:trHeight w:val="230"/>
        </w:trPr>
        <w:tc>
          <w:tcPr>
            <w:tcW w:w="31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Merchandise purchase commitments:</w:t>
            </w:r>
          </w:p>
        </w:tc>
        <w:tc>
          <w:tcPr>
            <w:tcW w:w="1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50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Prepaid Exp /</w:t>
            </w:r>
          </w:p>
        </w:tc>
        <w:tc>
          <w:tcPr>
            <w:tcW w:w="4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2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14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rPr>
              <w:t>(2.2)</w:t>
            </w:r>
          </w:p>
        </w:tc>
        <w:tc>
          <w:tcPr>
            <w:tcW w:w="0" w:type="dxa"/>
            <w:vAlign w:val="bottom"/>
          </w:tcPr>
          <w:p>
            <w:pPr>
              <w:spacing w:after="0"/>
              <w:rPr>
                <w:sz w:val="1"/>
                <w:szCs w:val="1"/>
                <w:color w:val="auto"/>
              </w:rPr>
            </w:pPr>
          </w:p>
        </w:tc>
      </w:tr>
      <w:tr>
        <w:trPr>
          <w:trHeight w:val="243"/>
        </w:trPr>
        <w:tc>
          <w:tcPr>
            <w:tcW w:w="11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C$</w:t>
            </w:r>
          </w:p>
        </w:tc>
        <w:tc>
          <w:tcPr>
            <w:tcW w:w="1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668</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w:t>
            </w:r>
          </w:p>
        </w:tc>
        <w:tc>
          <w:tcPr>
            <w:tcW w:w="15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495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0.7408</w:t>
            </w:r>
          </w:p>
        </w:tc>
        <w:tc>
          <w:tcPr>
            <w:tcW w:w="1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Exp)</w:t>
            </w:r>
          </w:p>
        </w:tc>
        <w:tc>
          <w:tcPr>
            <w:tcW w:w="400" w:type="dxa"/>
            <w:vAlign w:val="bottom"/>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C$</w:t>
            </w: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0.6797</w:t>
            </w:r>
          </w:p>
        </w:tc>
        <w:tc>
          <w:tcPr>
            <w:tcW w:w="1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Exp)</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140" w:type="dxa"/>
            <w:vAlign w:val="bottom"/>
          </w:tcPr>
          <w:p>
            <w:pPr>
              <w:spacing w:after="0"/>
              <w:rPr>
                <w:sz w:val="19"/>
                <w:szCs w:val="19"/>
                <w:color w:val="auto"/>
              </w:rPr>
            </w:pPr>
          </w:p>
        </w:tc>
        <w:tc>
          <w:tcPr>
            <w:tcW w:w="1400" w:type="dxa"/>
            <w:vAlign w:val="bottom"/>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rPr>
              <w:t>(0.3)</w:t>
            </w:r>
          </w:p>
        </w:tc>
        <w:tc>
          <w:tcPr>
            <w:tcW w:w="0" w:type="dxa"/>
            <w:vAlign w:val="bottom"/>
          </w:tcPr>
          <w:p>
            <w:pPr>
              <w:spacing w:after="0"/>
              <w:rPr>
                <w:sz w:val="1"/>
                <w:szCs w:val="1"/>
                <w:color w:val="auto"/>
              </w:rPr>
            </w:pPr>
          </w:p>
        </w:tc>
      </w:tr>
      <w:tr>
        <w:trPr>
          <w:trHeight w:val="175"/>
        </w:trPr>
        <w:tc>
          <w:tcPr>
            <w:tcW w:w="1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50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Prepaid Exp /</w:t>
            </w:r>
          </w:p>
        </w:tc>
        <w:tc>
          <w:tcPr>
            <w:tcW w:w="4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2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14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rPr>
              <w:t>(3.5)</w:t>
            </w:r>
          </w:p>
        </w:tc>
        <w:tc>
          <w:tcPr>
            <w:tcW w:w="0" w:type="dxa"/>
            <w:vAlign w:val="bottom"/>
          </w:tcPr>
          <w:p>
            <w:pPr>
              <w:spacing w:after="0"/>
              <w:rPr>
                <w:sz w:val="1"/>
                <w:szCs w:val="1"/>
                <w:color w:val="auto"/>
              </w:rPr>
            </w:pPr>
          </w:p>
        </w:tc>
      </w:tr>
      <w:tr>
        <w:trPr>
          <w:trHeight w:val="243"/>
        </w:trPr>
        <w:tc>
          <w:tcPr>
            <w:tcW w:w="11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353</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w:t>
            </w:r>
          </w:p>
        </w:tc>
        <w:tc>
          <w:tcPr>
            <w:tcW w:w="15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443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1.2549</w:t>
            </w:r>
          </w:p>
        </w:tc>
        <w:tc>
          <w:tcPr>
            <w:tcW w:w="1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Exp)</w:t>
            </w:r>
          </w:p>
        </w:tc>
        <w:tc>
          <w:tcPr>
            <w:tcW w:w="400" w:type="dxa"/>
            <w:vAlign w:val="bottom"/>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50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Prepaid Exp /</w:t>
            </w:r>
          </w:p>
        </w:tc>
        <w:tc>
          <w:tcPr>
            <w:tcW w:w="4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0.0</w:t>
            </w:r>
          </w:p>
        </w:tc>
        <w:tc>
          <w:tcPr>
            <w:tcW w:w="22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140" w:type="dxa"/>
            <w:vAlign w:val="bottom"/>
          </w:tcPr>
          <w:p>
            <w:pPr>
              <w:spacing w:after="0"/>
              <w:rPr>
                <w:sz w:val="15"/>
                <w:szCs w:val="15"/>
                <w:color w:val="auto"/>
              </w:rPr>
            </w:pPr>
          </w:p>
        </w:tc>
        <w:tc>
          <w:tcPr>
            <w:tcW w:w="1400" w:type="dxa"/>
            <w:vAlign w:val="bottom"/>
            <w:vMerge w:val="restart"/>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rPr>
              <w:t>(3.1)</w:t>
            </w:r>
          </w:p>
        </w:tc>
        <w:tc>
          <w:tcPr>
            <w:tcW w:w="0" w:type="dxa"/>
            <w:vAlign w:val="bottom"/>
          </w:tcPr>
          <w:p>
            <w:pPr>
              <w:spacing w:after="0"/>
              <w:rPr>
                <w:sz w:val="1"/>
                <w:szCs w:val="1"/>
                <w:color w:val="auto"/>
              </w:rPr>
            </w:pPr>
          </w:p>
        </w:tc>
      </w:tr>
      <w:tr>
        <w:trPr>
          <w:trHeight w:val="243"/>
        </w:trPr>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zł</w:t>
            </w: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98</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0.1930</w:t>
            </w:r>
          </w:p>
        </w:tc>
        <w:tc>
          <w:tcPr>
            <w:tcW w:w="1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Exp)</w:t>
            </w:r>
          </w:p>
        </w:tc>
        <w:tc>
          <w:tcPr>
            <w:tcW w:w="40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50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Prepaid Exp /</w:t>
            </w:r>
          </w:p>
        </w:tc>
        <w:tc>
          <w:tcPr>
            <w:tcW w:w="4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w:t>
            </w:r>
          </w:p>
        </w:tc>
        <w:tc>
          <w:tcPr>
            <w:tcW w:w="2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4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7"/>
              </w:rPr>
              <w:t>0.7</w:t>
            </w:r>
          </w:p>
        </w:tc>
        <w:tc>
          <w:tcPr>
            <w:tcW w:w="0" w:type="dxa"/>
            <w:vAlign w:val="bottom"/>
          </w:tcPr>
          <w:p>
            <w:pPr>
              <w:spacing w:after="0"/>
              <w:rPr>
                <w:sz w:val="1"/>
                <w:szCs w:val="1"/>
                <w:color w:val="auto"/>
              </w:rPr>
            </w:pPr>
          </w:p>
        </w:tc>
      </w:tr>
      <w:tr>
        <w:trPr>
          <w:trHeight w:val="243"/>
        </w:trPr>
        <w:tc>
          <w:tcPr>
            <w:tcW w:w="11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A$</w:t>
            </w:r>
          </w:p>
        </w:tc>
        <w:tc>
          <w:tcPr>
            <w:tcW w:w="1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82</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w:t>
            </w:r>
          </w:p>
        </w:tc>
        <w:tc>
          <w:tcPr>
            <w:tcW w:w="15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0.6620</w:t>
            </w:r>
          </w:p>
        </w:tc>
        <w:tc>
          <w:tcPr>
            <w:tcW w:w="1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Exp)</w:t>
            </w:r>
          </w:p>
        </w:tc>
        <w:tc>
          <w:tcPr>
            <w:tcW w:w="400" w:type="dxa"/>
            <w:vAlign w:val="bottom"/>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50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Prepaid Exp /</w:t>
            </w:r>
          </w:p>
        </w:tc>
        <w:tc>
          <w:tcPr>
            <w:tcW w:w="4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22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40" w:type="dxa"/>
            <w:vAlign w:val="bottom"/>
          </w:tcPr>
          <w:p>
            <w:pPr>
              <w:spacing w:after="0"/>
              <w:rPr>
                <w:sz w:val="15"/>
                <w:szCs w:val="15"/>
                <w:color w:val="auto"/>
              </w:rPr>
            </w:pPr>
          </w:p>
        </w:tc>
        <w:tc>
          <w:tcPr>
            <w:tcW w:w="1400" w:type="dxa"/>
            <w:vAlign w:val="bottom"/>
            <w:vMerge w:val="restart"/>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rPr>
              <w:t>(0.7)</w:t>
            </w:r>
          </w:p>
        </w:tc>
        <w:tc>
          <w:tcPr>
            <w:tcW w:w="0" w:type="dxa"/>
            <w:vAlign w:val="bottom"/>
          </w:tcPr>
          <w:p>
            <w:pPr>
              <w:spacing w:after="0"/>
              <w:rPr>
                <w:sz w:val="1"/>
                <w:szCs w:val="1"/>
                <w:color w:val="auto"/>
              </w:rPr>
            </w:pPr>
          </w:p>
        </w:tc>
      </w:tr>
      <w:tr>
        <w:trPr>
          <w:trHeight w:val="243"/>
        </w:trPr>
        <w:tc>
          <w:tcPr>
            <w:tcW w:w="11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U.S.$</w:t>
            </w:r>
          </w:p>
        </w:tc>
        <w:tc>
          <w:tcPr>
            <w:tcW w:w="1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109</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100</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0.9191</w:t>
            </w:r>
          </w:p>
        </w:tc>
        <w:tc>
          <w:tcPr>
            <w:tcW w:w="1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(Accrued Exp)</w:t>
            </w:r>
          </w:p>
        </w:tc>
        <w:tc>
          <w:tcPr>
            <w:tcW w:w="4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600" w:type="dxa"/>
            <w:vAlign w:val="bottom"/>
            <w:tcBorders>
              <w:bottom w:val="single" w:sz="8" w:color="auto"/>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fair value of derivative financial instruments</w:t>
            </w:r>
          </w:p>
        </w:tc>
        <w:tc>
          <w:tcPr>
            <w:tcW w:w="8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rPr>
              <w:t>(9.4)</w:t>
            </w:r>
          </w:p>
        </w:tc>
        <w:tc>
          <w:tcPr>
            <w:tcW w:w="0" w:type="dxa"/>
            <w:vAlign w:val="bottom"/>
          </w:tcPr>
          <w:p>
            <w:pPr>
              <w:spacing w:after="0"/>
              <w:rPr>
                <w:sz w:val="1"/>
                <w:szCs w:val="1"/>
                <w:color w:val="auto"/>
              </w:rPr>
            </w:pPr>
          </w:p>
        </w:tc>
      </w:tr>
      <w:tr>
        <w:trPr>
          <w:trHeight w:val="844"/>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F-17</w:t>
            </w: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color w:val="auto"/>
        </w:rPr>
        <w:t>The following is a summary of TJX’s derivative financial instruments, related fair value and balance sheet classification at January 28, 2023:</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Blended</w:t>
            </w:r>
          </w:p>
        </w:tc>
        <w:tc>
          <w:tcPr>
            <w:tcW w:w="152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Balance Sheet</w:t>
            </w:r>
          </w:p>
        </w:tc>
        <w:tc>
          <w:tcPr>
            <w:tcW w:w="380" w:type="dxa"/>
            <w:vAlign w:val="bottom"/>
          </w:tcPr>
          <w:p>
            <w:pPr>
              <w:spacing w:after="0"/>
              <w:rPr>
                <w:sz w:val="17"/>
                <w:szCs w:val="17"/>
                <w:color w:val="auto"/>
              </w:rPr>
            </w:pPr>
          </w:p>
        </w:tc>
        <w:tc>
          <w:tcPr>
            <w:tcW w:w="12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Current</w:t>
            </w:r>
          </w:p>
        </w:tc>
        <w:tc>
          <w:tcPr>
            <w:tcW w:w="10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Current</w:t>
            </w:r>
          </w:p>
        </w:tc>
        <w:tc>
          <w:tcPr>
            <w:tcW w:w="160" w:type="dxa"/>
            <w:vAlign w:val="bottom"/>
          </w:tcPr>
          <w:p>
            <w:pPr>
              <w:spacing w:after="0"/>
              <w:rPr>
                <w:sz w:val="17"/>
                <w:szCs w:val="17"/>
                <w:color w:val="auto"/>
              </w:rPr>
            </w:pPr>
          </w:p>
        </w:tc>
        <w:tc>
          <w:tcPr>
            <w:tcW w:w="14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Net Fair Value</w:t>
            </w: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4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9"/>
              </w:rPr>
              <w:t>Contract</w:t>
            </w:r>
          </w:p>
        </w:tc>
        <w:tc>
          <w:tcPr>
            <w:tcW w:w="15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ind w:right="550"/>
              <w:spacing w:after="0" w:line="176" w:lineRule="exact"/>
              <w:rPr>
                <w:sz w:val="20"/>
                <w:szCs w:val="20"/>
                <w:color w:val="auto"/>
              </w:rPr>
            </w:pPr>
            <w:r>
              <w:rPr>
                <w:rFonts w:ascii="Times New Roman" w:cs="Times New Roman" w:eastAsia="Times New Roman" w:hAnsi="Times New Roman"/>
                <w:sz w:val="18"/>
                <w:szCs w:val="18"/>
                <w:color w:val="auto"/>
              </w:rPr>
              <w:t>Asset</w:t>
            </w:r>
          </w:p>
        </w:tc>
        <w:tc>
          <w:tcPr>
            <w:tcW w:w="108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w w:val="99"/>
              </w:rPr>
              <w:t>(Liability)</w:t>
            </w:r>
          </w:p>
        </w:tc>
        <w:tc>
          <w:tcPr>
            <w:tcW w:w="160" w:type="dxa"/>
            <w:vAlign w:val="bottom"/>
          </w:tcPr>
          <w:p>
            <w:pPr>
              <w:spacing w:after="0"/>
              <w:rPr>
                <w:sz w:val="15"/>
                <w:szCs w:val="15"/>
                <w:color w:val="auto"/>
              </w:rPr>
            </w:pPr>
          </w:p>
        </w:tc>
        <w:tc>
          <w:tcPr>
            <w:tcW w:w="142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8"/>
              </w:rPr>
              <w:t>in U.S.$ at</w:t>
            </w:r>
          </w:p>
        </w:tc>
        <w:tc>
          <w:tcPr>
            <w:tcW w:w="0" w:type="dxa"/>
            <w:vAlign w:val="bottom"/>
          </w:tcPr>
          <w:p>
            <w:pPr>
              <w:spacing w:after="0"/>
              <w:rPr>
                <w:sz w:val="1"/>
                <w:szCs w:val="1"/>
                <w:color w:val="auto"/>
              </w:rPr>
            </w:pPr>
          </w:p>
        </w:tc>
      </w:tr>
      <w:tr>
        <w:trPr>
          <w:trHeight w:val="243"/>
        </w:trPr>
        <w:tc>
          <w:tcPr>
            <w:tcW w:w="1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Pay</w:t>
            </w:r>
          </w:p>
        </w:tc>
        <w:tc>
          <w:tcPr>
            <w:tcW w:w="6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Receive</w:t>
            </w:r>
          </w:p>
        </w:tc>
        <w:tc>
          <w:tcPr>
            <w:tcW w:w="8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6"/>
              </w:rPr>
              <w:t>Rate</w:t>
            </w:r>
          </w:p>
        </w:tc>
        <w:tc>
          <w:tcPr>
            <w:tcW w:w="15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Location</w:t>
            </w: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U.S.$</w:t>
            </w:r>
          </w:p>
        </w:tc>
        <w:tc>
          <w:tcPr>
            <w:tcW w:w="10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U.S.$</w:t>
            </w: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January 28, 2023</w:t>
            </w:r>
          </w:p>
        </w:tc>
        <w:tc>
          <w:tcPr>
            <w:tcW w:w="0" w:type="dxa"/>
            <w:vAlign w:val="bottom"/>
          </w:tcPr>
          <w:p>
            <w:pPr>
              <w:spacing w:after="0"/>
              <w:rPr>
                <w:sz w:val="1"/>
                <w:szCs w:val="1"/>
                <w:color w:val="auto"/>
              </w:rPr>
            </w:pPr>
          </w:p>
        </w:tc>
      </w:tr>
      <w:tr>
        <w:trPr>
          <w:trHeight w:val="223"/>
        </w:trPr>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hedges:</w:t>
            </w:r>
          </w:p>
        </w:tc>
        <w:tc>
          <w:tcPr>
            <w:tcW w:w="6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Intercompany balances, primarily debt:</w:t>
            </w:r>
          </w:p>
        </w:tc>
        <w:tc>
          <w:tcPr>
            <w:tcW w:w="1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60</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0.8807</w:t>
            </w:r>
          </w:p>
        </w:tc>
        <w:tc>
          <w:tcPr>
            <w:tcW w:w="1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Exp)</w:t>
            </w:r>
          </w:p>
        </w:tc>
        <w:tc>
          <w:tcPr>
            <w:tcW w:w="3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9"/>
        </w:trPr>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A$</w:t>
            </w: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w:t>
            </w: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105</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0.7003</w:t>
            </w:r>
          </w:p>
        </w:tc>
        <w:tc>
          <w:tcPr>
            <w:tcW w:w="1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Exp)</w:t>
            </w:r>
          </w:p>
        </w:tc>
        <w:tc>
          <w:tcPr>
            <w:tcW w:w="380" w:type="dxa"/>
            <w:vAlign w:val="bottom"/>
          </w:tcPr>
          <w:p>
            <w:pPr>
              <w:spacing w:after="0"/>
              <w:rPr>
                <w:sz w:val="19"/>
                <w:szCs w:val="19"/>
                <w:color w:val="auto"/>
              </w:rPr>
            </w:pP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Pr>
          <w:p>
            <w:pPr>
              <w:spacing w:after="0"/>
              <w:rPr>
                <w:sz w:val="19"/>
                <w:szCs w:val="19"/>
                <w:color w:val="auto"/>
              </w:rPr>
            </w:pPr>
          </w:p>
        </w:tc>
        <w:tc>
          <w:tcPr>
            <w:tcW w:w="142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0"/>
        </w:trPr>
        <w:tc>
          <w:tcPr>
            <w:tcW w:w="11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U.S.$</w:t>
            </w:r>
          </w:p>
        </w:tc>
        <w:tc>
          <w:tcPr>
            <w:tcW w:w="1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69</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0.8010</w:t>
            </w:r>
          </w:p>
        </w:tc>
        <w:tc>
          <w:tcPr>
            <w:tcW w:w="1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Exp)</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9"/>
        </w:trPr>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w:t>
            </w: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244</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1.2191</w:t>
            </w:r>
          </w:p>
        </w:tc>
        <w:tc>
          <w:tcPr>
            <w:tcW w:w="1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Exp)</w:t>
            </w:r>
          </w:p>
        </w:tc>
        <w:tc>
          <w:tcPr>
            <w:tcW w:w="380" w:type="dxa"/>
            <w:vAlign w:val="bottom"/>
          </w:tcPr>
          <w:p>
            <w:pPr>
              <w:spacing w:after="0"/>
              <w:rPr>
                <w:sz w:val="19"/>
                <w:szCs w:val="19"/>
                <w:color w:val="auto"/>
              </w:rPr>
            </w:pP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tcPr>
          <w:p>
            <w:pPr>
              <w:spacing w:after="0"/>
              <w:rPr>
                <w:sz w:val="19"/>
                <w:szCs w:val="19"/>
                <w:color w:val="auto"/>
              </w:rPr>
            </w:pPr>
          </w:p>
        </w:tc>
        <w:tc>
          <w:tcPr>
            <w:tcW w:w="142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76"/>
        </w:trPr>
        <w:tc>
          <w:tcPr>
            <w:tcW w:w="1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52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Prepaid Exp /</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1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200</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w:t>
            </w:r>
          </w:p>
        </w:tc>
        <w:tc>
          <w:tcPr>
            <w:tcW w:w="1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1.0652</w:t>
            </w:r>
          </w:p>
        </w:tc>
        <w:tc>
          <w:tcPr>
            <w:tcW w:w="1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Exp)</w:t>
            </w: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0.8</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30"/>
        </w:trPr>
        <w:tc>
          <w:tcPr>
            <w:tcW w:w="46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Economic hedges for which hedge accounting was not elected:</w:t>
            </w:r>
          </w:p>
        </w:tc>
        <w:tc>
          <w:tcPr>
            <w:tcW w:w="8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16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Diesel fuel</w:t>
            </w:r>
          </w:p>
        </w:tc>
        <w:tc>
          <w:tcPr>
            <w:tcW w:w="1360" w:type="dxa"/>
            <w:vAlign w:val="bottom"/>
            <w:shd w:val="clear" w:color="auto" w:fill="CCEEFF"/>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rPr>
              <w:t>Fixed on</w:t>
            </w:r>
          </w:p>
        </w:tc>
        <w:tc>
          <w:tcPr>
            <w:tcW w:w="600" w:type="dxa"/>
            <w:vAlign w:val="bottom"/>
            <w:shd w:val="clear" w:color="auto" w:fill="CCEEFF"/>
          </w:tcPr>
          <w:p>
            <w:pPr>
              <w:spacing w:after="0"/>
              <w:rPr>
                <w:sz w:val="15"/>
                <w:szCs w:val="15"/>
                <w:color w:val="auto"/>
              </w:rPr>
            </w:pPr>
          </w:p>
        </w:tc>
        <w:tc>
          <w:tcPr>
            <w:tcW w:w="1480" w:type="dxa"/>
            <w:vAlign w:val="bottom"/>
            <w:shd w:val="clear" w:color="auto" w:fill="CCEEFF"/>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w w:val="97"/>
              </w:rPr>
              <w:t>Float on</w:t>
            </w:r>
          </w:p>
        </w:tc>
        <w:tc>
          <w:tcPr>
            <w:tcW w:w="8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60" w:type="dxa"/>
            <w:vAlign w:val="bottom"/>
            <w:vMerge w:val="continue"/>
            <w:shd w:val="clear" w:color="auto" w:fill="CCEEFF"/>
          </w:tcPr>
          <w:p>
            <w:pPr>
              <w:spacing w:after="0"/>
              <w:rPr>
                <w:sz w:val="15"/>
                <w:szCs w:val="15"/>
                <w:color w:val="auto"/>
              </w:rPr>
            </w:pPr>
          </w:p>
        </w:tc>
        <w:tc>
          <w:tcPr>
            <w:tcW w:w="1360" w:type="dxa"/>
            <w:vAlign w:val="bottom"/>
            <w:shd w:val="clear" w:color="auto" w:fill="CCEEFF"/>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99"/>
              </w:rPr>
              <w:t>3.2M - 3.6M</w:t>
            </w:r>
          </w:p>
        </w:tc>
        <w:tc>
          <w:tcPr>
            <w:tcW w:w="600" w:type="dxa"/>
            <w:vAlign w:val="bottom"/>
            <w:shd w:val="clear" w:color="auto" w:fill="CCEEFF"/>
          </w:tcPr>
          <w:p>
            <w:pPr>
              <w:spacing w:after="0"/>
              <w:rPr>
                <w:sz w:val="15"/>
                <w:szCs w:val="15"/>
                <w:color w:val="auto"/>
              </w:rPr>
            </w:pPr>
          </w:p>
        </w:tc>
        <w:tc>
          <w:tcPr>
            <w:tcW w:w="1480" w:type="dxa"/>
            <w:vAlign w:val="bottom"/>
            <w:shd w:val="clear" w:color="auto" w:fill="CCEEFF"/>
          </w:tcPr>
          <w:p>
            <w:pPr>
              <w:jc w:val="center"/>
              <w:ind w:right="110"/>
              <w:spacing w:after="0" w:line="176" w:lineRule="exact"/>
              <w:rPr>
                <w:sz w:val="20"/>
                <w:szCs w:val="20"/>
                <w:color w:val="auto"/>
              </w:rPr>
            </w:pPr>
            <w:r>
              <w:rPr>
                <w:rFonts w:ascii="Times New Roman" w:cs="Times New Roman" w:eastAsia="Times New Roman" w:hAnsi="Times New Roman"/>
                <w:sz w:val="18"/>
                <w:szCs w:val="18"/>
                <w:color w:val="auto"/>
                <w:w w:val="99"/>
              </w:rPr>
              <w:t>3.2M - 3.6M</w:t>
            </w:r>
          </w:p>
        </w:tc>
        <w:tc>
          <w:tcPr>
            <w:tcW w:w="8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1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contracts</w:t>
            </w:r>
          </w:p>
        </w:tc>
        <w:tc>
          <w:tcPr>
            <w:tcW w:w="136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gal per month</w:t>
            </w:r>
          </w:p>
        </w:tc>
        <w:tc>
          <w:tcPr>
            <w:tcW w:w="600" w:type="dxa"/>
            <w:vAlign w:val="bottom"/>
            <w:shd w:val="clear" w:color="auto" w:fill="CCEEFF"/>
          </w:tcPr>
          <w:p>
            <w:pPr>
              <w:spacing w:after="0"/>
              <w:rPr>
                <w:sz w:val="21"/>
                <w:szCs w:val="21"/>
                <w:color w:val="auto"/>
              </w:rPr>
            </w:pPr>
          </w:p>
        </w:tc>
        <w:tc>
          <w:tcPr>
            <w:tcW w:w="148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9"/>
              </w:rPr>
              <w:t>gal per month</w:t>
            </w:r>
          </w:p>
        </w:tc>
        <w:tc>
          <w:tcPr>
            <w:tcW w:w="23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N/A Prepaid Exp</w:t>
            </w: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3.9</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center"/>
              <w:ind w:left="950"/>
              <w:spacing w:after="0"/>
              <w:rPr>
                <w:sz w:val="20"/>
                <w:szCs w:val="20"/>
                <w:color w:val="auto"/>
              </w:rPr>
            </w:pPr>
            <w:r>
              <w:rPr>
                <w:rFonts w:ascii="Times New Roman" w:cs="Times New Roman" w:eastAsia="Times New Roman" w:hAnsi="Times New Roman"/>
                <w:sz w:val="18"/>
                <w:szCs w:val="18"/>
                <w:color w:val="auto"/>
                <w:w w:val="97"/>
              </w:rPr>
              <w:t>3.9</w:t>
            </w:r>
          </w:p>
        </w:tc>
        <w:tc>
          <w:tcPr>
            <w:tcW w:w="0" w:type="dxa"/>
            <w:vAlign w:val="bottom"/>
          </w:tcPr>
          <w:p>
            <w:pPr>
              <w:spacing w:after="0"/>
              <w:rPr>
                <w:sz w:val="1"/>
                <w:szCs w:val="1"/>
                <w:color w:val="auto"/>
              </w:rPr>
            </w:pPr>
          </w:p>
        </w:tc>
      </w:tr>
    </w:tbl>
    <w:p>
      <w:pPr>
        <w:ind w:left="220"/>
        <w:spacing w:after="0"/>
        <w:rPr>
          <w:sz w:val="20"/>
          <w:szCs w:val="20"/>
          <w:color w:val="auto"/>
        </w:rPr>
      </w:pPr>
      <w:r>
        <w:rPr>
          <w:rFonts w:ascii="Times New Roman" w:cs="Times New Roman" w:eastAsia="Times New Roman" w:hAnsi="Times New Roman"/>
          <w:sz w:val="18"/>
          <w:szCs w:val="18"/>
          <w:color w:val="auto"/>
        </w:rPr>
        <w:t>Intercompany billings in TJX International, primarily merchandise: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5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146</w:t>
            </w:r>
          </w:p>
        </w:tc>
        <w:tc>
          <w:tcPr>
            <w:tcW w:w="148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129</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0.8834</w:t>
            </w:r>
          </w:p>
        </w:tc>
        <w:tc>
          <w:tcPr>
            <w:tcW w:w="1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Prepaid Exp</w:t>
            </w: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9"/>
        </w:trPr>
        <w:tc>
          <w:tcPr>
            <w:tcW w:w="4000" w:type="dxa"/>
            <w:vAlign w:val="bottom"/>
            <w:gridSpan w:val="3"/>
          </w:tcPr>
          <w:p>
            <w:pPr>
              <w:jc w:val="right"/>
              <w:ind w:right="990"/>
              <w:spacing w:after="0"/>
              <w:rPr>
                <w:sz w:val="20"/>
                <w:szCs w:val="20"/>
                <w:color w:val="auto"/>
              </w:rPr>
            </w:pPr>
            <w:r>
              <w:rPr>
                <w:rFonts w:ascii="Times New Roman" w:cs="Times New Roman" w:eastAsia="Times New Roman" w:hAnsi="Times New Roman"/>
                <w:sz w:val="18"/>
                <w:szCs w:val="18"/>
                <w:color w:val="auto"/>
              </w:rPr>
              <w:t>Merchandise purchase commitments:</w:t>
            </w:r>
          </w:p>
        </w:tc>
        <w:tc>
          <w:tcPr>
            <w:tcW w:w="6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176"/>
        </w:trPr>
        <w:tc>
          <w:tcPr>
            <w:tcW w:w="15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38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Prepaid Exp /</w:t>
            </w:r>
          </w:p>
        </w:tc>
        <w:tc>
          <w:tcPr>
            <w:tcW w:w="7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43"/>
        </w:trPr>
        <w:tc>
          <w:tcPr>
            <w:tcW w:w="15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C$</w:t>
            </w: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705</w:t>
            </w:r>
          </w:p>
        </w:tc>
        <w:tc>
          <w:tcPr>
            <w:tcW w:w="148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U.S.$</w:t>
            </w:r>
          </w:p>
        </w:tc>
        <w:tc>
          <w:tcPr>
            <w:tcW w:w="6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525</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0.7449</w:t>
            </w:r>
          </w:p>
        </w:tc>
        <w:tc>
          <w:tcPr>
            <w:tcW w:w="1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Exp)</w:t>
            </w:r>
          </w:p>
        </w:tc>
        <w:tc>
          <w:tcPr>
            <w:tcW w:w="7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5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6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175"/>
        </w:trPr>
        <w:tc>
          <w:tcPr>
            <w:tcW w:w="1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8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Prepaid Exp /</w:t>
            </w: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43"/>
        </w:trPr>
        <w:tc>
          <w:tcPr>
            <w:tcW w:w="15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C$</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23</w:t>
            </w:r>
          </w:p>
        </w:tc>
        <w:tc>
          <w:tcPr>
            <w:tcW w:w="148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16</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0.7064</w:t>
            </w:r>
          </w:p>
        </w:tc>
        <w:tc>
          <w:tcPr>
            <w:tcW w:w="1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Exp)</w:t>
            </w:r>
          </w:p>
        </w:tc>
        <w:tc>
          <w:tcPr>
            <w:tcW w:w="7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5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6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175"/>
        </w:trPr>
        <w:tc>
          <w:tcPr>
            <w:tcW w:w="15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38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Prepaid Exp /</w:t>
            </w:r>
          </w:p>
        </w:tc>
        <w:tc>
          <w:tcPr>
            <w:tcW w:w="7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43"/>
        </w:trPr>
        <w:tc>
          <w:tcPr>
            <w:tcW w:w="15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299</w:t>
            </w:r>
          </w:p>
        </w:tc>
        <w:tc>
          <w:tcPr>
            <w:tcW w:w="148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U.S.$</w:t>
            </w:r>
          </w:p>
        </w:tc>
        <w:tc>
          <w:tcPr>
            <w:tcW w:w="6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356</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1.1916</w:t>
            </w:r>
          </w:p>
        </w:tc>
        <w:tc>
          <w:tcPr>
            <w:tcW w:w="1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Exp)</w:t>
            </w:r>
          </w:p>
        </w:tc>
        <w:tc>
          <w:tcPr>
            <w:tcW w:w="7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5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6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30"/>
        </w:trPr>
        <w:tc>
          <w:tcPr>
            <w:tcW w:w="15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zł</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507</w:t>
            </w:r>
          </w:p>
        </w:tc>
        <w:tc>
          <w:tcPr>
            <w:tcW w:w="148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91</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0.1788</w:t>
            </w:r>
          </w:p>
        </w:tc>
        <w:tc>
          <w:tcPr>
            <w:tcW w:w="1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Exp)</w:t>
            </w:r>
          </w:p>
        </w:tc>
        <w:tc>
          <w:tcPr>
            <w:tcW w:w="7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9"/>
        </w:trPr>
        <w:tc>
          <w:tcPr>
            <w:tcW w:w="15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A$</w:t>
            </w: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104</w:t>
            </w:r>
          </w:p>
        </w:tc>
        <w:tc>
          <w:tcPr>
            <w:tcW w:w="148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U.S.$</w:t>
            </w:r>
          </w:p>
        </w:tc>
        <w:tc>
          <w:tcPr>
            <w:tcW w:w="6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71</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0.6819</w:t>
            </w:r>
          </w:p>
        </w:tc>
        <w:tc>
          <w:tcPr>
            <w:tcW w:w="1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Exp)</w:t>
            </w:r>
          </w:p>
        </w:tc>
        <w:tc>
          <w:tcPr>
            <w:tcW w:w="7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15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U.S.$</w:t>
            </w: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85</w:t>
            </w:r>
          </w:p>
        </w:tc>
        <w:tc>
          <w:tcPr>
            <w:tcW w:w="148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82</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0.9634</w:t>
            </w:r>
          </w:p>
        </w:tc>
        <w:tc>
          <w:tcPr>
            <w:tcW w:w="1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Prepaid Exp</w:t>
            </w:r>
          </w:p>
        </w:tc>
        <w:tc>
          <w:tcPr>
            <w:tcW w:w="7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3"/>
        </w:trPr>
        <w:tc>
          <w:tcPr>
            <w:tcW w:w="4000" w:type="dxa"/>
            <w:vAlign w:val="bottom"/>
            <w:tcBorders>
              <w:bottom w:val="single" w:sz="8" w:color="auto"/>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Total fair value of derivative financial instruments</w:t>
            </w:r>
          </w:p>
        </w:tc>
        <w:tc>
          <w:tcPr>
            <w:tcW w:w="6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w:t>
            </w:r>
          </w:p>
        </w:tc>
        <w:tc>
          <w:tcPr>
            <w:tcW w:w="5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(45.1)</w:t>
            </w: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(32.6)</w:t>
            </w:r>
          </w:p>
        </w:tc>
      </w:tr>
    </w:tbl>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impact of derivative financial instruments on the Consolidated Statements of Income is presented below:</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0" w:type="dxa"/>
            <w:vAlign w:val="bottom"/>
            <w:gridSpan w:val="4"/>
          </w:tcPr>
          <w:p>
            <w:pPr>
              <w:jc w:val="center"/>
              <w:ind w:right="70"/>
              <w:spacing w:after="0"/>
              <w:rPr>
                <w:sz w:val="20"/>
                <w:szCs w:val="20"/>
                <w:color w:val="auto"/>
              </w:rPr>
            </w:pPr>
            <w:r>
              <w:rPr>
                <w:rFonts w:ascii="Times New Roman" w:cs="Times New Roman" w:eastAsia="Times New Roman" w:hAnsi="Times New Roman"/>
                <w:sz w:val="18"/>
                <w:szCs w:val="18"/>
                <w:color w:val="auto"/>
                <w:w w:val="99"/>
              </w:rPr>
              <w:t>Amount of (Loss) Gain Recognized in</w:t>
            </w:r>
          </w:p>
        </w:tc>
        <w:tc>
          <w:tcPr>
            <w:tcW w:w="0" w:type="dxa"/>
            <w:vAlign w:val="bottom"/>
          </w:tcPr>
          <w:p>
            <w:pPr>
              <w:spacing w:after="0"/>
              <w:rPr>
                <w:sz w:val="1"/>
                <w:szCs w:val="1"/>
                <w:color w:val="auto"/>
              </w:rPr>
            </w:pPr>
          </w:p>
        </w:tc>
      </w:tr>
      <w:tr>
        <w:trPr>
          <w:trHeight w:val="239"/>
        </w:trPr>
        <w:tc>
          <w:tcPr>
            <w:tcW w:w="3760" w:type="dxa"/>
            <w:vAlign w:val="bottom"/>
          </w:tcPr>
          <w:p>
            <w:pPr>
              <w:spacing w:after="0"/>
              <w:rPr>
                <w:sz w:val="20"/>
                <w:szCs w:val="20"/>
                <w:color w:val="auto"/>
              </w:rPr>
            </w:pPr>
          </w:p>
        </w:tc>
        <w:tc>
          <w:tcPr>
            <w:tcW w:w="3300" w:type="dxa"/>
            <w:vAlign w:val="bottom"/>
            <w:vMerge w:val="restart"/>
          </w:tcPr>
          <w:p>
            <w:pPr>
              <w:jc w:val="center"/>
              <w:ind w:left="590"/>
              <w:spacing w:after="0"/>
              <w:rPr>
                <w:sz w:val="20"/>
                <w:szCs w:val="20"/>
                <w:color w:val="auto"/>
              </w:rPr>
            </w:pPr>
            <w:r>
              <w:rPr>
                <w:rFonts w:ascii="Times New Roman" w:cs="Times New Roman" w:eastAsia="Times New Roman" w:hAnsi="Times New Roman"/>
                <w:sz w:val="18"/>
                <w:szCs w:val="18"/>
                <w:color w:val="auto"/>
              </w:rPr>
              <w:t>Location of (Loss) Gain</w:t>
            </w:r>
          </w:p>
        </w:tc>
        <w:tc>
          <w:tcPr>
            <w:tcW w:w="18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3"/>
          </w:tcPr>
          <w:p>
            <w:pPr>
              <w:jc w:val="center"/>
              <w:ind w:left="930"/>
              <w:spacing w:after="0"/>
              <w:rPr>
                <w:sz w:val="20"/>
                <w:szCs w:val="20"/>
                <w:color w:val="auto"/>
              </w:rPr>
            </w:pPr>
            <w:r>
              <w:rPr>
                <w:rFonts w:ascii="Times New Roman" w:cs="Times New Roman" w:eastAsia="Times New Roman" w:hAnsi="Times New Roman"/>
                <w:sz w:val="18"/>
                <w:szCs w:val="18"/>
                <w:color w:val="auto"/>
              </w:rPr>
              <w:t>Income by Derivative</w:t>
            </w: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8"/>
        </w:trPr>
        <w:tc>
          <w:tcPr>
            <w:tcW w:w="3760" w:type="dxa"/>
            <w:vAlign w:val="bottom"/>
          </w:tcPr>
          <w:p>
            <w:pPr>
              <w:spacing w:after="0"/>
              <w:rPr>
                <w:sz w:val="3"/>
                <w:szCs w:val="3"/>
                <w:color w:val="auto"/>
              </w:rPr>
            </w:pPr>
          </w:p>
        </w:tc>
        <w:tc>
          <w:tcPr>
            <w:tcW w:w="330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February 3,</w:t>
            </w:r>
          </w:p>
        </w:tc>
        <w:tc>
          <w:tcPr>
            <w:tcW w:w="220" w:type="dxa"/>
            <w:vAlign w:val="bottom"/>
          </w:tcPr>
          <w:p>
            <w:pPr>
              <w:spacing w:after="0"/>
              <w:rPr>
                <w:sz w:val="3"/>
                <w:szCs w:val="3"/>
                <w:color w:val="auto"/>
              </w:rPr>
            </w:pPr>
          </w:p>
        </w:tc>
        <w:tc>
          <w:tcPr>
            <w:tcW w:w="1380" w:type="dxa"/>
            <w:vAlign w:val="bottom"/>
            <w:vMerge w:val="restart"/>
          </w:tcPr>
          <w:p>
            <w:pPr>
              <w:jc w:val="center"/>
              <w:ind w:right="310"/>
              <w:spacing w:after="0"/>
              <w:rPr>
                <w:sz w:val="20"/>
                <w:szCs w:val="20"/>
                <w:color w:val="auto"/>
              </w:rPr>
            </w:pPr>
            <w:r>
              <w:rPr>
                <w:rFonts w:ascii="Times New Roman" w:cs="Times New Roman" w:eastAsia="Times New Roman" w:hAnsi="Times New Roman"/>
                <w:sz w:val="18"/>
                <w:szCs w:val="18"/>
                <w:color w:val="auto"/>
                <w:w w:val="98"/>
              </w:rPr>
              <w:t>January 28,</w:t>
            </w:r>
          </w:p>
        </w:tc>
        <w:tc>
          <w:tcPr>
            <w:tcW w:w="120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8"/>
              </w:rPr>
              <w:t>January 29,</w:t>
            </w:r>
          </w:p>
        </w:tc>
        <w:tc>
          <w:tcPr>
            <w:tcW w:w="0" w:type="dxa"/>
            <w:vAlign w:val="bottom"/>
          </w:tcPr>
          <w:p>
            <w:pPr>
              <w:spacing w:after="0" w:line="20" w:lineRule="exact"/>
              <w:rPr>
                <w:sz w:val="1"/>
                <w:szCs w:val="1"/>
                <w:color w:val="auto"/>
              </w:rPr>
            </w:pPr>
          </w:p>
        </w:tc>
      </w:tr>
      <w:tr>
        <w:trPr>
          <w:trHeight w:val="175"/>
        </w:trPr>
        <w:tc>
          <w:tcPr>
            <w:tcW w:w="3760" w:type="dxa"/>
            <w:vAlign w:val="bottom"/>
          </w:tcPr>
          <w:p>
            <w:pPr>
              <w:spacing w:after="0"/>
              <w:rPr>
                <w:sz w:val="15"/>
                <w:szCs w:val="15"/>
                <w:color w:val="auto"/>
              </w:rPr>
            </w:pPr>
          </w:p>
        </w:tc>
        <w:tc>
          <w:tcPr>
            <w:tcW w:w="3300" w:type="dxa"/>
            <w:vAlign w:val="bottom"/>
          </w:tcPr>
          <w:p>
            <w:pPr>
              <w:jc w:val="center"/>
              <w:ind w:left="610"/>
              <w:spacing w:after="0" w:line="176" w:lineRule="exact"/>
              <w:rPr>
                <w:sz w:val="20"/>
                <w:szCs w:val="20"/>
                <w:color w:val="auto"/>
              </w:rPr>
            </w:pPr>
            <w:r>
              <w:rPr>
                <w:rFonts w:ascii="Times New Roman" w:cs="Times New Roman" w:eastAsia="Times New Roman" w:hAnsi="Times New Roman"/>
                <w:sz w:val="18"/>
                <w:szCs w:val="18"/>
                <w:color w:val="auto"/>
                <w:w w:val="99"/>
              </w:rPr>
              <w:t>Recognized in Income by</w:t>
            </w:r>
          </w:p>
        </w:tc>
        <w:tc>
          <w:tcPr>
            <w:tcW w:w="18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300" w:type="dxa"/>
            <w:vAlign w:val="bottom"/>
            <w:tcBorders>
              <w:bottom w:val="single" w:sz="8" w:color="auto"/>
            </w:tcBorders>
          </w:tcPr>
          <w:p>
            <w:pPr>
              <w:jc w:val="center"/>
              <w:ind w:left="610"/>
              <w:spacing w:after="0"/>
              <w:rPr>
                <w:sz w:val="20"/>
                <w:szCs w:val="20"/>
                <w:color w:val="auto"/>
              </w:rPr>
            </w:pPr>
            <w:r>
              <w:rPr>
                <w:rFonts w:ascii="Times New Roman" w:cs="Times New Roman" w:eastAsia="Times New Roman" w:hAnsi="Times New Roman"/>
                <w:sz w:val="18"/>
                <w:szCs w:val="18"/>
                <w:color w:val="auto"/>
                <w:w w:val="99"/>
              </w:rPr>
              <w:t>Derivative</w:t>
            </w: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color w:val="auto"/>
                <w:w w:val="99"/>
              </w:rPr>
              <w:t>2023</w:t>
            </w:r>
          </w:p>
        </w:tc>
        <w:tc>
          <w:tcPr>
            <w:tcW w:w="12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25"/>
        </w:trPr>
        <w:tc>
          <w:tcPr>
            <w:tcW w:w="376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(53 weeks)</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hedges:</w:t>
            </w:r>
          </w:p>
        </w:tc>
        <w:tc>
          <w:tcPr>
            <w:tcW w:w="3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Intercompany balances, primarily debt</w:t>
            </w:r>
          </w:p>
        </w:tc>
        <w:tc>
          <w:tcPr>
            <w:tcW w:w="3300" w:type="dxa"/>
            <w:vAlign w:val="bottom"/>
          </w:tcPr>
          <w:p>
            <w:pPr>
              <w:jc w:val="center"/>
              <w:ind w:left="590"/>
              <w:spacing w:after="0" w:line="176" w:lineRule="exact"/>
              <w:rPr>
                <w:sz w:val="20"/>
                <w:szCs w:val="20"/>
                <w:color w:val="auto"/>
              </w:rPr>
            </w:pPr>
            <w:r>
              <w:rPr>
                <w:rFonts w:ascii="Times New Roman" w:cs="Times New Roman" w:eastAsia="Times New Roman" w:hAnsi="Times New Roman"/>
                <w:sz w:val="18"/>
                <w:szCs w:val="18"/>
                <w:color w:val="auto"/>
                <w:w w:val="99"/>
              </w:rPr>
              <w:t>Selling, general and administrative</w:t>
            </w: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760" w:type="dxa"/>
            <w:vAlign w:val="bottom"/>
            <w:vMerge w:val="continue"/>
          </w:tcPr>
          <w:p>
            <w:pPr>
              <w:spacing w:after="0"/>
              <w:rPr>
                <w:sz w:val="12"/>
                <w:szCs w:val="12"/>
                <w:color w:val="auto"/>
              </w:rPr>
            </w:pPr>
          </w:p>
        </w:tc>
        <w:tc>
          <w:tcPr>
            <w:tcW w:w="3300" w:type="dxa"/>
            <w:vAlign w:val="bottom"/>
            <w:vMerge w:val="restart"/>
          </w:tcPr>
          <w:p>
            <w:pPr>
              <w:jc w:val="center"/>
              <w:ind w:left="590"/>
              <w:spacing w:after="0"/>
              <w:rPr>
                <w:sz w:val="20"/>
                <w:szCs w:val="20"/>
                <w:color w:val="auto"/>
              </w:rPr>
            </w:pPr>
            <w:r>
              <w:rPr>
                <w:rFonts w:ascii="Times New Roman" w:cs="Times New Roman" w:eastAsia="Times New Roman" w:hAnsi="Times New Roman"/>
                <w:sz w:val="18"/>
                <w:szCs w:val="18"/>
                <w:color w:val="auto"/>
              </w:rPr>
              <w:t>expenses</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95"/>
        </w:trPr>
        <w:tc>
          <w:tcPr>
            <w:tcW w:w="3760" w:type="dxa"/>
            <w:vAlign w:val="bottom"/>
          </w:tcPr>
          <w:p>
            <w:pPr>
              <w:spacing w:after="0"/>
              <w:rPr>
                <w:sz w:val="8"/>
                <w:szCs w:val="8"/>
                <w:color w:val="auto"/>
              </w:rPr>
            </w:pPr>
          </w:p>
        </w:tc>
        <w:tc>
          <w:tcPr>
            <w:tcW w:w="3300" w:type="dxa"/>
            <w:vAlign w:val="bottom"/>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46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Economic hedges for which hedge accounting was not elected:</w:t>
      </w:r>
    </w:p>
    <w:tbl>
      <w:tblPr>
        <w:tblLayout w:type="fixed"/>
        <w:tblInd w:w="0" w:type="dxa"/>
        <w:tblCellMar>
          <w:top w:w="0" w:type="dxa"/>
          <w:left w:w="0" w:type="dxa"/>
          <w:bottom w:w="0" w:type="dxa"/>
          <w:right w:w="0" w:type="dxa"/>
        </w:tblCellMar>
      </w:tblPr>
      <w:tr>
        <w:trPr>
          <w:trHeight w:val="198"/>
        </w:trPr>
        <w:tc>
          <w:tcPr>
            <w:tcW w:w="42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Diesel fuel contracts</w:t>
            </w:r>
          </w:p>
        </w:tc>
        <w:tc>
          <w:tcPr>
            <w:tcW w:w="2780" w:type="dxa"/>
            <w:vAlign w:val="bottom"/>
          </w:tcPr>
          <w:p>
            <w:pPr>
              <w:jc w:val="center"/>
              <w:ind w:left="70"/>
              <w:spacing w:after="0" w:line="198" w:lineRule="exact"/>
              <w:rPr>
                <w:sz w:val="20"/>
                <w:szCs w:val="20"/>
                <w:color w:val="auto"/>
              </w:rPr>
            </w:pPr>
            <w:r>
              <w:rPr>
                <w:rFonts w:ascii="Times New Roman" w:cs="Times New Roman" w:eastAsia="Times New Roman" w:hAnsi="Times New Roman"/>
                <w:sz w:val="18"/>
                <w:szCs w:val="18"/>
                <w:color w:val="auto"/>
                <w:w w:val="99"/>
              </w:rPr>
              <w:t>Cost of sales, including buying and</w:t>
            </w:r>
          </w:p>
        </w:tc>
        <w:tc>
          <w:tcPr>
            <w:tcW w:w="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4280" w:type="dxa"/>
            <w:vAlign w:val="bottom"/>
            <w:vMerge w:val="continue"/>
          </w:tcPr>
          <w:p>
            <w:pPr>
              <w:spacing w:after="0"/>
              <w:rPr>
                <w:sz w:val="12"/>
                <w:szCs w:val="12"/>
                <w:color w:val="auto"/>
              </w:rPr>
            </w:pPr>
          </w:p>
        </w:tc>
        <w:tc>
          <w:tcPr>
            <w:tcW w:w="278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rPr>
              <w:t>occupancy costs</w:t>
            </w:r>
          </w:p>
        </w:tc>
        <w:tc>
          <w:tcPr>
            <w:tcW w:w="6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5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5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95"/>
        </w:trPr>
        <w:tc>
          <w:tcPr>
            <w:tcW w:w="4280" w:type="dxa"/>
            <w:vAlign w:val="bottom"/>
          </w:tcPr>
          <w:p>
            <w:pPr>
              <w:spacing w:after="0"/>
              <w:rPr>
                <w:sz w:val="8"/>
                <w:szCs w:val="8"/>
                <w:color w:val="auto"/>
              </w:rPr>
            </w:pPr>
          </w:p>
        </w:tc>
        <w:tc>
          <w:tcPr>
            <w:tcW w:w="278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428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Intercompany billings in TJX International, primarily</w:t>
            </w:r>
          </w:p>
        </w:tc>
        <w:tc>
          <w:tcPr>
            <w:tcW w:w="2780" w:type="dxa"/>
            <w:vAlign w:val="bottom"/>
            <w:shd w:val="clear" w:color="auto" w:fill="CCEEFF"/>
          </w:tcPr>
          <w:p>
            <w:pPr>
              <w:jc w:val="center"/>
              <w:ind w:left="70"/>
              <w:spacing w:after="0" w:line="176" w:lineRule="exact"/>
              <w:rPr>
                <w:sz w:val="20"/>
                <w:szCs w:val="20"/>
                <w:color w:val="auto"/>
              </w:rPr>
            </w:pPr>
            <w:r>
              <w:rPr>
                <w:rFonts w:ascii="Times New Roman" w:cs="Times New Roman" w:eastAsia="Times New Roman" w:hAnsi="Times New Roman"/>
                <w:sz w:val="18"/>
                <w:szCs w:val="18"/>
                <w:color w:val="auto"/>
                <w:w w:val="99"/>
              </w:rPr>
              <w:t>Cost of sales, including buying and</w:t>
            </w:r>
          </w:p>
        </w:tc>
        <w:tc>
          <w:tcPr>
            <w:tcW w:w="6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5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merchandise</w:t>
            </w:r>
          </w:p>
        </w:tc>
        <w:tc>
          <w:tcPr>
            <w:tcW w:w="278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occupancy costs</w:t>
            </w:r>
          </w:p>
        </w:tc>
        <w:tc>
          <w:tcPr>
            <w:tcW w:w="600" w:type="dxa"/>
            <w:vAlign w:val="bottom"/>
            <w:shd w:val="clear" w:color="auto" w:fill="CCEEFF"/>
          </w:tcPr>
          <w:p>
            <w:pPr>
              <w:spacing w:after="0"/>
              <w:rPr>
                <w:sz w:val="21"/>
                <w:szCs w:val="21"/>
                <w:color w:val="auto"/>
              </w:rPr>
            </w:pPr>
          </w:p>
        </w:tc>
        <w:tc>
          <w:tcPr>
            <w:tcW w:w="800" w:type="dxa"/>
            <w:vAlign w:val="bottom"/>
            <w:vMerge w:val="continue"/>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5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75"/>
        </w:trPr>
        <w:tc>
          <w:tcPr>
            <w:tcW w:w="42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Merchandise purchase commitments</w:t>
            </w:r>
          </w:p>
        </w:tc>
        <w:tc>
          <w:tcPr>
            <w:tcW w:w="2780" w:type="dxa"/>
            <w:vAlign w:val="bottom"/>
          </w:tcPr>
          <w:p>
            <w:pPr>
              <w:jc w:val="center"/>
              <w:ind w:left="70"/>
              <w:spacing w:after="0" w:line="176" w:lineRule="exact"/>
              <w:rPr>
                <w:sz w:val="20"/>
                <w:szCs w:val="20"/>
                <w:color w:val="auto"/>
              </w:rPr>
            </w:pPr>
            <w:r>
              <w:rPr>
                <w:rFonts w:ascii="Times New Roman" w:cs="Times New Roman" w:eastAsia="Times New Roman" w:hAnsi="Times New Roman"/>
                <w:sz w:val="18"/>
                <w:szCs w:val="18"/>
                <w:color w:val="auto"/>
                <w:w w:val="99"/>
              </w:rPr>
              <w:t>Cost of sales, including buying and</w:t>
            </w:r>
          </w:p>
        </w:tc>
        <w:tc>
          <w:tcPr>
            <w:tcW w:w="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280" w:type="dxa"/>
            <w:vAlign w:val="bottom"/>
            <w:vMerge w:val="continue"/>
          </w:tcPr>
          <w:p>
            <w:pPr>
              <w:spacing w:after="0"/>
              <w:rPr>
                <w:sz w:val="12"/>
                <w:szCs w:val="12"/>
                <w:color w:val="auto"/>
              </w:rPr>
            </w:pPr>
          </w:p>
        </w:tc>
        <w:tc>
          <w:tcPr>
            <w:tcW w:w="278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rPr>
              <w:t>occupancy costs</w:t>
            </w:r>
          </w:p>
        </w:tc>
        <w:tc>
          <w:tcPr>
            <w:tcW w:w="6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5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5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94"/>
        </w:trPr>
        <w:tc>
          <w:tcPr>
            <w:tcW w:w="4280" w:type="dxa"/>
            <w:vAlign w:val="bottom"/>
            <w:tcBorders>
              <w:bottom w:val="single" w:sz="8" w:color="auto"/>
            </w:tcBorders>
          </w:tcPr>
          <w:p>
            <w:pPr>
              <w:spacing w:after="0"/>
              <w:rPr>
                <w:sz w:val="8"/>
                <w:szCs w:val="8"/>
                <w:color w:val="auto"/>
              </w:rPr>
            </w:pPr>
          </w:p>
        </w:tc>
        <w:tc>
          <w:tcPr>
            <w:tcW w:w="2780" w:type="dxa"/>
            <w:vAlign w:val="bottom"/>
            <w:tcBorders>
              <w:bottom w:val="single" w:sz="8" w:color="auto"/>
            </w:tcBorders>
            <w:vMerge w:val="continue"/>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vMerge w:val="continue"/>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vMerge w:val="continue"/>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4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gain recognized in income</w:t>
            </w:r>
          </w:p>
        </w:tc>
        <w:tc>
          <w:tcPr>
            <w:tcW w:w="27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Included in the table above are realized losses of $23 million in fiscal 2024 and realized gains of $200 million in fiscal 2023 and $54 million in fiscal 2022, all of which were largely offset by gains and losses on the underlying hedged item.</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22"/>
          <w:szCs w:val="22"/>
          <w:b w:val="1"/>
          <w:bCs w:val="1"/>
          <w:color w:val="auto"/>
        </w:rPr>
        <w:t>Note F. Fair Value Measurements</w:t>
      </w:r>
    </w:p>
    <w:p>
      <w:pPr>
        <w:spacing w:after="0" w:line="111"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or “exit price”. The inputs used to measure fair value are generally classified into the following hierarchy:</w:t>
      </w:r>
    </w:p>
    <w:p>
      <w:pPr>
        <w:spacing w:after="0" w:line="2" w:lineRule="exact"/>
        <w:rPr>
          <w:sz w:val="20"/>
          <w:szCs w:val="20"/>
          <w:color w:val="auto"/>
        </w:rPr>
      </w:pPr>
    </w:p>
    <w:p>
      <w:pPr>
        <w:ind w:left="20"/>
        <w:spacing w:after="0"/>
        <w:tabs>
          <w:tab w:leader="none" w:pos="126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8"/>
          <w:szCs w:val="18"/>
          <w:color w:val="auto"/>
        </w:rPr>
        <w:t>Unadjusted quoted prices in active markets for identical assets or liabilities</w:t>
      </w:r>
    </w:p>
    <w:p>
      <w:pPr>
        <w:spacing w:after="0" w:line="25" w:lineRule="exact"/>
        <w:rPr>
          <w:sz w:val="20"/>
          <w:szCs w:val="20"/>
          <w:color w:val="auto"/>
        </w:rPr>
      </w:pPr>
    </w:p>
    <w:p>
      <w:pPr>
        <w:ind w:left="20"/>
        <w:spacing w:after="0"/>
        <w:tabs>
          <w:tab w:leader="none" w:pos="126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8"/>
          <w:szCs w:val="18"/>
          <w:color w:val="auto"/>
        </w:rPr>
        <w:t>Unadjusted quoted prices in active markets for similar assets or liabilities, or unadjusted quoted prices for identical or similar assets or</w:t>
      </w:r>
    </w:p>
    <w:p>
      <w:pPr>
        <w:ind w:left="1280"/>
        <w:spacing w:after="0"/>
        <w:rPr>
          <w:sz w:val="20"/>
          <w:szCs w:val="20"/>
          <w:color w:val="auto"/>
        </w:rPr>
      </w:pPr>
      <w:r>
        <w:rPr>
          <w:rFonts w:ascii="Times New Roman" w:cs="Times New Roman" w:eastAsia="Times New Roman" w:hAnsi="Times New Roman"/>
          <w:sz w:val="18"/>
          <w:szCs w:val="18"/>
          <w:color w:val="auto"/>
        </w:rPr>
        <w:t>liabilities in markets that are not active, or inputs other than quoted prices that are observable for the asset or liability</w:t>
      </w:r>
    </w:p>
    <w:p>
      <w:pPr>
        <w:spacing w:after="0" w:line="7" w:lineRule="exact"/>
        <w:rPr>
          <w:sz w:val="20"/>
          <w:szCs w:val="20"/>
          <w:color w:val="auto"/>
        </w:rPr>
      </w:pPr>
    </w:p>
    <w:p>
      <w:pPr>
        <w:ind w:left="20"/>
        <w:spacing w:after="0"/>
        <w:tabs>
          <w:tab w:leader="none" w:pos="126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7"/>
          <w:szCs w:val="17"/>
          <w:color w:val="auto"/>
        </w:rPr>
        <w:t>Unobservable inputs for the asset or liability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TJX’s financial assets and liabilities that are accounted for at fair value on a recurring basis: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3"/>
          </w:tcPr>
          <w:p>
            <w:pPr>
              <w:jc w:val="right"/>
              <w:ind w:right="710"/>
              <w:spacing w:after="0"/>
              <w:rPr>
                <w:sz w:val="20"/>
                <w:szCs w:val="20"/>
                <w:color w:val="auto"/>
              </w:rPr>
            </w:pPr>
            <w:r>
              <w:rPr>
                <w:rFonts w:ascii="Times New Roman" w:cs="Times New Roman" w:eastAsia="Times New Roman" w:hAnsi="Times New Roman"/>
                <w:sz w:val="18"/>
                <w:szCs w:val="18"/>
                <w:color w:val="auto"/>
              </w:rPr>
              <w:t>Fiscal Year Ended</w:t>
            </w:r>
          </w:p>
        </w:tc>
      </w:tr>
      <w:tr>
        <w:trPr>
          <w:trHeight w:val="169"/>
        </w:trPr>
        <w:tc>
          <w:tcPr>
            <w:tcW w:w="8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right"/>
              <w:ind w:right="150"/>
              <w:spacing w:after="0" w:line="169" w:lineRule="exact"/>
              <w:rPr>
                <w:sz w:val="20"/>
                <w:szCs w:val="20"/>
                <w:color w:val="auto"/>
              </w:rPr>
            </w:pPr>
            <w:r>
              <w:rPr>
                <w:rFonts w:ascii="Times New Roman" w:cs="Times New Roman" w:eastAsia="Times New Roman" w:hAnsi="Times New Roman"/>
                <w:sz w:val="18"/>
                <w:szCs w:val="18"/>
                <w:b w:val="1"/>
                <w:bCs w:val="1"/>
                <w:color w:val="auto"/>
              </w:rPr>
              <w:t>February 3,</w:t>
            </w:r>
          </w:p>
        </w:tc>
        <w:tc>
          <w:tcPr>
            <w:tcW w:w="240" w:type="dxa"/>
            <w:vAlign w:val="bottom"/>
          </w:tcPr>
          <w:p>
            <w:pPr>
              <w:spacing w:after="0"/>
              <w:rPr>
                <w:sz w:val="14"/>
                <w:szCs w:val="14"/>
                <w:color w:val="auto"/>
              </w:rPr>
            </w:pPr>
          </w:p>
        </w:tc>
        <w:tc>
          <w:tcPr>
            <w:tcW w:w="1240" w:type="dxa"/>
            <w:vAlign w:val="bottom"/>
          </w:tcPr>
          <w:p>
            <w:pPr>
              <w:jc w:val="right"/>
              <w:ind w:right="230"/>
              <w:spacing w:after="0" w:line="169" w:lineRule="exact"/>
              <w:rPr>
                <w:sz w:val="20"/>
                <w:szCs w:val="20"/>
                <w:color w:val="auto"/>
              </w:rPr>
            </w:pPr>
            <w:r>
              <w:rPr>
                <w:rFonts w:ascii="Times New Roman" w:cs="Times New Roman" w:eastAsia="Times New Roman" w:hAnsi="Times New Roman"/>
                <w:sz w:val="18"/>
                <w:szCs w:val="18"/>
                <w:color w:val="auto"/>
              </w:rPr>
              <w:t>January 28,</w:t>
            </w:r>
          </w:p>
        </w:tc>
      </w:tr>
      <w:tr>
        <w:trPr>
          <w:trHeight w:val="241"/>
        </w:trPr>
        <w:tc>
          <w:tcPr>
            <w:tcW w:w="8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r>
      <w:tr>
        <w:trPr>
          <w:trHeight w:val="225"/>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Level 1</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8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8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Executive Savings Plan investments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405.7</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w:t>
            </w:r>
          </w:p>
        </w:tc>
      </w:tr>
      <w:tr>
        <w:trPr>
          <w:trHeight w:val="22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Level 2</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8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8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30"/>
        </w:trPr>
        <w:tc>
          <w:tcPr>
            <w:tcW w:w="8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Diesel fuel contracts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8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8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r>
      <w:tr>
        <w:trPr>
          <w:trHeight w:val="230"/>
        </w:trPr>
        <w:tc>
          <w:tcPr>
            <w:tcW w:w="83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Diesel fuel contracts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8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Investments designed to meet obligations under the Executive Savings Plan are invested in registered investment companies traded in active markets and are recorded at unadjusted quoted prices.</w:t>
      </w:r>
    </w:p>
    <w:p>
      <w:pPr>
        <w:spacing w:after="0" w:line="5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Foreign currency exchange contracts and diesel fuel contracts are valued using broker quotations, which include observable market information. TJX does not make adjustments to quotes or prices obtained from brokers or pricing services but does assess the credit risk of counterparties and will adjust final valuations when appropriate. Where independent pricing services provide fair values, TJX obtains an understanding of the methods used in pricing. As such, these instruments are classified within Level 2.</w:t>
      </w:r>
    </w:p>
    <w:p>
      <w:pPr>
        <w:spacing w:after="0" w:line="7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fair value of TJX’s general corporate debt was estimated by obtaining market quotes given the trading levels of other bonds of the same general issuer type and market perceived credit quality. These inputs are considered to be Level 2 inputs. These estimates do not necessarily reflect provisions or restrictions in the various debt agreements that might affect TJX’s ability to settle these obligations.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carrying value and fair value estimates of our components of long-term debt: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Fiscal Year Ended</w:t>
            </w: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r>
      <w:tr>
        <w:trPr>
          <w:trHeight w:val="169"/>
        </w:trPr>
        <w:tc>
          <w:tcPr>
            <w:tcW w:w="5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20" w:type="dxa"/>
            <w:vAlign w:val="bottom"/>
            <w:gridSpan w:val="2"/>
          </w:tcPr>
          <w:p>
            <w:pPr>
              <w:jc w:val="right"/>
              <w:ind w:right="1050"/>
              <w:spacing w:after="0" w:line="169" w:lineRule="exact"/>
              <w:rPr>
                <w:sz w:val="20"/>
                <w:szCs w:val="20"/>
                <w:color w:val="auto"/>
              </w:rPr>
            </w:pPr>
            <w:r>
              <w:rPr>
                <w:rFonts w:ascii="Times New Roman" w:cs="Times New Roman" w:eastAsia="Times New Roman" w:hAnsi="Times New Roman"/>
                <w:sz w:val="18"/>
                <w:szCs w:val="18"/>
                <w:b w:val="1"/>
                <w:bCs w:val="1"/>
                <w:color w:val="auto"/>
              </w:rPr>
              <w:t>February 3,</w:t>
            </w:r>
          </w:p>
        </w:tc>
        <w:tc>
          <w:tcPr>
            <w:tcW w:w="2740" w:type="dxa"/>
            <w:vAlign w:val="bottom"/>
            <w:gridSpan w:val="3"/>
          </w:tcPr>
          <w:p>
            <w:pPr>
              <w:jc w:val="right"/>
              <w:ind w:right="930"/>
              <w:spacing w:after="0" w:line="169" w:lineRule="exact"/>
              <w:rPr>
                <w:sz w:val="20"/>
                <w:szCs w:val="20"/>
                <w:color w:val="auto"/>
              </w:rPr>
            </w:pPr>
            <w:r>
              <w:rPr>
                <w:rFonts w:ascii="Times New Roman" w:cs="Times New Roman" w:eastAsia="Times New Roman" w:hAnsi="Times New Roman"/>
                <w:sz w:val="18"/>
                <w:szCs w:val="18"/>
                <w:color w:val="auto"/>
              </w:rPr>
              <w:t>January 28,</w:t>
            </w:r>
          </w:p>
        </w:tc>
      </w:tr>
      <w:tr>
        <w:trPr>
          <w:trHeight w:val="241"/>
        </w:trPr>
        <w:tc>
          <w:tcPr>
            <w:tcW w:w="54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180" w:type="dxa"/>
            <w:vAlign w:val="bottom"/>
            <w:tcBorders>
              <w:bottom w:val="single" w:sz="8" w:color="auto"/>
            </w:tcBorders>
          </w:tcPr>
          <w:p>
            <w:pPr>
              <w:spacing w:after="0"/>
              <w:rPr>
                <w:sz w:val="20"/>
                <w:szCs w:val="20"/>
                <w:color w:val="auto"/>
              </w:rPr>
            </w:pPr>
          </w:p>
        </w:tc>
      </w:tr>
      <w:tr>
        <w:trPr>
          <w:trHeight w:val="225"/>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7"/>
              </w:rPr>
              <w:t>Carrying Value</w:t>
            </w:r>
          </w:p>
        </w:tc>
        <w:tc>
          <w:tcPr>
            <w:tcW w:w="13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8"/>
              </w:rPr>
              <w:t>Carrying Value</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Fair Value</w:t>
            </w:r>
          </w:p>
        </w:tc>
      </w:tr>
      <w:tr>
        <w:trPr>
          <w:trHeight w:val="22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r>
      <w:tr>
        <w:trPr>
          <w:trHeight w:val="230"/>
        </w:trPr>
        <w:tc>
          <w:tcPr>
            <w:tcW w:w="54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2,862 $</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2,630 </w:t>
            </w: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2,859</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on long-term debt, see Note J—Long-Term Debt and Credit Lines.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TJX’s cash equivalents are stated at cost, which approximates fair value due to the short maturities of these instruments.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65" w:name="page66"/>
    <w:bookmarkEnd w:id="65"/>
    <w:p>
      <w:pPr>
        <w:ind w:right="140"/>
        <w:spacing w:after="0" w:line="266" w:lineRule="auto"/>
        <w:rPr>
          <w:sz w:val="20"/>
          <w:szCs w:val="20"/>
          <w:color w:val="auto"/>
        </w:rPr>
      </w:pPr>
      <w:r>
        <w:rPr>
          <w:rFonts w:ascii="Times New Roman" w:cs="Times New Roman" w:eastAsia="Times New Roman" w:hAnsi="Times New Roman"/>
          <w:sz w:val="18"/>
          <w:szCs w:val="18"/>
          <w:color w:val="auto"/>
        </w:rPr>
        <w:t>Certain assets and liabilities are measured at fair value on a nonrecurring basis, whereas the majority of assets and liabilities are not measured at fair value on an ongoing basis, but are subject to fair value adjustments in certain circumstances, such as when there is evidence of an impairment. For the years ended February 3, 2024, January 28, 2023 and January 29, 2022, the Company did not record any material impairments to long-lived assets.</w:t>
      </w:r>
    </w:p>
    <w:p>
      <w:pPr>
        <w:spacing w:after="0" w:line="68"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During the first quarter of fiscal 2023, the Company announced its intention to divest from its position in its minority investment in Familia and re-characterized this investment as held-for-sale valued as a Level 3 position. Given the lack of an active market or observable inputs, the Company derived an exit price which indicated that this investment had no market value. As a result, the Company recorded a $218 million charge in the first quarter of fiscal 2023, which represented the entirety of its investment. See Note A—Basis of Presentation and Summary of Accounting Policies for additional information.</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G. Segment Information</w:t>
      </w:r>
    </w:p>
    <w:p>
      <w:pPr>
        <w:spacing w:after="0" w:line="11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TJX operates four main business segments. In the United States, the Marmaxx segment operates TJ Maxx, Marshalls, tjmaxx.com and marshalls.com and the HomeGoods segment operates HomeGoods and Homesense. The TJX Canada segment operates Winners, HomeSense and Marshalls in Canada, and the TJX International segment operates TK Maxx and Homesense, as well as tkmaxx.com, tkmaxx.de, and tkmaxx.at in Europe and TK Maxx in Australia. In addition to the Company’s four main business segments, Sierra operates retail stores and sierra.com in the U.S. The results of Sierra are included in the Marmaxx segment. In the third quarter of fiscal 2024, the Company closed its HomeGoods e-commerce business.</w:t>
      </w:r>
    </w:p>
    <w:p>
      <w:pPr>
        <w:spacing w:after="0" w:line="75"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8"/>
          <w:szCs w:val="18"/>
          <w:color w:val="auto"/>
        </w:rPr>
        <w:t>All of TJX’s stores, with the exception of HomeGoods and HomeSense/Homesense, sell family apparel and home fashions. HomeGoods and HomeSense/Homesense offer home fashions. The percentages of the Company’s consolidated revenues by major product category for the last three fiscal years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Fiscal 2024</w:t>
            </w:r>
          </w:p>
        </w:tc>
        <w:tc>
          <w:tcPr>
            <w:tcW w:w="15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Fiscal 2023</w:t>
            </w:r>
          </w:p>
        </w:tc>
        <w:tc>
          <w:tcPr>
            <w:tcW w:w="13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Fiscal 2022</w:t>
            </w:r>
          </w:p>
        </w:tc>
      </w:tr>
      <w:tr>
        <w:trPr>
          <w:trHeight w:val="22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Apparel:</w:t>
            </w:r>
          </w:p>
        </w:tc>
        <w:tc>
          <w:tcPr>
            <w:tcW w:w="3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5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Clothing including footwear</w:t>
            </w:r>
          </w:p>
        </w:tc>
        <w:tc>
          <w:tcPr>
            <w:tcW w:w="32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47 %</w:t>
            </w:r>
          </w:p>
        </w:tc>
        <w:tc>
          <w:tcPr>
            <w:tcW w:w="15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48 %</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29"/>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Accessories including jewelry and beauty</w:t>
            </w:r>
          </w:p>
        </w:tc>
        <w:tc>
          <w:tcPr>
            <w:tcW w:w="32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18</w:t>
            </w:r>
          </w:p>
        </w:tc>
        <w:tc>
          <w:tcPr>
            <w:tcW w:w="15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17</w:t>
            </w: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Home fashions</w:t>
            </w:r>
          </w:p>
        </w:tc>
        <w:tc>
          <w:tcPr>
            <w:tcW w:w="32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35</w:t>
            </w:r>
          </w:p>
        </w:tc>
        <w:tc>
          <w:tcPr>
            <w:tcW w:w="15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35</w:t>
            </w:r>
          </w:p>
        </w:tc>
        <w:tc>
          <w:tcPr>
            <w:tcW w:w="1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38</w:t>
            </w:r>
          </w:p>
        </w:tc>
      </w:tr>
      <w:tr>
        <w:trPr>
          <w:trHeight w:val="223"/>
        </w:trPr>
        <w:tc>
          <w:tcPr>
            <w:tcW w:w="50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2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100 %</w:t>
            </w:r>
          </w:p>
        </w:tc>
        <w:tc>
          <w:tcPr>
            <w:tcW w:w="15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100 %</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bl>
    <w:p>
      <w:pPr>
        <w:spacing w:after="0" w:line="18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TJX evaluates the performance of its segments based on “segment profit or loss,” which it defines as pre-tax income or loss before general corporate expense, interest (income) expense, net and certain separately disclosed unusual or infrequent items. “Segment profit or loss,” as defined by TJX, may not be comparable to similarly titled measures used by other entities. This measure of performance should not be considered an alternative to net income or cash flows from operating activities as an indicator of TJX’s performance or as a measure of liquidity.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34"/>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Presented below is financial information with respect to TJX’s business segments:</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56"/>
        </w:trPr>
        <w:tc>
          <w:tcPr>
            <w:tcW w:w="68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7"/>
              </w:rPr>
              <w:t>Fiscal Year Ended</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r>
      <w:tr>
        <w:trPr>
          <w:trHeight w:val="169"/>
        </w:trPr>
        <w:tc>
          <w:tcPr>
            <w:tcW w:w="6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center"/>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February 3,</w:t>
            </w:r>
          </w:p>
        </w:tc>
        <w:tc>
          <w:tcPr>
            <w:tcW w:w="220" w:type="dxa"/>
            <w:vAlign w:val="bottom"/>
          </w:tcPr>
          <w:p>
            <w:pPr>
              <w:spacing w:after="0"/>
              <w:rPr>
                <w:sz w:val="14"/>
                <w:szCs w:val="14"/>
                <w:color w:val="auto"/>
              </w:rPr>
            </w:pPr>
          </w:p>
        </w:tc>
        <w:tc>
          <w:tcPr>
            <w:tcW w:w="1200" w:type="dxa"/>
            <w:vAlign w:val="bottom"/>
          </w:tcPr>
          <w:p>
            <w:pPr>
              <w:jc w:val="center"/>
              <w:ind w:right="90"/>
              <w:spacing w:after="0" w:line="169" w:lineRule="exact"/>
              <w:rPr>
                <w:sz w:val="20"/>
                <w:szCs w:val="20"/>
                <w:color w:val="auto"/>
              </w:rPr>
            </w:pPr>
            <w:r>
              <w:rPr>
                <w:rFonts w:ascii="Times New Roman" w:cs="Times New Roman" w:eastAsia="Times New Roman" w:hAnsi="Times New Roman"/>
                <w:sz w:val="18"/>
                <w:szCs w:val="18"/>
                <w:color w:val="auto"/>
                <w:w w:val="98"/>
              </w:rPr>
              <w:t>January 28,</w:t>
            </w:r>
          </w:p>
        </w:tc>
        <w:tc>
          <w:tcPr>
            <w:tcW w:w="240" w:type="dxa"/>
            <w:vAlign w:val="bottom"/>
          </w:tcPr>
          <w:p>
            <w:pPr>
              <w:spacing w:after="0"/>
              <w:rPr>
                <w:sz w:val="14"/>
                <w:szCs w:val="14"/>
                <w:color w:val="auto"/>
              </w:rPr>
            </w:pPr>
          </w:p>
        </w:tc>
        <w:tc>
          <w:tcPr>
            <w:tcW w:w="1240" w:type="dxa"/>
            <w:vAlign w:val="bottom"/>
          </w:tcPr>
          <w:p>
            <w:pPr>
              <w:jc w:val="right"/>
              <w:ind w:right="230"/>
              <w:spacing w:after="0" w:line="169" w:lineRule="exact"/>
              <w:rPr>
                <w:sz w:val="20"/>
                <w:szCs w:val="20"/>
                <w:color w:val="auto"/>
              </w:rPr>
            </w:pPr>
            <w:r>
              <w:rPr>
                <w:rFonts w:ascii="Times New Roman" w:cs="Times New Roman" w:eastAsia="Times New Roman" w:hAnsi="Times New Roman"/>
                <w:sz w:val="18"/>
                <w:szCs w:val="18"/>
                <w:color w:val="auto"/>
              </w:rPr>
              <w:t>January 29,</w:t>
            </w:r>
          </w:p>
        </w:tc>
      </w:tr>
      <w:tr>
        <w:trPr>
          <w:trHeight w:val="241"/>
        </w:trPr>
        <w:tc>
          <w:tcPr>
            <w:tcW w:w="6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2023</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r>
      <w:tr>
        <w:trPr>
          <w:trHeight w:val="225"/>
        </w:trPr>
        <w:tc>
          <w:tcPr>
            <w:tcW w:w="6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(53 weeks)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the United States:</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6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Marmaxx</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33,413</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30,545</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29,483</w:t>
            </w:r>
          </w:p>
        </w:tc>
      </w:tr>
      <w:tr>
        <w:trPr>
          <w:trHeight w:val="230"/>
        </w:trPr>
        <w:tc>
          <w:tcPr>
            <w:tcW w:w="6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HomeGoods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8,990</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8,264</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8,995</w:t>
            </w:r>
          </w:p>
        </w:tc>
      </w:tr>
      <w:tr>
        <w:trPr>
          <w:trHeight w:val="229"/>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TJX Canada</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5,046</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4,912</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4,343</w:t>
            </w:r>
          </w:p>
        </w:tc>
      </w:tr>
      <w:tr>
        <w:trPr>
          <w:trHeight w:val="230"/>
        </w:trPr>
        <w:tc>
          <w:tcPr>
            <w:tcW w:w="6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TJX International</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6,768</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6,215</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5,729</w:t>
            </w:r>
          </w:p>
        </w:tc>
      </w:tr>
      <w:tr>
        <w:trPr>
          <w:trHeight w:val="223"/>
        </w:trPr>
        <w:tc>
          <w:tcPr>
            <w:tcW w:w="68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net sales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54,217</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49,936</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48,550</w:t>
            </w:r>
          </w:p>
        </w:tc>
      </w:tr>
      <w:tr>
        <w:trPr>
          <w:trHeight w:val="223"/>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profit:</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the United States: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6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Marmaxx</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4,597</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3,883</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3,813</w:t>
            </w:r>
          </w:p>
        </w:tc>
      </w:tr>
      <w:tr>
        <w:trPr>
          <w:trHeight w:val="230"/>
        </w:trPr>
        <w:tc>
          <w:tcPr>
            <w:tcW w:w="6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HomeGoods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861</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r>
      <w:tr>
        <w:trPr>
          <w:trHeight w:val="229"/>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TJX Canada</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715</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r>
      <w:tr>
        <w:trPr>
          <w:trHeight w:val="230"/>
        </w:trPr>
        <w:tc>
          <w:tcPr>
            <w:tcW w:w="6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TJX International</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23"/>
        </w:trPr>
        <w:tc>
          <w:tcPr>
            <w:tcW w:w="68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 segment profit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6,505</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5,442</w:t>
            </w:r>
          </w:p>
        </w:tc>
        <w:tc>
          <w:tcPr>
            <w:tcW w:w="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5,366</w:t>
            </w:r>
          </w:p>
        </w:tc>
      </w:tr>
      <w:tr>
        <w:trPr>
          <w:trHeight w:val="223"/>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corporate expense</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708</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r>
      <w:tr>
        <w:trPr>
          <w:trHeight w:val="229"/>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on equity investment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29"/>
        </w:trPr>
        <w:tc>
          <w:tcPr>
            <w:tcW w:w="6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23"/>
        </w:trPr>
        <w:tc>
          <w:tcPr>
            <w:tcW w:w="6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5,967</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4,636</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4,398</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4"/>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Business segment information (continued):</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56"/>
        </w:trPr>
        <w:tc>
          <w:tcPr>
            <w:tcW w:w="69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7"/>
              </w:rPr>
              <w:t>Fiscal Year Ended</w:t>
            </w: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r>
      <w:tr>
        <w:trPr>
          <w:trHeight w:val="169"/>
        </w:trPr>
        <w:tc>
          <w:tcPr>
            <w:tcW w:w="6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right"/>
              <w:ind w:right="150"/>
              <w:spacing w:after="0" w:line="169" w:lineRule="exact"/>
              <w:rPr>
                <w:sz w:val="20"/>
                <w:szCs w:val="20"/>
                <w:color w:val="auto"/>
              </w:rPr>
            </w:pPr>
            <w:r>
              <w:rPr>
                <w:rFonts w:ascii="Times New Roman" w:cs="Times New Roman" w:eastAsia="Times New Roman" w:hAnsi="Times New Roman"/>
                <w:sz w:val="18"/>
                <w:szCs w:val="18"/>
                <w:b w:val="1"/>
                <w:bCs w:val="1"/>
                <w:color w:val="auto"/>
              </w:rPr>
              <w:t>February 3,</w:t>
            </w:r>
          </w:p>
        </w:tc>
        <w:tc>
          <w:tcPr>
            <w:tcW w:w="240" w:type="dxa"/>
            <w:vAlign w:val="bottom"/>
          </w:tcPr>
          <w:p>
            <w:pPr>
              <w:spacing w:after="0"/>
              <w:rPr>
                <w:sz w:val="14"/>
                <w:szCs w:val="14"/>
                <w:color w:val="auto"/>
              </w:rPr>
            </w:pPr>
          </w:p>
        </w:tc>
        <w:tc>
          <w:tcPr>
            <w:tcW w:w="1220" w:type="dxa"/>
            <w:vAlign w:val="bottom"/>
          </w:tcPr>
          <w:p>
            <w:pPr>
              <w:jc w:val="center"/>
              <w:ind w:right="110"/>
              <w:spacing w:after="0" w:line="169" w:lineRule="exact"/>
              <w:rPr>
                <w:sz w:val="20"/>
                <w:szCs w:val="20"/>
                <w:color w:val="auto"/>
              </w:rPr>
            </w:pPr>
            <w:r>
              <w:rPr>
                <w:rFonts w:ascii="Times New Roman" w:cs="Times New Roman" w:eastAsia="Times New Roman" w:hAnsi="Times New Roman"/>
                <w:sz w:val="18"/>
                <w:szCs w:val="18"/>
                <w:color w:val="auto"/>
                <w:w w:val="98"/>
              </w:rPr>
              <w:t>January 28,</w:t>
            </w:r>
          </w:p>
        </w:tc>
        <w:tc>
          <w:tcPr>
            <w:tcW w:w="220" w:type="dxa"/>
            <w:vAlign w:val="bottom"/>
          </w:tcPr>
          <w:p>
            <w:pPr>
              <w:spacing w:after="0"/>
              <w:rPr>
                <w:sz w:val="14"/>
                <w:szCs w:val="14"/>
                <w:color w:val="auto"/>
              </w:rPr>
            </w:pPr>
          </w:p>
        </w:tc>
        <w:tc>
          <w:tcPr>
            <w:tcW w:w="1240" w:type="dxa"/>
            <w:vAlign w:val="bottom"/>
          </w:tcPr>
          <w:p>
            <w:pPr>
              <w:jc w:val="right"/>
              <w:ind w:right="210"/>
              <w:spacing w:after="0" w:line="169" w:lineRule="exact"/>
              <w:rPr>
                <w:sz w:val="20"/>
                <w:szCs w:val="20"/>
                <w:color w:val="auto"/>
              </w:rPr>
            </w:pPr>
            <w:r>
              <w:rPr>
                <w:rFonts w:ascii="Times New Roman" w:cs="Times New Roman" w:eastAsia="Times New Roman" w:hAnsi="Times New Roman"/>
                <w:sz w:val="18"/>
                <w:szCs w:val="18"/>
                <w:color w:val="auto"/>
              </w:rPr>
              <w:t>January 29,</w:t>
            </w:r>
          </w:p>
        </w:tc>
      </w:tr>
      <w:tr>
        <w:trPr>
          <w:trHeight w:val="241"/>
        </w:trPr>
        <w:tc>
          <w:tcPr>
            <w:tcW w:w="6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2023</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r>
      <w:tr>
        <w:trPr>
          <w:trHeight w:val="225"/>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Identifiable assets: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the United States: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6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Marmaxx</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12,993</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12,170</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11,229</w:t>
            </w:r>
          </w:p>
        </w:tc>
      </w:tr>
      <w:tr>
        <w:trPr>
          <w:trHeight w:val="229"/>
        </w:trPr>
        <w:tc>
          <w:tcPr>
            <w:tcW w:w="6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HomeGoods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3,828</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3,590</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3,461</w:t>
            </w:r>
          </w:p>
        </w:tc>
      </w:tr>
      <w:tr>
        <w:trPr>
          <w:trHeight w:val="23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TJX Canada</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2,083</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w:t>
            </w:r>
          </w:p>
        </w:tc>
      </w:tr>
      <w:tr>
        <w:trPr>
          <w:trHeight w:val="22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TJX International</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4,154</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4,075</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4,281</w:t>
            </w:r>
          </w:p>
        </w:tc>
      </w:tr>
      <w:tr>
        <w:trPr>
          <w:trHeight w:val="230"/>
        </w:trPr>
        <w:tc>
          <w:tcPr>
            <w:tcW w:w="690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Corporate</w:t>
            </w:r>
            <w:r>
              <w:rPr>
                <w:rFonts w:ascii="Times New Roman" w:cs="Times New Roman" w:eastAsia="Times New Roman" w:hAnsi="Times New Roman"/>
                <w:sz w:val="23"/>
                <w:szCs w:val="23"/>
                <w:color w:val="auto"/>
                <w:vertAlign w:val="superscript"/>
              </w:rPr>
              <w:t>(a)</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6,689</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6,511</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7,293</w:t>
            </w:r>
          </w:p>
        </w:tc>
      </w:tr>
      <w:tr>
        <w:trPr>
          <w:trHeight w:val="223"/>
        </w:trPr>
        <w:tc>
          <w:tcPr>
            <w:tcW w:w="69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identifiable assets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29,747</w:t>
            </w:r>
          </w:p>
        </w:tc>
        <w:tc>
          <w:tcPr>
            <w:tcW w:w="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28,349</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28,461</w:t>
            </w:r>
          </w:p>
        </w:tc>
      </w:tr>
      <w:tr>
        <w:trPr>
          <w:trHeight w:val="22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the United States: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6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Marmaxx</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r>
      <w:tr>
        <w:trPr>
          <w:trHeight w:val="230"/>
        </w:trPr>
        <w:tc>
          <w:tcPr>
            <w:tcW w:w="6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HomeGoods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345</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TJX Canada</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30"/>
        </w:trPr>
        <w:tc>
          <w:tcPr>
            <w:tcW w:w="6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TJX International</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270</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23"/>
        </w:trPr>
        <w:tc>
          <w:tcPr>
            <w:tcW w:w="69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1,722</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r>
      <w:tr>
        <w:trPr>
          <w:trHeight w:val="223"/>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the United States: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6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Marmaxx</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525</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r>
      <w:tr>
        <w:trPr>
          <w:trHeight w:val="229"/>
        </w:trPr>
        <w:tc>
          <w:tcPr>
            <w:tcW w:w="6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HomeGoods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2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TJX Canada</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TJX International</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30"/>
        </w:trPr>
        <w:tc>
          <w:tcPr>
            <w:tcW w:w="690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Corporate</w:t>
            </w:r>
            <w:r>
              <w:rPr>
                <w:rFonts w:ascii="Times New Roman" w:cs="Times New Roman" w:eastAsia="Times New Roman" w:hAnsi="Times New Roman"/>
                <w:sz w:val="23"/>
                <w:szCs w:val="23"/>
                <w:color w:val="auto"/>
                <w:vertAlign w:val="superscript"/>
              </w:rPr>
              <w:t>(b)</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69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964</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r>
    </w:tbl>
    <w:p>
      <w:pPr>
        <w:spacing w:after="0" w:line="126" w:lineRule="exact"/>
        <w:rPr>
          <w:sz w:val="20"/>
          <w:szCs w:val="20"/>
          <w:color w:val="auto"/>
        </w:rPr>
      </w:pPr>
    </w:p>
    <w:p>
      <w:pPr>
        <w:ind w:left="340" w:right="20" w:hanging="332"/>
        <w:spacing w:after="0" w:line="282" w:lineRule="auto"/>
        <w:tabs>
          <w:tab w:leader="none" w:pos="337"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 identifiable assets consist primarily of cash, the trust assets in connection with the Executive Savings Plan and in fiscal 2022 included the minority investment in Familia. Consolidated cash, including cash held in the Company’s foreign entities, is included with corporate assets for consistency with the reporting of cash for the Company’s segments in the U.S.</w:t>
      </w:r>
    </w:p>
    <w:p>
      <w:pPr>
        <w:spacing w:after="0" w:line="13"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debt discount accretion and debt expense amortization.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H. Stock Incentive Plan</w:t>
      </w:r>
    </w:p>
    <w:p>
      <w:pPr>
        <w:spacing w:after="0" w:line="11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TJX has a Stock Incentive Plan under which options and other share-based awards may be granted to its directors, officers and key employees. The number of shares authorized for issuance under this plan has been approved by TJX’s shareholders, and all share-based compensation awards are made under this plan. The Stock Incentive Plan, as amended with shareholder approval, has provided for the issuance of up to 723 million shares with 43 million shares available for future grants as of February 3, 2024. TJX issues shares under the plan from authorized but unissued common stock.</w:t>
      </w:r>
    </w:p>
    <w:p>
      <w:pPr>
        <w:spacing w:after="0" w:line="7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Total compensation cost related to share-based compensation was $160 million, $122 million and $189 million in fiscal 2024, 2023 and 2022, respectively. As of February 3, 2024, there was $215 million of total unrecognized compensation cost related to non-vested share-based compensation arrangements granted under the plan. That cost is expected to be recognized over a weighted-average period of 2 years.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 Options</w:t>
      </w:r>
    </w:p>
    <w:p>
      <w:pPr>
        <w:spacing w:after="0" w:line="13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Options for the purchase of common stock are granted with an exercise price that is 100% of market price on the grant date, generally vest in thirds over a 3-year period starting 1 year after the grant, and have a 10-year maximum term. When options are granted with other vesting terms, the vesting information is reflected in the valuation.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8" w:name="page69"/>
    <w:bookmarkEnd w:id="68"/>
    <w:p>
      <w:pPr>
        <w:ind w:right="920"/>
        <w:spacing w:after="0" w:line="273" w:lineRule="auto"/>
        <w:rPr>
          <w:sz w:val="20"/>
          <w:szCs w:val="20"/>
          <w:color w:val="auto"/>
        </w:rPr>
      </w:pPr>
      <w:r>
        <w:rPr>
          <w:rFonts w:ascii="Times New Roman" w:cs="Times New Roman" w:eastAsia="Times New Roman" w:hAnsi="Times New Roman"/>
          <w:sz w:val="18"/>
          <w:szCs w:val="18"/>
          <w:color w:val="auto"/>
        </w:rPr>
        <w:t>The fair value of options is estimated as of the date of grant using the Black-Scholes option pricing model with the following weighted average assumptions: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7"/>
              </w:rPr>
              <w:t>Fiscal Year Ended</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169"/>
        </w:trPr>
        <w:tc>
          <w:tcPr>
            <w:tcW w:w="6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ind w:right="230"/>
              <w:spacing w:after="0" w:line="169" w:lineRule="exact"/>
              <w:rPr>
                <w:sz w:val="20"/>
                <w:szCs w:val="20"/>
                <w:color w:val="auto"/>
              </w:rPr>
            </w:pPr>
            <w:r>
              <w:rPr>
                <w:rFonts w:ascii="Times New Roman" w:cs="Times New Roman" w:eastAsia="Times New Roman" w:hAnsi="Times New Roman"/>
                <w:sz w:val="18"/>
                <w:szCs w:val="18"/>
                <w:b w:val="1"/>
                <w:bCs w:val="1"/>
                <w:color w:val="auto"/>
              </w:rPr>
              <w:t>February 3,</w:t>
            </w:r>
          </w:p>
        </w:tc>
        <w:tc>
          <w:tcPr>
            <w:tcW w:w="120" w:type="dxa"/>
            <w:vAlign w:val="bottom"/>
          </w:tcPr>
          <w:p>
            <w:pPr>
              <w:spacing w:after="0"/>
              <w:rPr>
                <w:sz w:val="14"/>
                <w:szCs w:val="14"/>
                <w:color w:val="auto"/>
              </w:rPr>
            </w:pPr>
          </w:p>
        </w:tc>
        <w:tc>
          <w:tcPr>
            <w:tcW w:w="1440" w:type="dxa"/>
            <w:vAlign w:val="bottom"/>
          </w:tcPr>
          <w:p>
            <w:pPr>
              <w:jc w:val="center"/>
              <w:ind w:right="30"/>
              <w:spacing w:after="0" w:line="169" w:lineRule="exact"/>
              <w:rPr>
                <w:sz w:val="20"/>
                <w:szCs w:val="20"/>
                <w:color w:val="auto"/>
              </w:rPr>
            </w:pPr>
            <w:r>
              <w:rPr>
                <w:rFonts w:ascii="Times New Roman" w:cs="Times New Roman" w:eastAsia="Times New Roman" w:hAnsi="Times New Roman"/>
                <w:sz w:val="18"/>
                <w:szCs w:val="18"/>
                <w:color w:val="auto"/>
              </w:rPr>
              <w:t>January 28,</w:t>
            </w:r>
          </w:p>
        </w:tc>
        <w:tc>
          <w:tcPr>
            <w:tcW w:w="240" w:type="dxa"/>
            <w:vAlign w:val="bottom"/>
          </w:tcPr>
          <w:p>
            <w:pPr>
              <w:spacing w:after="0"/>
              <w:rPr>
                <w:sz w:val="14"/>
                <w:szCs w:val="14"/>
                <w:color w:val="auto"/>
              </w:rPr>
            </w:pPr>
          </w:p>
        </w:tc>
        <w:tc>
          <w:tcPr>
            <w:tcW w:w="1320" w:type="dxa"/>
            <w:vAlign w:val="bottom"/>
          </w:tcPr>
          <w:p>
            <w:pPr>
              <w:jc w:val="right"/>
              <w:ind w:right="270"/>
              <w:spacing w:after="0" w:line="169" w:lineRule="exact"/>
              <w:rPr>
                <w:sz w:val="20"/>
                <w:szCs w:val="20"/>
                <w:color w:val="auto"/>
              </w:rPr>
            </w:pPr>
            <w:r>
              <w:rPr>
                <w:rFonts w:ascii="Times New Roman" w:cs="Times New Roman" w:eastAsia="Times New Roman" w:hAnsi="Times New Roman"/>
                <w:sz w:val="18"/>
                <w:szCs w:val="18"/>
                <w:color w:val="auto"/>
              </w:rPr>
              <w:t>January 29,</w:t>
            </w:r>
          </w:p>
        </w:tc>
      </w:tr>
      <w:tr>
        <w:trPr>
          <w:trHeight w:val="241"/>
        </w:trPr>
        <w:tc>
          <w:tcPr>
            <w:tcW w:w="65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2023</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r>
      <w:tr>
        <w:trPr>
          <w:trHeight w:val="225"/>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4.51 %</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3.69 %</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0.84 %</w:t>
            </w:r>
          </w:p>
        </w:tc>
      </w:tr>
      <w:tr>
        <w:trPr>
          <w:trHeight w:val="22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1.5 %</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 factor</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24.1 %</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26.0 %</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23.8 %</w:t>
            </w:r>
          </w:p>
        </w:tc>
      </w:tr>
      <w:tr>
        <w:trPr>
          <w:trHeight w:val="23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option life</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 years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years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years</w:t>
            </w:r>
          </w:p>
        </w:tc>
      </w:tr>
      <w:tr>
        <w:trPr>
          <w:trHeight w:val="229"/>
        </w:trPr>
        <w:tc>
          <w:tcPr>
            <w:tcW w:w="6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fair value of options issued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24.62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16.68</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12.85</w:t>
            </w:r>
          </w:p>
        </w:tc>
      </w:tr>
    </w:tbl>
    <w:p>
      <w:pPr>
        <w:spacing w:after="0" w:line="184"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The risk-free interest rate is for periods within the contractual life of the option based on the U.S. Treasury yield curve in effect at the time of grant. The Company uses historical data to estimate option exercises, employee termination behavior and dividend yield within the valuation model. Expected volatility is based on a combination of implied volatility from traded options on the Company’s stock, and historical volatility during a term approximating the expected life of the option granted. The expected option life represents an estimate of the period of time options are expected to remain outstanding based upon historical exercise trends. Employee groups and option characteristics are considered separately for valuation purposes when applicable.</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status of TJX’s stock options and related weighted average exercise prices (“WAEP”) is presented below:</w:t>
      </w:r>
    </w:p>
    <w:p>
      <w:pPr>
        <w:spacing w:after="0" w:line="50"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Fiscal Year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940" w:type="dxa"/>
            <w:vAlign w:val="bottom"/>
          </w:tcPr>
          <w:p>
            <w:pPr>
              <w:spacing w:after="0"/>
              <w:rPr>
                <w:sz w:val="14"/>
                <w:szCs w:val="14"/>
                <w:color w:val="auto"/>
              </w:rPr>
            </w:pPr>
          </w:p>
        </w:tc>
        <w:tc>
          <w:tcPr>
            <w:tcW w:w="2600" w:type="dxa"/>
            <w:vAlign w:val="bottom"/>
            <w:tcBorders>
              <w:top w:val="single" w:sz="8" w:color="auto"/>
            </w:tcBorders>
            <w:gridSpan w:val="3"/>
          </w:tcPr>
          <w:p>
            <w:pPr>
              <w:jc w:val="right"/>
              <w:ind w:right="830"/>
              <w:spacing w:after="0" w:line="169" w:lineRule="exact"/>
              <w:rPr>
                <w:sz w:val="20"/>
                <w:szCs w:val="20"/>
                <w:color w:val="auto"/>
              </w:rPr>
            </w:pPr>
            <w:r>
              <w:rPr>
                <w:rFonts w:ascii="Times New Roman" w:cs="Times New Roman" w:eastAsia="Times New Roman" w:hAnsi="Times New Roman"/>
                <w:sz w:val="18"/>
                <w:szCs w:val="18"/>
                <w:b w:val="1"/>
                <w:bCs w:val="1"/>
                <w:color w:val="auto"/>
              </w:rPr>
              <w:t>February 3,</w:t>
            </w:r>
          </w:p>
        </w:tc>
        <w:tc>
          <w:tcPr>
            <w:tcW w:w="1480" w:type="dxa"/>
            <w:vAlign w:val="bottom"/>
            <w:tcBorders>
              <w:top w:val="single" w:sz="8" w:color="auto"/>
            </w:tcBorders>
            <w:gridSpan w:val="2"/>
          </w:tcPr>
          <w:p>
            <w:pPr>
              <w:jc w:val="right"/>
              <w:spacing w:after="0" w:line="169" w:lineRule="exact"/>
              <w:rPr>
                <w:sz w:val="20"/>
                <w:szCs w:val="20"/>
                <w:color w:val="auto"/>
              </w:rPr>
            </w:pPr>
            <w:r>
              <w:rPr>
                <w:rFonts w:ascii="Times New Roman" w:cs="Times New Roman" w:eastAsia="Times New Roman" w:hAnsi="Times New Roman"/>
                <w:sz w:val="18"/>
                <w:szCs w:val="18"/>
                <w:color w:val="auto"/>
              </w:rPr>
              <w:t>January 28,</w:t>
            </w:r>
          </w:p>
        </w:tc>
        <w:tc>
          <w:tcPr>
            <w:tcW w:w="94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gridSpan w:val="2"/>
          </w:tcPr>
          <w:p>
            <w:pPr>
              <w:jc w:val="right"/>
              <w:spacing w:after="0" w:line="169" w:lineRule="exact"/>
              <w:rPr>
                <w:sz w:val="20"/>
                <w:szCs w:val="20"/>
                <w:color w:val="auto"/>
              </w:rPr>
            </w:pPr>
            <w:r>
              <w:rPr>
                <w:rFonts w:ascii="Times New Roman" w:cs="Times New Roman" w:eastAsia="Times New Roman" w:hAnsi="Times New Roman"/>
                <w:sz w:val="18"/>
                <w:szCs w:val="18"/>
                <w:color w:val="auto"/>
              </w:rPr>
              <w:t>January 29,</w:t>
            </w:r>
          </w:p>
        </w:tc>
        <w:tc>
          <w:tcPr>
            <w:tcW w:w="800" w:type="dxa"/>
            <w:vAlign w:val="bottom"/>
            <w:tcBorders>
              <w:top w:val="single" w:sz="8" w:color="auto"/>
            </w:tcBorders>
          </w:tcPr>
          <w:p>
            <w:pPr>
              <w:spacing w:after="0"/>
              <w:rPr>
                <w:sz w:val="14"/>
                <w:szCs w:val="14"/>
                <w:color w:val="auto"/>
              </w:rPr>
            </w:pPr>
          </w:p>
        </w:tc>
      </w:tr>
      <w:tr>
        <w:trPr>
          <w:trHeight w:val="241"/>
        </w:trPr>
        <w:tc>
          <w:tcPr>
            <w:tcW w:w="3940" w:type="dxa"/>
            <w:vAlign w:val="bottom"/>
          </w:tcPr>
          <w:p>
            <w:pPr>
              <w:spacing w:after="0"/>
              <w:rPr>
                <w:sz w:val="20"/>
                <w:szCs w:val="20"/>
                <w:color w:val="auto"/>
              </w:rPr>
            </w:pPr>
          </w:p>
        </w:tc>
        <w:tc>
          <w:tcPr>
            <w:tcW w:w="15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2023</w:t>
            </w:r>
          </w:p>
        </w:tc>
        <w:tc>
          <w:tcPr>
            <w:tcW w:w="9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2022</w:t>
            </w:r>
          </w:p>
        </w:tc>
        <w:tc>
          <w:tcPr>
            <w:tcW w:w="800" w:type="dxa"/>
            <w:vAlign w:val="bottom"/>
            <w:tcBorders>
              <w:bottom w:val="single" w:sz="8" w:color="auto"/>
            </w:tcBorders>
          </w:tcPr>
          <w:p>
            <w:pPr>
              <w:spacing w:after="0"/>
              <w:rPr>
                <w:sz w:val="20"/>
                <w:szCs w:val="20"/>
                <w:color w:val="auto"/>
              </w:rPr>
            </w:pPr>
          </w:p>
        </w:tc>
      </w:tr>
      <w:tr>
        <w:trPr>
          <w:trHeight w:val="225"/>
        </w:trPr>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Shares in millions</w:t>
            </w:r>
          </w:p>
        </w:tc>
        <w:tc>
          <w:tcPr>
            <w:tcW w:w="13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WAEP</w:t>
            </w:r>
          </w:p>
        </w:tc>
        <w:tc>
          <w:tcPr>
            <w:tcW w:w="11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Options</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90"/>
              </w:rPr>
              <w:t>WAEP</w:t>
            </w:r>
          </w:p>
        </w:tc>
        <w:tc>
          <w:tcPr>
            <w:tcW w:w="11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Options</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94"/>
              </w:rPr>
              <w:t>WAEP</w:t>
            </w:r>
          </w:p>
        </w:tc>
      </w:tr>
      <w:tr>
        <w:trPr>
          <w:trHeight w:val="22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51.88</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47.11</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w:t>
            </w: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2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91.00</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65.54</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70.48</w:t>
            </w: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43.39</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38.12</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32.04</w:t>
            </w:r>
          </w:p>
        </w:tc>
      </w:tr>
      <w:tr>
        <w:trPr>
          <w:trHeight w:val="230"/>
        </w:trPr>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68.32</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63.29</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57.55</w:t>
            </w:r>
          </w:p>
        </w:tc>
      </w:tr>
      <w:tr>
        <w:trPr>
          <w:trHeight w:val="223"/>
        </w:trPr>
        <w:tc>
          <w:tcPr>
            <w:tcW w:w="3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end of year</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58.65</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51.88</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w:t>
            </w:r>
          </w:p>
        </w:tc>
      </w:tr>
      <w:tr>
        <w:trPr>
          <w:trHeight w:val="223"/>
        </w:trPr>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Options exercisable at end of year</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50.64</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45.99</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40.93</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intrinsic value of options exercised was $278 million in fiscal 2024, $294 million in fiscal 2023 and $275 million in fiscal 2022.</w:t>
      </w:r>
    </w:p>
    <w:p>
      <w:pPr>
        <w:spacing w:after="0" w:line="117"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 that were expected to vest and stock options outstanding that were exercisable as of February 3, 2024:</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center"/>
              <w:ind w:right="233"/>
              <w:spacing w:after="0"/>
              <w:rPr>
                <w:sz w:val="20"/>
                <w:szCs w:val="20"/>
                <w:color w:val="auto"/>
              </w:rPr>
            </w:pPr>
            <w:r>
              <w:rPr>
                <w:rFonts w:ascii="Times New Roman" w:cs="Times New Roman" w:eastAsia="Times New Roman" w:hAnsi="Times New Roman"/>
                <w:sz w:val="18"/>
                <w:szCs w:val="18"/>
                <w:color w:val="auto"/>
                <w:w w:val="98"/>
              </w:rPr>
              <w:t>Aggregate</w:t>
            </w:r>
          </w:p>
        </w:tc>
        <w:tc>
          <w:tcPr>
            <w:tcW w:w="16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7"/>
              </w:rPr>
              <w:t>Weighted</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600" w:type="dxa"/>
            <w:vAlign w:val="bottom"/>
            <w:vMerge w:val="restart"/>
          </w:tcPr>
          <w:p>
            <w:pPr>
              <w:jc w:val="center"/>
              <w:ind w:left="5674"/>
              <w:spacing w:after="0"/>
              <w:rPr>
                <w:sz w:val="20"/>
                <w:szCs w:val="20"/>
                <w:color w:val="auto"/>
              </w:rPr>
            </w:pPr>
            <w:r>
              <w:rPr>
                <w:rFonts w:ascii="Times New Roman" w:cs="Times New Roman" w:eastAsia="Times New Roman" w:hAnsi="Times New Roman"/>
                <w:sz w:val="18"/>
                <w:szCs w:val="18"/>
                <w:color w:val="auto"/>
                <w:w w:val="99"/>
              </w:rPr>
              <w:t>Shares</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center"/>
              <w:ind w:right="253"/>
              <w:spacing w:after="0" w:line="189" w:lineRule="exact"/>
              <w:rPr>
                <w:sz w:val="20"/>
                <w:szCs w:val="20"/>
                <w:color w:val="auto"/>
              </w:rPr>
            </w:pPr>
            <w:r>
              <w:rPr>
                <w:rFonts w:ascii="Times New Roman" w:cs="Times New Roman" w:eastAsia="Times New Roman" w:hAnsi="Times New Roman"/>
                <w:sz w:val="18"/>
                <w:szCs w:val="18"/>
                <w:color w:val="auto"/>
                <w:w w:val="99"/>
              </w:rPr>
              <w:t>Intrinsic</w:t>
            </w:r>
          </w:p>
        </w:tc>
        <w:tc>
          <w:tcPr>
            <w:tcW w:w="1640" w:type="dxa"/>
            <w:vAlign w:val="bottom"/>
          </w:tcPr>
          <w:p>
            <w:pPr>
              <w:jc w:val="center"/>
              <w:ind w:right="270"/>
              <w:spacing w:after="0" w:line="189" w:lineRule="exact"/>
              <w:rPr>
                <w:sz w:val="20"/>
                <w:szCs w:val="20"/>
                <w:color w:val="auto"/>
              </w:rPr>
            </w:pPr>
            <w:r>
              <w:rPr>
                <w:rFonts w:ascii="Times New Roman" w:cs="Times New Roman" w:eastAsia="Times New Roman" w:hAnsi="Times New Roman"/>
                <w:sz w:val="18"/>
                <w:szCs w:val="18"/>
                <w:color w:val="auto"/>
                <w:w w:val="98"/>
              </w:rPr>
              <w:t>Average</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6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center"/>
              <w:ind w:right="233"/>
              <w:spacing w:after="0" w:line="176" w:lineRule="exact"/>
              <w:rPr>
                <w:sz w:val="20"/>
                <w:szCs w:val="20"/>
                <w:color w:val="auto"/>
              </w:rPr>
            </w:pPr>
            <w:r>
              <w:rPr>
                <w:rFonts w:ascii="Times New Roman" w:cs="Times New Roman" w:eastAsia="Times New Roman" w:hAnsi="Times New Roman"/>
                <w:sz w:val="18"/>
                <w:szCs w:val="18"/>
                <w:color w:val="auto"/>
                <w:w w:val="97"/>
              </w:rPr>
              <w:t>Value</w:t>
            </w:r>
          </w:p>
        </w:tc>
        <w:tc>
          <w:tcPr>
            <w:tcW w:w="1640" w:type="dxa"/>
            <w:vAlign w:val="bottom"/>
          </w:tcPr>
          <w:p>
            <w:pPr>
              <w:jc w:val="center"/>
              <w:ind w:right="290"/>
              <w:spacing w:after="0" w:line="176" w:lineRule="exact"/>
              <w:rPr>
                <w:sz w:val="20"/>
                <w:szCs w:val="20"/>
                <w:color w:val="auto"/>
              </w:rPr>
            </w:pPr>
            <w:r>
              <w:rPr>
                <w:rFonts w:ascii="Times New Roman" w:cs="Times New Roman" w:eastAsia="Times New Roman" w:hAnsi="Times New Roman"/>
                <w:sz w:val="18"/>
                <w:szCs w:val="18"/>
                <w:color w:val="auto"/>
                <w:w w:val="98"/>
              </w:rPr>
              <w:t>Remaining</w:t>
            </w:r>
          </w:p>
        </w:tc>
        <w:tc>
          <w:tcPr>
            <w:tcW w:w="11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WAEP</w:t>
            </w:r>
          </w:p>
        </w:tc>
        <w:tc>
          <w:tcPr>
            <w:tcW w:w="0" w:type="dxa"/>
            <w:vAlign w:val="bottom"/>
          </w:tcPr>
          <w:p>
            <w:pPr>
              <w:spacing w:after="0"/>
              <w:rPr>
                <w:sz w:val="1"/>
                <w:szCs w:val="1"/>
                <w:color w:val="auto"/>
              </w:rPr>
            </w:pPr>
          </w:p>
        </w:tc>
      </w:tr>
      <w:tr>
        <w:trPr>
          <w:trHeight w:val="203"/>
        </w:trPr>
        <w:tc>
          <w:tcPr>
            <w:tcW w:w="6600" w:type="dxa"/>
            <w:vAlign w:val="bottom"/>
            <w:tcBorders>
              <w:bottom w:val="single" w:sz="8" w:color="auto"/>
            </w:tcBorders>
          </w:tcPr>
          <w:p>
            <w:pPr>
              <w:jc w:val="center"/>
              <w:ind w:left="5674"/>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233"/>
              <w:spacing w:after="0"/>
              <w:rPr>
                <w:sz w:val="20"/>
                <w:szCs w:val="20"/>
                <w:color w:val="auto"/>
              </w:rPr>
            </w:pPr>
            <w:r>
              <w:rPr>
                <w:rFonts w:ascii="Times New Roman" w:cs="Times New Roman" w:eastAsia="Times New Roman" w:hAnsi="Times New Roman"/>
                <w:sz w:val="14"/>
                <w:szCs w:val="14"/>
                <w:color w:val="auto"/>
              </w:rPr>
              <w:t>(in millions)</w:t>
            </w:r>
          </w:p>
        </w:tc>
        <w:tc>
          <w:tcPr>
            <w:tcW w:w="1640" w:type="dxa"/>
            <w:vAlign w:val="bottom"/>
            <w:tcBorders>
              <w:bottom w:val="single" w:sz="8" w:color="auto"/>
            </w:tcBorders>
          </w:tcPr>
          <w:p>
            <w:pPr>
              <w:jc w:val="center"/>
              <w:ind w:right="270"/>
              <w:spacing w:after="0" w:line="202" w:lineRule="exact"/>
              <w:rPr>
                <w:sz w:val="20"/>
                <w:szCs w:val="20"/>
                <w:color w:val="auto"/>
              </w:rPr>
            </w:pPr>
            <w:r>
              <w:rPr>
                <w:rFonts w:ascii="Times New Roman" w:cs="Times New Roman" w:eastAsia="Times New Roman" w:hAnsi="Times New Roman"/>
                <w:sz w:val="18"/>
                <w:szCs w:val="18"/>
                <w:color w:val="auto"/>
                <w:w w:val="99"/>
              </w:rPr>
              <w:t>Contract Life</w:t>
            </w:r>
          </w:p>
        </w:tc>
        <w:tc>
          <w:tcPr>
            <w:tcW w:w="11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6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Options outstanding expected to vest</w:t>
            </w:r>
            <w:r>
              <w:rPr>
                <w:rFonts w:ascii="Times New Roman" w:cs="Times New Roman" w:eastAsia="Times New Roman" w:hAnsi="Times New Roman"/>
                <w:sz w:val="23"/>
                <w:szCs w:val="23"/>
                <w:color w:val="auto"/>
                <w:vertAlign w:val="superscript"/>
              </w:rPr>
              <w:t>(a)</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189</w:t>
            </w:r>
          </w:p>
        </w:tc>
        <w:tc>
          <w:tcPr>
            <w:tcW w:w="16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8.9 years $</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77.76</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Options exercisable</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1,172</w:t>
            </w:r>
          </w:p>
        </w:tc>
        <w:tc>
          <w:tcPr>
            <w:tcW w:w="16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4.9 years</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50.64</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outstanding options vested and expected to vest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1,361</w:t>
            </w:r>
          </w:p>
        </w:tc>
        <w:tc>
          <w:tcPr>
            <w:tcW w:w="164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6.0 years $</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58.16</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(a)</w:t>
        <w:tab/>
        <w:t>Reflects 10 million unvested options, net of anticipated forfeitures.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 Awards</w:t>
      </w:r>
    </w:p>
    <w:p>
      <w:pPr>
        <w:spacing w:after="0" w:line="11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TJX grants restricted stock units and performance share units under the Stock Incentive Plan. Restricted stock units and performance share units are collectively referred to as stock awards. These stock awards were granted without a purchase price to the recipient and are subject to vesting conditions. Vesting conditions for performance share units include specified performance criteria, generally for a period of three fiscal years. The grant date fair value of the stock awards is charged to income over the requisite service period during which the recipient must remain employed. The fair value of the stock awards is determined at date of grant in accordance with ASC Topic 718 and, for performance share units, assumes that performance goals will be achieved at target. Performance share units and related compensation costs recognized are adjusted, as applicable, for performance above or below the target specified in the award.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9" w:name="page70"/>
    <w:bookmarkEnd w:id="69"/>
    <w:p>
      <w:pPr>
        <w:ind w:right="520"/>
        <w:spacing w:after="0" w:line="282" w:lineRule="auto"/>
        <w:rPr>
          <w:sz w:val="20"/>
          <w:szCs w:val="20"/>
          <w:color w:val="auto"/>
        </w:rPr>
      </w:pPr>
      <w:r>
        <w:rPr>
          <w:rFonts w:ascii="Times New Roman" w:cs="Times New Roman" w:eastAsia="Times New Roman" w:hAnsi="Times New Roman"/>
          <w:sz w:val="18"/>
          <w:szCs w:val="18"/>
          <w:color w:val="auto"/>
        </w:rPr>
        <w:t>There were no significant modifications to stock awards in fiscal 2024 or fiscal 2023. During fiscal 2022, modifications were approved to previously granted, nonvested performance share unit awards resulting in a share-based compensation charge of $37 million.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status of the Company’s non-vested stock awards and changes during fiscal 2024 is presented below:</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7"/>
              </w:rPr>
              <w:t>Weighted</w:t>
            </w:r>
          </w:p>
        </w:tc>
        <w:tc>
          <w:tcPr>
            <w:tcW w:w="0" w:type="dxa"/>
            <w:vAlign w:val="bottom"/>
          </w:tcPr>
          <w:p>
            <w:pPr>
              <w:spacing w:after="0"/>
              <w:rPr>
                <w:sz w:val="1"/>
                <w:szCs w:val="1"/>
                <w:color w:val="auto"/>
              </w:rPr>
            </w:pPr>
          </w:p>
        </w:tc>
      </w:tr>
      <w:tr>
        <w:trPr>
          <w:trHeight w:val="184"/>
        </w:trPr>
        <w:tc>
          <w:tcPr>
            <w:tcW w:w="3900" w:type="dxa"/>
            <w:vAlign w:val="bottom"/>
          </w:tcPr>
          <w:p>
            <w:pPr>
              <w:spacing w:after="0"/>
              <w:rPr>
                <w:sz w:val="16"/>
                <w:szCs w:val="16"/>
                <w:color w:val="auto"/>
              </w:rPr>
            </w:pPr>
          </w:p>
        </w:tc>
        <w:tc>
          <w:tcPr>
            <w:tcW w:w="28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Restricted Stock</w:t>
            </w:r>
          </w:p>
        </w:tc>
        <w:tc>
          <w:tcPr>
            <w:tcW w:w="16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Performance Share</w:t>
            </w:r>
          </w:p>
        </w:tc>
        <w:tc>
          <w:tcPr>
            <w:tcW w:w="128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Total Stock</w:t>
            </w:r>
          </w:p>
        </w:tc>
        <w:tc>
          <w:tcPr>
            <w:tcW w:w="280" w:type="dxa"/>
            <w:vAlign w:val="bottom"/>
          </w:tcPr>
          <w:p>
            <w:pPr>
              <w:spacing w:after="0"/>
              <w:rPr>
                <w:sz w:val="16"/>
                <w:szCs w:val="16"/>
                <w:color w:val="auto"/>
              </w:rPr>
            </w:pPr>
          </w:p>
        </w:tc>
        <w:tc>
          <w:tcPr>
            <w:tcW w:w="1380" w:type="dxa"/>
            <w:vAlign w:val="bottom"/>
          </w:tcPr>
          <w:p>
            <w:pPr>
              <w:jc w:val="center"/>
              <w:ind w:right="170"/>
              <w:spacing w:after="0" w:line="184" w:lineRule="exact"/>
              <w:rPr>
                <w:sz w:val="20"/>
                <w:szCs w:val="20"/>
                <w:color w:val="auto"/>
              </w:rPr>
            </w:pPr>
            <w:r>
              <w:rPr>
                <w:rFonts w:ascii="Times New Roman" w:cs="Times New Roman" w:eastAsia="Times New Roman" w:hAnsi="Times New Roman"/>
                <w:sz w:val="18"/>
                <w:szCs w:val="18"/>
                <w:color w:val="auto"/>
                <w:w w:val="98"/>
              </w:rPr>
              <w:t>Average</w:t>
            </w:r>
          </w:p>
        </w:tc>
        <w:tc>
          <w:tcPr>
            <w:tcW w:w="0" w:type="dxa"/>
            <w:vAlign w:val="bottom"/>
          </w:tcPr>
          <w:p>
            <w:pPr>
              <w:spacing w:after="0"/>
              <w:rPr>
                <w:sz w:val="1"/>
                <w:szCs w:val="1"/>
                <w:color w:val="auto"/>
              </w:rPr>
            </w:pPr>
          </w:p>
        </w:tc>
      </w:tr>
      <w:tr>
        <w:trPr>
          <w:trHeight w:val="180"/>
        </w:trPr>
        <w:tc>
          <w:tcPr>
            <w:tcW w:w="3900" w:type="dxa"/>
            <w:vAlign w:val="bottom"/>
          </w:tcPr>
          <w:p>
            <w:pPr>
              <w:spacing w:after="0"/>
              <w:rPr>
                <w:sz w:val="15"/>
                <w:szCs w:val="15"/>
                <w:color w:val="auto"/>
              </w:rPr>
            </w:pPr>
          </w:p>
        </w:tc>
        <w:tc>
          <w:tcPr>
            <w:tcW w:w="28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jc w:val="center"/>
              <w:ind w:right="170"/>
              <w:spacing w:after="0" w:line="181" w:lineRule="exact"/>
              <w:rPr>
                <w:sz w:val="20"/>
                <w:szCs w:val="20"/>
                <w:color w:val="auto"/>
              </w:rPr>
            </w:pPr>
            <w:r>
              <w:rPr>
                <w:rFonts w:ascii="Times New Roman" w:cs="Times New Roman" w:eastAsia="Times New Roman" w:hAnsi="Times New Roman"/>
                <w:sz w:val="18"/>
                <w:szCs w:val="18"/>
                <w:color w:val="auto"/>
              </w:rPr>
              <w:t>Grant Date</w:t>
            </w:r>
          </w:p>
        </w:tc>
        <w:tc>
          <w:tcPr>
            <w:tcW w:w="0" w:type="dxa"/>
            <w:vAlign w:val="bottom"/>
          </w:tcPr>
          <w:p>
            <w:pPr>
              <w:spacing w:after="0"/>
              <w:rPr>
                <w:sz w:val="1"/>
                <w:szCs w:val="1"/>
                <w:color w:val="auto"/>
              </w:rPr>
            </w:pPr>
          </w:p>
        </w:tc>
      </w:tr>
      <w:tr>
        <w:trPr>
          <w:trHeight w:val="229"/>
        </w:trPr>
        <w:tc>
          <w:tcPr>
            <w:tcW w:w="3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thousands except grant date fair value</w:t>
            </w:r>
          </w:p>
        </w:tc>
        <w:tc>
          <w:tcPr>
            <w:tcW w:w="28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Units</w:t>
            </w:r>
          </w:p>
        </w:tc>
        <w:tc>
          <w:tcPr>
            <w:tcW w:w="16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Units</w:t>
            </w:r>
          </w:p>
        </w:tc>
        <w:tc>
          <w:tcPr>
            <w:tcW w:w="12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Awards</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6"/>
              </w:rPr>
              <w:t>Fair Value</w:t>
            </w:r>
          </w:p>
        </w:tc>
        <w:tc>
          <w:tcPr>
            <w:tcW w:w="0" w:type="dxa"/>
            <w:vAlign w:val="bottom"/>
          </w:tcPr>
          <w:p>
            <w:pPr>
              <w:spacing w:after="0"/>
              <w:rPr>
                <w:sz w:val="1"/>
                <w:szCs w:val="1"/>
                <w:color w:val="auto"/>
              </w:rPr>
            </w:pPr>
          </w:p>
        </w:tc>
      </w:tr>
      <w:tr>
        <w:trPr>
          <w:trHeight w:val="22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at beginning of year</w:t>
            </w:r>
          </w:p>
        </w:tc>
        <w:tc>
          <w:tcPr>
            <w:tcW w:w="2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1,867</w:t>
            </w:r>
          </w:p>
        </w:tc>
        <w:tc>
          <w:tcPr>
            <w:tcW w:w="1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761</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2,628</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61.76</w:t>
            </w: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352</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76.21</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56.82</w:t>
            </w:r>
          </w:p>
        </w:tc>
        <w:tc>
          <w:tcPr>
            <w:tcW w:w="0" w:type="dxa"/>
            <w:vAlign w:val="bottom"/>
          </w:tcPr>
          <w:p>
            <w:pPr>
              <w:spacing w:after="0"/>
              <w:rPr>
                <w:sz w:val="1"/>
                <w:szCs w:val="1"/>
                <w:color w:val="auto"/>
              </w:rPr>
            </w:pPr>
          </w:p>
        </w:tc>
      </w:tr>
      <w:tr>
        <w:trPr>
          <w:trHeight w:val="229"/>
        </w:trPr>
        <w:tc>
          <w:tcPr>
            <w:tcW w:w="3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2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6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(50)</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63.14</w:t>
            </w:r>
          </w:p>
        </w:tc>
        <w:tc>
          <w:tcPr>
            <w:tcW w:w="0" w:type="dxa"/>
            <w:vAlign w:val="bottom"/>
          </w:tcPr>
          <w:p>
            <w:pPr>
              <w:spacing w:after="0"/>
              <w:rPr>
                <w:sz w:val="1"/>
                <w:szCs w:val="1"/>
                <w:color w:val="auto"/>
              </w:rPr>
            </w:pPr>
          </w:p>
        </w:tc>
      </w:tr>
      <w:tr>
        <w:trPr>
          <w:trHeight w:val="223"/>
        </w:trPr>
        <w:tc>
          <w:tcPr>
            <w:tcW w:w="3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at end of year</w:t>
            </w:r>
          </w:p>
        </w:tc>
        <w:tc>
          <w:tcPr>
            <w:tcW w:w="2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1,280</w:t>
            </w:r>
          </w:p>
        </w:tc>
        <w:tc>
          <w:tcPr>
            <w:tcW w:w="16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1,063</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2,343</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67.76</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There were 694 thousand units with a weighted average grant date fair value of $76.21, granted in fiscal 2024, 932 thousand units, with a weighted average grant date fair value of $60.46, granted in fiscal 2023 and 820 thousand units, with a weighted average grant date fair value of $65.53, granted in fiscal 2022. The fair value of awards that vested was $48 million in fiscal 2024, $55 million in fiscal 2023 and $44 million in fiscal 2022.</w:t>
      </w:r>
    </w:p>
    <w:p>
      <w:pPr>
        <w:spacing w:after="0" w:line="6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nonvested performance share units are based on the target level of performance achievement under the awards. The actual payout of performance share units will depend on performance results for the award cycle.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Awards</w:t>
      </w:r>
    </w:p>
    <w:p>
      <w:pPr>
        <w:spacing w:after="0" w:line="116"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TJX also awards deferred shares to its outside directors under the Stock Incentive Plan. As of the end of fiscal 2024, a total of 334 thousand of these deferred shares were outstanding under the plan.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I. Pension Plans and Other Retirement Benefits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Pension</w:t>
      </w:r>
    </w:p>
    <w:p>
      <w:pPr>
        <w:spacing w:after="0" w:line="13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TJX has a funded defined benefit retirement plan that covers eligible U.S. employees hired prior to February 1, 2006. No employee contributions are required, or permitted, and benefits are based principally on compensation earned in each year of service. TJX’s funded defined benefit retirement plan assets are invested in domestic and international equity and fixed income securities, both directly and through investment funds. The plan does not invest in TJX securities. TJX also has an unfunded supplemental retirement plan that covers certain key employees and provides additional retirement benefits based on final average compensation for certain of those employees (the “primary benefit”) or, alternatively, based on benefits that would be provided under the funded retirement plan absent Internal Revenue Code limitations (the “alternative benefit”).</w:t>
      </w:r>
    </w:p>
    <w:p>
      <w:pPr>
        <w:spacing w:after="0" w:line="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Presented below is financial information relating to TJX’s funded defined benefit pension plan (“qualified pension plan” or “funded plan”) and its unfunded supplemental pension plan (“unfunded plan”) for the fiscal years indicated. The Company has elected the practical expedient pursuant to ASU 2015-4– Compensation-retirement benefits (Topic 715) and has selected the measurement date of January 31, the calendar month end closest to the Company’s fiscal year-end.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00" w:type="dxa"/>
            <w:vAlign w:val="bottom"/>
            <w:gridSpan w:val="3"/>
          </w:tcPr>
          <w:p>
            <w:pPr>
              <w:jc w:val="right"/>
              <w:ind w:right="890"/>
              <w:spacing w:after="0"/>
              <w:rPr>
                <w:sz w:val="20"/>
                <w:szCs w:val="20"/>
                <w:color w:val="auto"/>
              </w:rPr>
            </w:pPr>
            <w:r>
              <w:rPr>
                <w:rFonts w:ascii="Times New Roman" w:cs="Times New Roman" w:eastAsia="Times New Roman" w:hAnsi="Times New Roman"/>
                <w:sz w:val="18"/>
                <w:szCs w:val="18"/>
                <w:color w:val="auto"/>
              </w:rPr>
              <w:t>Funded Plan</w:t>
            </w:r>
          </w:p>
        </w:tc>
        <w:tc>
          <w:tcPr>
            <w:tcW w:w="200" w:type="dxa"/>
            <w:vAlign w:val="bottom"/>
          </w:tcPr>
          <w:p>
            <w:pPr>
              <w:spacing w:after="0"/>
              <w:rPr>
                <w:sz w:val="18"/>
                <w:szCs w:val="18"/>
                <w:color w:val="auto"/>
              </w:rPr>
            </w:pPr>
          </w:p>
        </w:tc>
        <w:tc>
          <w:tcPr>
            <w:tcW w:w="272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color w:val="auto"/>
              </w:rPr>
              <w:t>Unfunded Plan</w:t>
            </w:r>
          </w:p>
        </w:tc>
      </w:tr>
      <w:tr>
        <w:trPr>
          <w:trHeight w:val="239"/>
        </w:trPr>
        <w:tc>
          <w:tcPr>
            <w:tcW w:w="5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0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color w:val="auto"/>
              </w:rPr>
              <w:t>Fiscal Year Ended</w:t>
            </w:r>
          </w:p>
        </w:tc>
        <w:tc>
          <w:tcPr>
            <w:tcW w:w="200" w:type="dxa"/>
            <w:vAlign w:val="bottom"/>
          </w:tcPr>
          <w:p>
            <w:pPr>
              <w:spacing w:after="0"/>
              <w:rPr>
                <w:sz w:val="20"/>
                <w:szCs w:val="20"/>
                <w:color w:val="auto"/>
              </w:rPr>
            </w:pPr>
          </w:p>
        </w:tc>
        <w:tc>
          <w:tcPr>
            <w:tcW w:w="272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color w:val="auto"/>
                <w:w w:val="97"/>
              </w:rPr>
              <w:t>Fiscal Year Ended</w:t>
            </w:r>
          </w:p>
        </w:tc>
      </w:tr>
      <w:tr>
        <w:trPr>
          <w:trHeight w:val="173"/>
        </w:trPr>
        <w:tc>
          <w:tcPr>
            <w:tcW w:w="54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ind w:right="170"/>
              <w:spacing w:after="0" w:line="173" w:lineRule="exact"/>
              <w:rPr>
                <w:sz w:val="20"/>
                <w:szCs w:val="20"/>
                <w:color w:val="auto"/>
              </w:rPr>
            </w:pPr>
            <w:r>
              <w:rPr>
                <w:rFonts w:ascii="Times New Roman" w:cs="Times New Roman" w:eastAsia="Times New Roman" w:hAnsi="Times New Roman"/>
                <w:sz w:val="18"/>
                <w:szCs w:val="18"/>
                <w:b w:val="1"/>
                <w:bCs w:val="1"/>
                <w:color w:val="auto"/>
              </w:rPr>
              <w:t>February 3,</w:t>
            </w:r>
          </w:p>
        </w:tc>
        <w:tc>
          <w:tcPr>
            <w:tcW w:w="2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ind w:right="210"/>
              <w:spacing w:after="0" w:line="173" w:lineRule="exact"/>
              <w:rPr>
                <w:sz w:val="20"/>
                <w:szCs w:val="20"/>
                <w:color w:val="auto"/>
              </w:rPr>
            </w:pPr>
            <w:r>
              <w:rPr>
                <w:rFonts w:ascii="Times New Roman" w:cs="Times New Roman" w:eastAsia="Times New Roman" w:hAnsi="Times New Roman"/>
                <w:sz w:val="18"/>
                <w:szCs w:val="18"/>
                <w:color w:val="auto"/>
              </w:rPr>
              <w:t>January 28,</w:t>
            </w:r>
          </w:p>
        </w:tc>
        <w:tc>
          <w:tcPr>
            <w:tcW w:w="2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ind w:right="170"/>
              <w:spacing w:after="0" w:line="173" w:lineRule="exact"/>
              <w:rPr>
                <w:sz w:val="20"/>
                <w:szCs w:val="20"/>
                <w:color w:val="auto"/>
              </w:rPr>
            </w:pPr>
            <w:r>
              <w:rPr>
                <w:rFonts w:ascii="Times New Roman" w:cs="Times New Roman" w:eastAsia="Times New Roman" w:hAnsi="Times New Roman"/>
                <w:sz w:val="18"/>
                <w:szCs w:val="18"/>
                <w:b w:val="1"/>
                <w:bCs w:val="1"/>
                <w:color w:val="auto"/>
              </w:rPr>
              <w:t>February 3,</w:t>
            </w:r>
          </w:p>
        </w:tc>
        <w:tc>
          <w:tcPr>
            <w:tcW w:w="2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ind w:right="230"/>
              <w:spacing w:after="0" w:line="173" w:lineRule="exact"/>
              <w:rPr>
                <w:sz w:val="20"/>
                <w:szCs w:val="20"/>
                <w:color w:val="auto"/>
              </w:rPr>
            </w:pPr>
            <w:r>
              <w:rPr>
                <w:rFonts w:ascii="Times New Roman" w:cs="Times New Roman" w:eastAsia="Times New Roman" w:hAnsi="Times New Roman"/>
                <w:sz w:val="18"/>
                <w:szCs w:val="18"/>
                <w:color w:val="auto"/>
              </w:rPr>
              <w:t>January 28,</w:t>
            </w:r>
          </w:p>
        </w:tc>
        <w:tc>
          <w:tcPr>
            <w:tcW w:w="20" w:type="dxa"/>
            <w:vAlign w:val="bottom"/>
          </w:tcPr>
          <w:p>
            <w:pPr>
              <w:spacing w:after="0"/>
              <w:rPr>
                <w:sz w:val="15"/>
                <w:szCs w:val="15"/>
                <w:color w:val="auto"/>
              </w:rPr>
            </w:pPr>
          </w:p>
        </w:tc>
      </w:tr>
      <w:tr>
        <w:trPr>
          <w:trHeight w:val="241"/>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20"/>
                <w:szCs w:val="20"/>
                <w:color w:val="auto"/>
              </w:rPr>
            </w:pPr>
          </w:p>
        </w:tc>
      </w:tr>
      <w:tr>
        <w:trPr>
          <w:trHeight w:val="225"/>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projected benefit obligation:</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Projected benefit obligation at beginning of year</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109</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 w:type="dxa"/>
            <w:vAlign w:val="bottom"/>
          </w:tcPr>
          <w:p>
            <w:pPr>
              <w:spacing w:after="0"/>
              <w:rPr>
                <w:sz w:val="19"/>
                <w:szCs w:val="19"/>
                <w:color w:val="auto"/>
              </w:rPr>
            </w:pPr>
          </w:p>
        </w:tc>
      </w:tr>
      <w:tr>
        <w:trPr>
          <w:trHeight w:val="230"/>
        </w:trPr>
        <w:tc>
          <w:tcPr>
            <w:tcW w:w="5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Service cost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r>
      <w:tr>
        <w:trPr>
          <w:trHeight w:val="230"/>
        </w:trPr>
        <w:tc>
          <w:tcPr>
            <w:tcW w:w="5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Interest cost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9"/>
                <w:szCs w:val="19"/>
                <w:color w:val="auto"/>
              </w:rPr>
            </w:pPr>
          </w:p>
        </w:tc>
      </w:tr>
      <w:tr>
        <w:trPr>
          <w:trHeight w:val="230"/>
        </w:trPr>
        <w:tc>
          <w:tcPr>
            <w:tcW w:w="5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Actuarial losses (gains)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9"/>
                <w:szCs w:val="19"/>
                <w:color w:val="auto"/>
              </w:rPr>
            </w:pPr>
          </w:p>
        </w:tc>
      </w:tr>
      <w:tr>
        <w:trPr>
          <w:trHeight w:val="229"/>
        </w:trPr>
        <w:tc>
          <w:tcPr>
            <w:tcW w:w="5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Benefits paid</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r>
      <w:tr>
        <w:trPr>
          <w:trHeight w:val="230"/>
        </w:trPr>
        <w:tc>
          <w:tcPr>
            <w:tcW w:w="5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Expenses paid</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54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Plan amendments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3"/>
        </w:trPr>
        <w:tc>
          <w:tcPr>
            <w:tcW w:w="54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Projected benefit obligation at end of year</w:t>
            </w: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1,285</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tcPr>
          <w:p>
            <w:pPr>
              <w:spacing w:after="0"/>
              <w:rPr>
                <w:sz w:val="19"/>
                <w:szCs w:val="19"/>
                <w:color w:val="auto"/>
              </w:rPr>
            </w:pPr>
          </w:p>
        </w:tc>
      </w:tr>
      <w:tr>
        <w:trPr>
          <w:trHeight w:val="223"/>
        </w:trPr>
        <w:tc>
          <w:tcPr>
            <w:tcW w:w="54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Accumulated benefit obligation at end of year</w:t>
            </w: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1,187</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 w:type="dxa"/>
            <w:vAlign w:val="bottom"/>
          </w:tcPr>
          <w:p>
            <w:pPr>
              <w:spacing w:after="0"/>
              <w:rPr>
                <w:sz w:val="19"/>
                <w:szCs w:val="19"/>
                <w:color w:val="auto"/>
              </w:rPr>
            </w:pPr>
          </w:p>
        </w:tc>
      </w:tr>
      <w:tr>
        <w:trPr>
          <w:trHeight w:val="965"/>
        </w:trPr>
        <w:tc>
          <w:tcPr>
            <w:tcW w:w="5440" w:type="dxa"/>
            <w:vAlign w:val="bottom"/>
          </w:tcPr>
          <w:p>
            <w:pPr>
              <w:spacing w:after="0"/>
              <w:rPr>
                <w:sz w:val="24"/>
                <w:szCs w:val="24"/>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F-24</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4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07"/>
        </w:trPr>
        <w:tc>
          <w:tcPr>
            <w:tcW w:w="5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00" w:type="dxa"/>
            <w:vAlign w:val="bottom"/>
            <w:gridSpan w:val="3"/>
          </w:tcPr>
          <w:p>
            <w:pPr>
              <w:jc w:val="right"/>
              <w:ind w:right="910"/>
              <w:spacing w:after="0"/>
              <w:rPr>
                <w:sz w:val="20"/>
                <w:szCs w:val="20"/>
                <w:color w:val="auto"/>
              </w:rPr>
            </w:pPr>
            <w:r>
              <w:rPr>
                <w:rFonts w:ascii="Times New Roman" w:cs="Times New Roman" w:eastAsia="Times New Roman" w:hAnsi="Times New Roman"/>
                <w:sz w:val="18"/>
                <w:szCs w:val="18"/>
                <w:color w:val="auto"/>
              </w:rPr>
              <w:t>Funded Plan</w:t>
            </w:r>
          </w:p>
        </w:tc>
        <w:tc>
          <w:tcPr>
            <w:tcW w:w="160" w:type="dxa"/>
            <w:vAlign w:val="bottom"/>
          </w:tcPr>
          <w:p>
            <w:pPr>
              <w:spacing w:after="0"/>
              <w:rPr>
                <w:sz w:val="17"/>
                <w:szCs w:val="17"/>
                <w:color w:val="auto"/>
              </w:rPr>
            </w:pPr>
          </w:p>
        </w:tc>
        <w:tc>
          <w:tcPr>
            <w:tcW w:w="2620" w:type="dxa"/>
            <w:vAlign w:val="bottom"/>
            <w:gridSpan w:val="3"/>
          </w:tcPr>
          <w:p>
            <w:pPr>
              <w:jc w:val="right"/>
              <w:ind w:right="750"/>
              <w:spacing w:after="0"/>
              <w:rPr>
                <w:sz w:val="20"/>
                <w:szCs w:val="20"/>
                <w:color w:val="auto"/>
              </w:rPr>
            </w:pPr>
            <w:r>
              <w:rPr>
                <w:rFonts w:ascii="Times New Roman" w:cs="Times New Roman" w:eastAsia="Times New Roman" w:hAnsi="Times New Roman"/>
                <w:sz w:val="18"/>
                <w:szCs w:val="18"/>
                <w:color w:val="auto"/>
              </w:rPr>
              <w:t>Unfunded Plan</w:t>
            </w:r>
          </w:p>
        </w:tc>
      </w:tr>
      <w:tr>
        <w:trPr>
          <w:trHeight w:val="239"/>
        </w:trPr>
        <w:tc>
          <w:tcPr>
            <w:tcW w:w="55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3"/>
          </w:tcPr>
          <w:p>
            <w:pPr>
              <w:jc w:val="right"/>
              <w:ind w:right="690"/>
              <w:spacing w:after="0"/>
              <w:rPr>
                <w:sz w:val="20"/>
                <w:szCs w:val="20"/>
                <w:color w:val="auto"/>
              </w:rPr>
            </w:pPr>
            <w:r>
              <w:rPr>
                <w:rFonts w:ascii="Times New Roman" w:cs="Times New Roman" w:eastAsia="Times New Roman" w:hAnsi="Times New Roman"/>
                <w:sz w:val="18"/>
                <w:szCs w:val="18"/>
                <w:color w:val="auto"/>
              </w:rPr>
              <w:t>Fiscal Year Ended</w:t>
            </w:r>
          </w:p>
        </w:tc>
        <w:tc>
          <w:tcPr>
            <w:tcW w:w="16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3"/>
          </w:tcPr>
          <w:p>
            <w:pPr>
              <w:jc w:val="right"/>
              <w:ind w:right="650"/>
              <w:spacing w:after="0"/>
              <w:rPr>
                <w:sz w:val="20"/>
                <w:szCs w:val="20"/>
                <w:color w:val="auto"/>
              </w:rPr>
            </w:pPr>
            <w:r>
              <w:rPr>
                <w:rFonts w:ascii="Times New Roman" w:cs="Times New Roman" w:eastAsia="Times New Roman" w:hAnsi="Times New Roman"/>
                <w:sz w:val="18"/>
                <w:szCs w:val="18"/>
                <w:color w:val="auto"/>
              </w:rPr>
              <w:t>Fiscal Year Ended</w:t>
            </w:r>
          </w:p>
        </w:tc>
      </w:tr>
      <w:tr>
        <w:trPr>
          <w:trHeight w:val="173"/>
        </w:trPr>
        <w:tc>
          <w:tcPr>
            <w:tcW w:w="5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ind w:right="190"/>
              <w:spacing w:after="0" w:line="173" w:lineRule="exact"/>
              <w:rPr>
                <w:sz w:val="20"/>
                <w:szCs w:val="20"/>
                <w:color w:val="auto"/>
              </w:rPr>
            </w:pPr>
            <w:r>
              <w:rPr>
                <w:rFonts w:ascii="Times New Roman" w:cs="Times New Roman" w:eastAsia="Times New Roman" w:hAnsi="Times New Roman"/>
                <w:sz w:val="18"/>
                <w:szCs w:val="18"/>
                <w:b w:val="1"/>
                <w:bCs w:val="1"/>
                <w:color w:val="auto"/>
              </w:rPr>
              <w:t>February 3,</w:t>
            </w:r>
          </w:p>
        </w:tc>
        <w:tc>
          <w:tcPr>
            <w:tcW w:w="200" w:type="dxa"/>
            <w:vAlign w:val="bottom"/>
          </w:tcPr>
          <w:p>
            <w:pPr>
              <w:spacing w:after="0"/>
              <w:rPr>
                <w:sz w:val="15"/>
                <w:szCs w:val="15"/>
                <w:color w:val="auto"/>
              </w:rPr>
            </w:pPr>
          </w:p>
        </w:tc>
        <w:tc>
          <w:tcPr>
            <w:tcW w:w="1240" w:type="dxa"/>
            <w:vAlign w:val="bottom"/>
          </w:tcPr>
          <w:p>
            <w:pPr>
              <w:jc w:val="right"/>
              <w:ind w:right="210"/>
              <w:spacing w:after="0" w:line="173" w:lineRule="exact"/>
              <w:rPr>
                <w:sz w:val="20"/>
                <w:szCs w:val="20"/>
                <w:color w:val="auto"/>
              </w:rPr>
            </w:pPr>
            <w:r>
              <w:rPr>
                <w:rFonts w:ascii="Times New Roman" w:cs="Times New Roman" w:eastAsia="Times New Roman" w:hAnsi="Times New Roman"/>
                <w:sz w:val="18"/>
                <w:szCs w:val="18"/>
                <w:color w:val="auto"/>
              </w:rPr>
              <w:t>January 28,</w:t>
            </w:r>
          </w:p>
        </w:tc>
        <w:tc>
          <w:tcPr>
            <w:tcW w:w="160" w:type="dxa"/>
            <w:vAlign w:val="bottom"/>
          </w:tcPr>
          <w:p>
            <w:pPr>
              <w:spacing w:after="0"/>
              <w:rPr>
                <w:sz w:val="15"/>
                <w:szCs w:val="15"/>
                <w:color w:val="auto"/>
              </w:rPr>
            </w:pPr>
          </w:p>
        </w:tc>
        <w:tc>
          <w:tcPr>
            <w:tcW w:w="1180" w:type="dxa"/>
            <w:vAlign w:val="bottom"/>
          </w:tcPr>
          <w:p>
            <w:pPr>
              <w:jc w:val="right"/>
              <w:ind w:right="130"/>
              <w:spacing w:after="0" w:line="173" w:lineRule="exact"/>
              <w:rPr>
                <w:sz w:val="20"/>
                <w:szCs w:val="20"/>
                <w:color w:val="auto"/>
              </w:rPr>
            </w:pPr>
            <w:r>
              <w:rPr>
                <w:rFonts w:ascii="Times New Roman" w:cs="Times New Roman" w:eastAsia="Times New Roman" w:hAnsi="Times New Roman"/>
                <w:sz w:val="18"/>
                <w:szCs w:val="18"/>
                <w:b w:val="1"/>
                <w:bCs w:val="1"/>
                <w:color w:val="auto"/>
              </w:rPr>
              <w:t>February 3,</w:t>
            </w:r>
          </w:p>
        </w:tc>
        <w:tc>
          <w:tcPr>
            <w:tcW w:w="200" w:type="dxa"/>
            <w:vAlign w:val="bottom"/>
          </w:tcPr>
          <w:p>
            <w:pPr>
              <w:spacing w:after="0"/>
              <w:rPr>
                <w:sz w:val="15"/>
                <w:szCs w:val="15"/>
                <w:color w:val="auto"/>
              </w:rPr>
            </w:pPr>
          </w:p>
        </w:tc>
        <w:tc>
          <w:tcPr>
            <w:tcW w:w="1240" w:type="dxa"/>
            <w:vAlign w:val="bottom"/>
          </w:tcPr>
          <w:p>
            <w:pPr>
              <w:jc w:val="right"/>
              <w:ind w:right="210"/>
              <w:spacing w:after="0" w:line="173" w:lineRule="exact"/>
              <w:rPr>
                <w:sz w:val="20"/>
                <w:szCs w:val="20"/>
                <w:color w:val="auto"/>
              </w:rPr>
            </w:pPr>
            <w:r>
              <w:rPr>
                <w:rFonts w:ascii="Times New Roman" w:cs="Times New Roman" w:eastAsia="Times New Roman" w:hAnsi="Times New Roman"/>
                <w:sz w:val="18"/>
                <w:szCs w:val="18"/>
                <w:color w:val="auto"/>
              </w:rPr>
              <w:t>January 28,</w:t>
            </w:r>
          </w:p>
        </w:tc>
      </w:tr>
      <w:tr>
        <w:trPr>
          <w:trHeight w:val="241"/>
        </w:trPr>
        <w:tc>
          <w:tcPr>
            <w:tcW w:w="5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r>
      <w:tr>
        <w:trPr>
          <w:trHeight w:val="225"/>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plan assets: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5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1,475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5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Employer contribution</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55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Benefits paid</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55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Expenses paid</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5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1,451</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Reconciliation of funded status:</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5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Projected benefit obligation at end of year</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30"/>
        </w:trPr>
        <w:tc>
          <w:tcPr>
            <w:tcW w:w="55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1,451</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5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Funded status – excess (asset) obligation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23"/>
        </w:trPr>
        <w:tc>
          <w:tcPr>
            <w:tcW w:w="55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Net (asset) liability recognized on Consolidated Balance Sheets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169"/>
        </w:trPr>
        <w:tc>
          <w:tcPr>
            <w:tcW w:w="556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Amounts not yet reflected in net periodic benefit cost and included in</w:t>
            </w: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24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30"/>
        </w:trPr>
        <w:tc>
          <w:tcPr>
            <w:tcW w:w="5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Prior service cost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5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actuarial losses</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55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Amounts included in Accumulated other comprehensive (loss) income</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bl>
    <w:p>
      <w:pPr>
        <w:spacing w:after="0" w:line="18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Consolidated Balance Sheets reflect the funded status of the plans with any unrecognized prior service cost and actuarial gains and losses recorded in Accumulated other comprehensive (loss) income. The funded plan asset of $166 million and $132 million is reflected on the Consolidated Balance Sheets in Prepaid expenses and other current assets as of February 3, 2024 and January 28, 2023, respectively. The unfunded plan liability is reflected on the Consolidated Balance Sheets as current liabilities of $10 million and $4 million and a long-term liability of $95 million and $105 million as of February 3, 2024 and January 28, 2023, respectively.</w:t>
      </w:r>
    </w:p>
    <w:p>
      <w:pPr>
        <w:spacing w:after="0" w:line="7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decrease in the actuarial losses included in Accumulated other comprehensive (loss) income for the funded plan for fiscal 2024 was driven by the impact of higher discount rates and an increase in actual return on plan assets.</w:t>
      </w:r>
    </w:p>
    <w:p>
      <w:pPr>
        <w:spacing w:after="0" w:line="54"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TJX determined the assumed discount rate using the BOND: Link model in fiscal 2024 and fiscal 2023. TJX uses the BOND: Link model as this model allows for the selection of specific bonds resulting in better matches in timing of the plans’ expected cash flows. Presented below are weighted average assumptions for measurement purposes for determining the obligation at the year-end measurement date:</w:t>
      </w:r>
    </w:p>
    <w:tbl>
      <w:tblPr>
        <w:tblLayout w:type="fixed"/>
        <w:tblInd w:w="0" w:type="dxa"/>
        <w:tblCellMar>
          <w:top w:w="0" w:type="dxa"/>
          <w:left w:w="0" w:type="dxa"/>
          <w:bottom w:w="0" w:type="dxa"/>
          <w:right w:w="0" w:type="dxa"/>
        </w:tblCellMar>
      </w:tblPr>
      <w:tr>
        <w:trPr>
          <w:trHeight w:val="181"/>
        </w:trPr>
        <w:tc>
          <w:tcPr>
            <w:tcW w:w="5020" w:type="dxa"/>
            <w:vAlign w:val="bottom"/>
          </w:tcPr>
          <w:p>
            <w:pPr>
              <w:spacing w:after="0"/>
              <w:rPr>
                <w:sz w:val="15"/>
                <w:szCs w:val="15"/>
                <w:color w:val="auto"/>
              </w:rPr>
            </w:pPr>
          </w:p>
        </w:tc>
        <w:tc>
          <w:tcPr>
            <w:tcW w:w="3260" w:type="dxa"/>
            <w:vAlign w:val="bottom"/>
            <w:gridSpan w:val="2"/>
          </w:tcPr>
          <w:p>
            <w:pPr>
              <w:jc w:val="right"/>
              <w:ind w:right="1170"/>
              <w:spacing w:after="0" w:line="181" w:lineRule="exact"/>
              <w:rPr>
                <w:sz w:val="20"/>
                <w:szCs w:val="20"/>
                <w:color w:val="auto"/>
              </w:rPr>
            </w:pPr>
            <w:r>
              <w:rPr>
                <w:rFonts w:ascii="Times New Roman" w:cs="Times New Roman" w:eastAsia="Times New Roman" w:hAnsi="Times New Roman"/>
                <w:sz w:val="18"/>
                <w:szCs w:val="18"/>
                <w:color w:val="auto"/>
              </w:rPr>
              <w:t>Funded Plan</w:t>
            </w:r>
          </w:p>
        </w:tc>
        <w:tc>
          <w:tcPr>
            <w:tcW w:w="2940" w:type="dxa"/>
            <w:vAlign w:val="bottom"/>
            <w:gridSpan w:val="2"/>
          </w:tcPr>
          <w:p>
            <w:pPr>
              <w:ind w:left="840"/>
              <w:spacing w:after="0" w:line="181" w:lineRule="exact"/>
              <w:rPr>
                <w:sz w:val="20"/>
                <w:szCs w:val="20"/>
                <w:color w:val="auto"/>
              </w:rPr>
            </w:pPr>
            <w:r>
              <w:rPr>
                <w:rFonts w:ascii="Times New Roman" w:cs="Times New Roman" w:eastAsia="Times New Roman" w:hAnsi="Times New Roman"/>
                <w:sz w:val="18"/>
                <w:szCs w:val="18"/>
                <w:color w:val="auto"/>
              </w:rPr>
              <w:t>Unfunded Plan</w:t>
            </w:r>
          </w:p>
        </w:tc>
      </w:tr>
      <w:tr>
        <w:trPr>
          <w:trHeight w:val="239"/>
        </w:trPr>
        <w:tc>
          <w:tcPr>
            <w:tcW w:w="5020" w:type="dxa"/>
            <w:vAlign w:val="bottom"/>
          </w:tcPr>
          <w:p>
            <w:pPr>
              <w:spacing w:after="0"/>
              <w:rPr>
                <w:sz w:val="20"/>
                <w:szCs w:val="20"/>
                <w:color w:val="auto"/>
              </w:rPr>
            </w:pPr>
          </w:p>
        </w:tc>
        <w:tc>
          <w:tcPr>
            <w:tcW w:w="3260" w:type="dxa"/>
            <w:vAlign w:val="bottom"/>
            <w:tcBorders>
              <w:bottom w:val="single" w:sz="8" w:color="auto"/>
            </w:tcBorders>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Fiscal Year Ended</w:t>
            </w:r>
          </w:p>
        </w:tc>
        <w:tc>
          <w:tcPr>
            <w:tcW w:w="2940" w:type="dxa"/>
            <w:vAlign w:val="bottom"/>
            <w:tcBorders>
              <w:bottom w:val="single" w:sz="8" w:color="auto"/>
            </w:tcBorders>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Fiscal Year Ended</w:t>
            </w:r>
          </w:p>
        </w:tc>
      </w:tr>
      <w:tr>
        <w:trPr>
          <w:trHeight w:val="173"/>
        </w:trPr>
        <w:tc>
          <w:tcPr>
            <w:tcW w:w="5020" w:type="dxa"/>
            <w:vAlign w:val="bottom"/>
          </w:tcPr>
          <w:p>
            <w:pPr>
              <w:spacing w:after="0"/>
              <w:rPr>
                <w:sz w:val="15"/>
                <w:szCs w:val="15"/>
                <w:color w:val="auto"/>
              </w:rPr>
            </w:pPr>
          </w:p>
        </w:tc>
        <w:tc>
          <w:tcPr>
            <w:tcW w:w="1740" w:type="dxa"/>
            <w:vAlign w:val="bottom"/>
          </w:tcPr>
          <w:p>
            <w:pPr>
              <w:jc w:val="right"/>
              <w:ind w:right="410"/>
              <w:spacing w:after="0" w:line="173" w:lineRule="exact"/>
              <w:rPr>
                <w:sz w:val="20"/>
                <w:szCs w:val="20"/>
                <w:color w:val="auto"/>
              </w:rPr>
            </w:pPr>
            <w:r>
              <w:rPr>
                <w:rFonts w:ascii="Times New Roman" w:cs="Times New Roman" w:eastAsia="Times New Roman" w:hAnsi="Times New Roman"/>
                <w:sz w:val="18"/>
                <w:szCs w:val="18"/>
                <w:b w:val="1"/>
                <w:bCs w:val="1"/>
                <w:color w:val="auto"/>
              </w:rPr>
              <w:t>February 3,</w:t>
            </w:r>
          </w:p>
        </w:tc>
        <w:tc>
          <w:tcPr>
            <w:tcW w:w="1520" w:type="dxa"/>
            <w:vAlign w:val="bottom"/>
          </w:tcPr>
          <w:p>
            <w:pPr>
              <w:jc w:val="right"/>
              <w:ind w:right="410"/>
              <w:spacing w:after="0" w:line="173" w:lineRule="exact"/>
              <w:rPr>
                <w:sz w:val="20"/>
                <w:szCs w:val="20"/>
                <w:color w:val="auto"/>
              </w:rPr>
            </w:pPr>
            <w:r>
              <w:rPr>
                <w:rFonts w:ascii="Times New Roman" w:cs="Times New Roman" w:eastAsia="Times New Roman" w:hAnsi="Times New Roman"/>
                <w:sz w:val="18"/>
                <w:szCs w:val="18"/>
                <w:color w:val="auto"/>
              </w:rPr>
              <w:t>January 28,</w:t>
            </w:r>
          </w:p>
        </w:tc>
        <w:tc>
          <w:tcPr>
            <w:tcW w:w="1580" w:type="dxa"/>
            <w:vAlign w:val="bottom"/>
          </w:tcPr>
          <w:p>
            <w:pPr>
              <w:jc w:val="center"/>
              <w:ind w:right="250"/>
              <w:spacing w:after="0" w:line="173" w:lineRule="exact"/>
              <w:rPr>
                <w:sz w:val="20"/>
                <w:szCs w:val="20"/>
                <w:color w:val="auto"/>
              </w:rPr>
            </w:pPr>
            <w:r>
              <w:rPr>
                <w:rFonts w:ascii="Times New Roman" w:cs="Times New Roman" w:eastAsia="Times New Roman" w:hAnsi="Times New Roman"/>
                <w:sz w:val="18"/>
                <w:szCs w:val="18"/>
                <w:b w:val="1"/>
                <w:bCs w:val="1"/>
                <w:color w:val="auto"/>
              </w:rPr>
              <w:t>February 3,</w:t>
            </w:r>
          </w:p>
        </w:tc>
        <w:tc>
          <w:tcPr>
            <w:tcW w:w="1360" w:type="dxa"/>
            <w:vAlign w:val="bottom"/>
          </w:tcPr>
          <w:p>
            <w:pPr>
              <w:jc w:val="right"/>
              <w:ind w:right="270"/>
              <w:spacing w:after="0" w:line="173" w:lineRule="exact"/>
              <w:rPr>
                <w:sz w:val="20"/>
                <w:szCs w:val="20"/>
                <w:color w:val="auto"/>
              </w:rPr>
            </w:pPr>
            <w:r>
              <w:rPr>
                <w:rFonts w:ascii="Times New Roman" w:cs="Times New Roman" w:eastAsia="Times New Roman" w:hAnsi="Times New Roman"/>
                <w:sz w:val="18"/>
                <w:szCs w:val="18"/>
                <w:color w:val="auto"/>
              </w:rPr>
              <w:t>January 28,</w:t>
            </w:r>
          </w:p>
        </w:tc>
      </w:tr>
      <w:tr>
        <w:trPr>
          <w:trHeight w:val="241"/>
        </w:trPr>
        <w:tc>
          <w:tcPr>
            <w:tcW w:w="50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5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2023</w:t>
            </w:r>
          </w:p>
        </w:tc>
        <w:tc>
          <w:tcPr>
            <w:tcW w:w="15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r>
      <w:tr>
        <w:trPr>
          <w:trHeight w:val="225"/>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7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5.70 %</w:t>
            </w:r>
          </w:p>
        </w:tc>
        <w:tc>
          <w:tcPr>
            <w:tcW w:w="15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5.40 %</w:t>
            </w:r>
          </w:p>
        </w:tc>
        <w:tc>
          <w:tcPr>
            <w:tcW w:w="15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b w:val="1"/>
                <w:bCs w:val="1"/>
                <w:color w:val="auto"/>
              </w:rPr>
              <w:t>5.80 %</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5.60 %</w:t>
            </w:r>
          </w:p>
        </w:tc>
      </w:tr>
      <w:tr>
        <w:trPr>
          <w:trHeight w:val="229"/>
        </w:trPr>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7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4.00 %</w:t>
            </w:r>
          </w:p>
        </w:tc>
        <w:tc>
          <w:tcPr>
            <w:tcW w:w="15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4.00 %</w:t>
            </w:r>
          </w:p>
        </w:tc>
        <w:tc>
          <w:tcPr>
            <w:tcW w:w="158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b w:val="1"/>
                <w:bCs w:val="1"/>
                <w:color w:val="auto"/>
              </w:rPr>
              <w:t>4.00 %</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4.00 %</w:t>
            </w:r>
          </w:p>
        </w:tc>
      </w:tr>
    </w:tbl>
    <w:p>
      <w:pPr>
        <w:spacing w:after="0" w:line="17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TJX made aggregate cash contributions of $12 million in fiscal 2024 and $3 million in fiscal 2023 to the funded plan and to fund current benefit and expense payments under the unfunded plan. TJX’s policy with respect to the funded plan is to fund, at a minimum, the amount required to maintain a funded status of 80% of the applicable pension liability (the Funding Target pursuant to the Internal Revenue Code section 430) or such other amount as is sufficient to avoid restrictions with respect to the funding of nonqualified plans under the Internal Revenue Code. The Company does not anticipate any required funding in fiscal 2025 for the funded plan. The Company anticipates making contributions of $11 million to provide current benefits coming due under the unfunded plan in fiscal 2025.</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auto"/>
        </w:rPr>
        <w:t>The following are the components of net periodic benefit cost and other amounts recognized in Other comprehensive income (loss) related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pension plans: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7"/>
              </w:rPr>
              <w:t>Funded Plan</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Unfunded Plan</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5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Fiscal Year Ended</w:t>
            </w: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Fiscal Year Ended</w:t>
            </w: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3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ind w:right="130"/>
              <w:spacing w:after="0" w:line="173" w:lineRule="exact"/>
              <w:rPr>
                <w:sz w:val="20"/>
                <w:szCs w:val="20"/>
                <w:color w:val="auto"/>
              </w:rPr>
            </w:pPr>
            <w:r>
              <w:rPr>
                <w:rFonts w:ascii="Times New Roman" w:cs="Times New Roman" w:eastAsia="Times New Roman" w:hAnsi="Times New Roman"/>
                <w:sz w:val="18"/>
                <w:szCs w:val="18"/>
                <w:b w:val="1"/>
                <w:bCs w:val="1"/>
                <w:color w:val="auto"/>
              </w:rPr>
              <w:t>February 3,</w:t>
            </w:r>
          </w:p>
        </w:tc>
        <w:tc>
          <w:tcPr>
            <w:tcW w:w="120" w:type="dxa"/>
            <w:vAlign w:val="bottom"/>
          </w:tcPr>
          <w:p>
            <w:pPr>
              <w:spacing w:after="0"/>
              <w:rPr>
                <w:sz w:val="15"/>
                <w:szCs w:val="15"/>
                <w:color w:val="auto"/>
              </w:rPr>
            </w:pPr>
          </w:p>
        </w:tc>
        <w:tc>
          <w:tcPr>
            <w:tcW w:w="1160" w:type="dxa"/>
            <w:vAlign w:val="bottom"/>
          </w:tcPr>
          <w:p>
            <w:pPr>
              <w:jc w:val="right"/>
              <w:ind w:right="130"/>
              <w:spacing w:after="0" w:line="173" w:lineRule="exact"/>
              <w:rPr>
                <w:sz w:val="20"/>
                <w:szCs w:val="20"/>
                <w:color w:val="auto"/>
              </w:rPr>
            </w:pPr>
            <w:r>
              <w:rPr>
                <w:rFonts w:ascii="Times New Roman" w:cs="Times New Roman" w:eastAsia="Times New Roman" w:hAnsi="Times New Roman"/>
                <w:sz w:val="18"/>
                <w:szCs w:val="18"/>
                <w:color w:val="auto"/>
              </w:rPr>
              <w:t>January 28,</w:t>
            </w:r>
          </w:p>
        </w:tc>
        <w:tc>
          <w:tcPr>
            <w:tcW w:w="140" w:type="dxa"/>
            <w:vAlign w:val="bottom"/>
          </w:tcPr>
          <w:p>
            <w:pPr>
              <w:spacing w:after="0"/>
              <w:rPr>
                <w:sz w:val="15"/>
                <w:szCs w:val="15"/>
                <w:color w:val="auto"/>
              </w:rPr>
            </w:pPr>
          </w:p>
        </w:tc>
        <w:tc>
          <w:tcPr>
            <w:tcW w:w="1080" w:type="dxa"/>
            <w:vAlign w:val="bottom"/>
          </w:tcPr>
          <w:p>
            <w:pPr>
              <w:jc w:val="right"/>
              <w:ind w:right="110"/>
              <w:spacing w:after="0" w:line="173" w:lineRule="exact"/>
              <w:rPr>
                <w:sz w:val="20"/>
                <w:szCs w:val="20"/>
                <w:color w:val="auto"/>
              </w:rPr>
            </w:pPr>
            <w:r>
              <w:rPr>
                <w:rFonts w:ascii="Times New Roman" w:cs="Times New Roman" w:eastAsia="Times New Roman" w:hAnsi="Times New Roman"/>
                <w:sz w:val="18"/>
                <w:szCs w:val="18"/>
                <w:color w:val="auto"/>
              </w:rPr>
              <w:t>January 29,</w:t>
            </w:r>
          </w:p>
        </w:tc>
        <w:tc>
          <w:tcPr>
            <w:tcW w:w="160" w:type="dxa"/>
            <w:vAlign w:val="bottom"/>
          </w:tcPr>
          <w:p>
            <w:pPr>
              <w:spacing w:after="0"/>
              <w:rPr>
                <w:sz w:val="15"/>
                <w:szCs w:val="15"/>
                <w:color w:val="auto"/>
              </w:rPr>
            </w:pPr>
          </w:p>
        </w:tc>
        <w:tc>
          <w:tcPr>
            <w:tcW w:w="1180" w:type="dxa"/>
            <w:vAlign w:val="bottom"/>
          </w:tcPr>
          <w:p>
            <w:pPr>
              <w:jc w:val="right"/>
              <w:ind w:right="130"/>
              <w:spacing w:after="0" w:line="173" w:lineRule="exact"/>
              <w:rPr>
                <w:sz w:val="20"/>
                <w:szCs w:val="20"/>
                <w:color w:val="auto"/>
              </w:rPr>
            </w:pPr>
            <w:r>
              <w:rPr>
                <w:rFonts w:ascii="Times New Roman" w:cs="Times New Roman" w:eastAsia="Times New Roman" w:hAnsi="Times New Roman"/>
                <w:sz w:val="18"/>
                <w:szCs w:val="18"/>
                <w:b w:val="1"/>
                <w:bCs w:val="1"/>
                <w:color w:val="auto"/>
              </w:rPr>
              <w:t>February 3,</w:t>
            </w:r>
          </w:p>
        </w:tc>
        <w:tc>
          <w:tcPr>
            <w:tcW w:w="180" w:type="dxa"/>
            <w:vAlign w:val="bottom"/>
          </w:tcPr>
          <w:p>
            <w:pPr>
              <w:spacing w:after="0"/>
              <w:rPr>
                <w:sz w:val="15"/>
                <w:szCs w:val="15"/>
                <w:color w:val="auto"/>
              </w:rPr>
            </w:pPr>
          </w:p>
        </w:tc>
        <w:tc>
          <w:tcPr>
            <w:tcW w:w="1120" w:type="dxa"/>
            <w:vAlign w:val="bottom"/>
          </w:tcPr>
          <w:p>
            <w:pPr>
              <w:jc w:val="right"/>
              <w:ind w:right="130"/>
              <w:spacing w:after="0" w:line="173" w:lineRule="exact"/>
              <w:rPr>
                <w:sz w:val="20"/>
                <w:szCs w:val="20"/>
                <w:color w:val="auto"/>
              </w:rPr>
            </w:pPr>
            <w:r>
              <w:rPr>
                <w:rFonts w:ascii="Times New Roman" w:cs="Times New Roman" w:eastAsia="Times New Roman" w:hAnsi="Times New Roman"/>
                <w:sz w:val="18"/>
                <w:szCs w:val="18"/>
                <w:color w:val="auto"/>
              </w:rPr>
              <w:t>January 28,</w:t>
            </w:r>
          </w:p>
        </w:tc>
        <w:tc>
          <w:tcPr>
            <w:tcW w:w="140" w:type="dxa"/>
            <w:vAlign w:val="bottom"/>
          </w:tcPr>
          <w:p>
            <w:pPr>
              <w:spacing w:after="0"/>
              <w:rPr>
                <w:sz w:val="15"/>
                <w:szCs w:val="15"/>
                <w:color w:val="auto"/>
              </w:rPr>
            </w:pPr>
          </w:p>
        </w:tc>
        <w:tc>
          <w:tcPr>
            <w:tcW w:w="1040" w:type="dxa"/>
            <w:vAlign w:val="bottom"/>
          </w:tcPr>
          <w:p>
            <w:pPr>
              <w:jc w:val="right"/>
              <w:ind w:right="90"/>
              <w:spacing w:after="0" w:line="173" w:lineRule="exact"/>
              <w:rPr>
                <w:sz w:val="20"/>
                <w:szCs w:val="20"/>
                <w:color w:val="auto"/>
              </w:rPr>
            </w:pPr>
            <w:r>
              <w:rPr>
                <w:rFonts w:ascii="Times New Roman" w:cs="Times New Roman" w:eastAsia="Times New Roman" w:hAnsi="Times New Roman"/>
                <w:sz w:val="18"/>
                <w:szCs w:val="18"/>
                <w:color w:val="auto"/>
              </w:rPr>
              <w:t>January 29,</w:t>
            </w:r>
          </w:p>
        </w:tc>
        <w:tc>
          <w:tcPr>
            <w:tcW w:w="0" w:type="dxa"/>
            <w:vAlign w:val="bottom"/>
          </w:tcPr>
          <w:p>
            <w:pPr>
              <w:spacing w:after="0"/>
              <w:rPr>
                <w:sz w:val="1"/>
                <w:szCs w:val="1"/>
                <w:color w:val="auto"/>
              </w:rPr>
            </w:pPr>
          </w:p>
        </w:tc>
      </w:tr>
      <w:tr>
        <w:trPr>
          <w:trHeight w:val="241"/>
        </w:trPr>
        <w:tc>
          <w:tcPr>
            <w:tcW w:w="3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25"/>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pension cost: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Service cost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cost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72</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3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60" w:type="dxa"/>
            <w:vAlign w:val="bottom"/>
          </w:tcPr>
          <w:p>
            <w:pPr>
              <w:spacing w:after="0"/>
              <w:rPr>
                <w:sz w:val="19"/>
                <w:szCs w:val="19"/>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(80)</w:t>
            </w:r>
          </w:p>
        </w:tc>
        <w:tc>
          <w:tcPr>
            <w:tcW w:w="120" w:type="dxa"/>
            <w:vAlign w:val="bottom"/>
          </w:tcPr>
          <w:p>
            <w:pPr>
              <w:spacing w:after="0"/>
              <w:rPr>
                <w:sz w:val="19"/>
                <w:szCs w:val="19"/>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(89)</w:t>
            </w:r>
          </w:p>
        </w:tc>
        <w:tc>
          <w:tcPr>
            <w:tcW w:w="140" w:type="dxa"/>
            <w:vAlign w:val="bottom"/>
          </w:tcPr>
          <w:p>
            <w:pPr>
              <w:spacing w:after="0"/>
              <w:rPr>
                <w:sz w:val="19"/>
                <w:szCs w:val="19"/>
                <w:color w:val="auto"/>
              </w:rPr>
            </w:pP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(95)</w:t>
            </w:r>
          </w:p>
        </w:tc>
        <w:tc>
          <w:tcPr>
            <w:tcW w:w="16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Amortization of net actuarial loss</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358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10</w:t>
            </w: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69"/>
        </w:trPr>
        <w:tc>
          <w:tcPr>
            <w:tcW w:w="4920" w:type="dxa"/>
            <w:vAlign w:val="bottom"/>
            <w:gridSpan w:val="3"/>
          </w:tcPr>
          <w:p>
            <w:pPr>
              <w:ind w:left="20"/>
              <w:spacing w:after="0" w:line="169" w:lineRule="exact"/>
              <w:rPr>
                <w:sz w:val="20"/>
                <w:szCs w:val="20"/>
                <w:color w:val="auto"/>
              </w:rPr>
            </w:pPr>
            <w:r>
              <w:rPr>
                <w:rFonts w:ascii="Times New Roman" w:cs="Times New Roman" w:eastAsia="Times New Roman" w:hAnsi="Times New Roman"/>
                <w:sz w:val="18"/>
                <w:szCs w:val="18"/>
                <w:color w:val="auto"/>
              </w:rPr>
              <w:t>Other changes in plan assets and benefit obligations recognized in</w:t>
            </w: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(gain)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0</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9"/>
        </w:trPr>
        <w:tc>
          <w:tcPr>
            <w:tcW w:w="3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Prior service cost (credit)</w:t>
            </w:r>
          </w:p>
        </w:tc>
        <w:tc>
          <w:tcPr>
            <w:tcW w:w="160" w:type="dxa"/>
            <w:vAlign w:val="bottom"/>
          </w:tcPr>
          <w:p>
            <w:pPr>
              <w:spacing w:after="0"/>
              <w:rPr>
                <w:sz w:val="19"/>
                <w:szCs w:val="19"/>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(11)</w:t>
            </w:r>
          </w:p>
        </w:tc>
        <w:tc>
          <w:tcPr>
            <w:tcW w:w="12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net (loss)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35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0</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9"/>
        </w:trPr>
        <w:tc>
          <w:tcPr>
            <w:tcW w:w="3580" w:type="dxa"/>
            <w:vAlign w:val="bottom"/>
            <w:shd w:val="clear" w:color="auto" w:fill="CCEEFF"/>
          </w:tcPr>
          <w:p>
            <w:pPr>
              <w:ind w:left="480"/>
              <w:spacing w:after="0" w:line="169" w:lineRule="exact"/>
              <w:rPr>
                <w:sz w:val="20"/>
                <w:szCs w:val="20"/>
                <w:color w:val="auto"/>
              </w:rPr>
            </w:pPr>
            <w:r>
              <w:rPr>
                <w:rFonts w:ascii="Times New Roman" w:cs="Times New Roman" w:eastAsia="Times New Roman" w:hAnsi="Times New Roman"/>
                <w:sz w:val="18"/>
                <w:szCs w:val="18"/>
                <w:color w:val="auto"/>
              </w:rPr>
              <w:t>Total (gain) loss recognized in other</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(59)</w:t>
            </w: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w:t>
            </w: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58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comprehensive income</w:t>
            </w:r>
          </w:p>
        </w:tc>
        <w:tc>
          <w:tcPr>
            <w:tcW w:w="160" w:type="dxa"/>
            <w:vAlign w:val="bottom"/>
            <w:tcBorders>
              <w:bottom w:val="single" w:sz="8" w:color="auto"/>
            </w:tcBorders>
            <w:vMerge w:val="continue"/>
            <w:shd w:val="clear" w:color="auto" w:fill="CCEEFF"/>
          </w:tcPr>
          <w:p>
            <w:pPr>
              <w:spacing w:after="0"/>
              <w:rPr>
                <w:sz w:val="21"/>
                <w:szCs w:val="21"/>
                <w:color w:val="auto"/>
              </w:rPr>
            </w:pP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tcBorders>
              <w:bottom w:val="single" w:sz="8" w:color="auto"/>
            </w:tcBorders>
            <w:vMerge w:val="continue"/>
            <w:shd w:val="clear" w:color="auto" w:fill="CCEEFF"/>
          </w:tcPr>
          <w:p>
            <w:pPr>
              <w:spacing w:after="0"/>
              <w:rPr>
                <w:sz w:val="21"/>
                <w:szCs w:val="21"/>
                <w:color w:val="auto"/>
              </w:rPr>
            </w:pP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69"/>
        </w:trPr>
        <w:tc>
          <w:tcPr>
            <w:tcW w:w="358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Total recognized in net periodic benefit cost and</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(34)</w:t>
            </w: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tcBorders>
              <w:bottom w:val="single" w:sz="8" w:color="auto"/>
            </w:tcBorders>
            <w:vMerge w:val="continue"/>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(136)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Borders>
              <w:bottom w:val="single" w:sz="8" w:color="auto"/>
            </w:tcBorders>
            <w:vMerge w:val="continue"/>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4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assumptions for expense purposes:</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Discount rate</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5.40 %</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3.40 %</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3.20 %</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5.60 %</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3.30 %</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2.80 %</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Expected rate of return on plan assets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5.50 %</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5.25 %</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5.75 %</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N/A</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35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4.00 %</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4.00 %</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TJX develops its long-term rate of return assumption by evaluating input from professional advisors taking into account the asset allocation of the portfolio and long-term asset class return expectations, as well as long-term inflation assumptions.</w:t>
      </w:r>
    </w:p>
    <w:p>
      <w:pPr>
        <w:spacing w:after="0" w:line="54"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The unrecognized gains and losses in excess of 10% of the projected benefit obligation are amortized over the average remaining service life of participants.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schedule of the benefits expected to be paid in each of the next five fiscal years and in the aggregate for the five fiscal years thereafter:</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6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Funded Plan</w:t>
            </w:r>
          </w:p>
        </w:tc>
        <w:tc>
          <w:tcPr>
            <w:tcW w:w="320" w:type="dxa"/>
            <w:vAlign w:val="bottom"/>
          </w:tcPr>
          <w:p>
            <w:pPr>
              <w:spacing w:after="0"/>
              <w:rPr>
                <w:sz w:val="18"/>
                <w:szCs w:val="18"/>
                <w:color w:val="auto"/>
              </w:rPr>
            </w:pPr>
          </w:p>
        </w:tc>
        <w:tc>
          <w:tcPr>
            <w:tcW w:w="17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Unfunded Plan</w:t>
            </w:r>
          </w:p>
        </w:tc>
      </w:tr>
      <w:tr>
        <w:trPr>
          <w:trHeight w:val="239"/>
        </w:trPr>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6820" w:type="dxa"/>
            <w:vAlign w:val="bottom"/>
            <w:tcBorders>
              <w:bottom w:val="single" w:sz="8" w:color="auto"/>
            </w:tcBorders>
            <w:gridSpan w:val="4"/>
          </w:tcPr>
          <w:p>
            <w:pPr>
              <w:ind w:left="2780"/>
              <w:spacing w:after="0"/>
              <w:rPr>
                <w:sz w:val="20"/>
                <w:szCs w:val="20"/>
                <w:color w:val="auto"/>
              </w:rPr>
            </w:pPr>
            <w:r>
              <w:rPr>
                <w:rFonts w:ascii="Times New Roman" w:cs="Times New Roman" w:eastAsia="Times New Roman" w:hAnsi="Times New Roman"/>
                <w:sz w:val="18"/>
                <w:szCs w:val="18"/>
                <w:color w:val="auto"/>
                <w:w w:val="99"/>
              </w:rPr>
              <w:t>Expected Benefit Payments Expected Benefit Payments</w:t>
            </w:r>
          </w:p>
        </w:tc>
      </w:tr>
      <w:tr>
        <w:trPr>
          <w:trHeight w:val="227"/>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w:t>
            </w:r>
          </w:p>
        </w:tc>
        <w:tc>
          <w:tcPr>
            <w:tcW w:w="3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30"/>
        </w:trPr>
        <w:tc>
          <w:tcPr>
            <w:tcW w:w="4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2025</w:t>
            </w:r>
          </w:p>
        </w:tc>
        <w:tc>
          <w:tcPr>
            <w:tcW w:w="310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4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2026</w:t>
            </w:r>
          </w:p>
        </w:tc>
        <w:tc>
          <w:tcPr>
            <w:tcW w:w="3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3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9"/>
        </w:trPr>
        <w:tc>
          <w:tcPr>
            <w:tcW w:w="4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2027</w:t>
            </w:r>
          </w:p>
        </w:tc>
        <w:tc>
          <w:tcPr>
            <w:tcW w:w="3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3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4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2028</w:t>
            </w:r>
          </w:p>
        </w:tc>
        <w:tc>
          <w:tcPr>
            <w:tcW w:w="3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3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4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2029</w:t>
            </w:r>
          </w:p>
        </w:tc>
        <w:tc>
          <w:tcPr>
            <w:tcW w:w="3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3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440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2030 through 2034</w:t>
            </w:r>
          </w:p>
        </w:tc>
        <w:tc>
          <w:tcPr>
            <w:tcW w:w="31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3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34"/>
        </w:trPr>
        <w:tc>
          <w:tcPr>
            <w:tcW w:w="8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tables present the fair value hierarchy for pension assets measured at fair value on a recurring basis:</w:t>
            </w: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56"/>
        </w:trPr>
        <w:tc>
          <w:tcPr>
            <w:tcW w:w="68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3100" w:type="dxa"/>
            <w:vAlign w:val="bottom"/>
            <w:tcBorders>
              <w:bottom w:val="single" w:sz="8" w:color="auto"/>
            </w:tcBorders>
            <w:gridSpan w:val="4"/>
          </w:tcPr>
          <w:p>
            <w:pPr>
              <w:jc w:val="center"/>
              <w:ind w:left="570"/>
              <w:spacing w:after="0"/>
              <w:rPr>
                <w:sz w:val="20"/>
                <w:szCs w:val="20"/>
                <w:color w:val="auto"/>
              </w:rPr>
            </w:pPr>
            <w:r>
              <w:rPr>
                <w:rFonts w:ascii="Times New Roman" w:cs="Times New Roman" w:eastAsia="Times New Roman" w:hAnsi="Times New Roman"/>
                <w:sz w:val="18"/>
                <w:szCs w:val="18"/>
                <w:color w:val="auto"/>
                <w:w w:val="99"/>
              </w:rPr>
              <w:t>Funded Plan at February 3, 2024</w:t>
            </w:r>
          </w:p>
        </w:tc>
        <w:tc>
          <w:tcPr>
            <w:tcW w:w="960" w:type="dxa"/>
            <w:vAlign w:val="bottom"/>
            <w:tcBorders>
              <w:bottom w:val="single" w:sz="8" w:color="auto"/>
            </w:tcBorders>
          </w:tcPr>
          <w:p>
            <w:pPr>
              <w:spacing w:after="0"/>
              <w:rPr>
                <w:sz w:val="22"/>
                <w:szCs w:val="22"/>
                <w:color w:val="auto"/>
              </w:rPr>
            </w:pPr>
          </w:p>
        </w:tc>
      </w:tr>
      <w:tr>
        <w:trPr>
          <w:trHeight w:val="223"/>
        </w:trPr>
        <w:tc>
          <w:tcPr>
            <w:tcW w:w="6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Level 1</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Level 2</w:t>
            </w: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category: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6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r>
      <w:tr>
        <w:trPr>
          <w:trHeight w:val="229"/>
        </w:trPr>
        <w:tc>
          <w:tcPr>
            <w:tcW w:w="6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Securities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r>
      <w:tr>
        <w:trPr>
          <w:trHeight w:val="229"/>
        </w:trPr>
        <w:tc>
          <w:tcPr>
            <w:tcW w:w="6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Fixed Income Securities:</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and government bond funds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1,024</w:t>
            </w: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1,024</w:t>
            </w:r>
          </w:p>
        </w:tc>
      </w:tr>
      <w:tr>
        <w:trPr>
          <w:trHeight w:val="229"/>
        </w:trPr>
        <w:tc>
          <w:tcPr>
            <w:tcW w:w="68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Futures Contracts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r>
      <w:tr>
        <w:trPr>
          <w:trHeight w:val="223"/>
        </w:trPr>
        <w:tc>
          <w:tcPr>
            <w:tcW w:w="68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 in the fair value hierarchy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1,020</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1,112</w:t>
            </w:r>
          </w:p>
        </w:tc>
      </w:tr>
      <w:tr>
        <w:trPr>
          <w:trHeight w:val="223"/>
        </w:trPr>
        <w:tc>
          <w:tcPr>
            <w:tcW w:w="6880" w:type="dxa"/>
            <w:vAlign w:val="bottom"/>
            <w:tcBorders>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18"/>
                <w:szCs w:val="18"/>
                <w:color w:val="auto"/>
              </w:rPr>
              <w:t>Assets measured at net asset value</w:t>
            </w:r>
            <w:r>
              <w:rPr>
                <w:rFonts w:ascii="Times New Roman" w:cs="Times New Roman" w:eastAsia="Times New Roman" w:hAnsi="Times New Roman"/>
                <w:sz w:val="23"/>
                <w:szCs w:val="23"/>
                <w:color w:val="auto"/>
                <w:vertAlign w:val="superscript"/>
              </w:rPr>
              <w:t>(a)</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339</w:t>
            </w:r>
          </w:p>
        </w:tc>
      </w:tr>
      <w:tr>
        <w:trPr>
          <w:trHeight w:val="223"/>
        </w:trPr>
        <w:tc>
          <w:tcPr>
            <w:tcW w:w="6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assets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1,020</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1,451</w:t>
            </w:r>
          </w:p>
        </w:tc>
      </w:tr>
      <w:tr>
        <w:trPr>
          <w:trHeight w:val="453"/>
        </w:trPr>
        <w:tc>
          <w:tcPr>
            <w:tcW w:w="68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4"/>
          </w:tcPr>
          <w:p>
            <w:pPr>
              <w:jc w:val="center"/>
              <w:ind w:left="570"/>
              <w:spacing w:after="0"/>
              <w:rPr>
                <w:sz w:val="20"/>
                <w:szCs w:val="20"/>
                <w:color w:val="auto"/>
              </w:rPr>
            </w:pPr>
            <w:r>
              <w:rPr>
                <w:rFonts w:ascii="Times New Roman" w:cs="Times New Roman" w:eastAsia="Times New Roman" w:hAnsi="Times New Roman"/>
                <w:sz w:val="18"/>
                <w:szCs w:val="18"/>
                <w:color w:val="auto"/>
                <w:w w:val="99"/>
              </w:rPr>
              <w:t>Funded Plan at January 28, 2023</w:t>
            </w:r>
          </w:p>
        </w:tc>
        <w:tc>
          <w:tcPr>
            <w:tcW w:w="960" w:type="dxa"/>
            <w:vAlign w:val="bottom"/>
            <w:tcBorders>
              <w:bottom w:val="single" w:sz="8" w:color="auto"/>
            </w:tcBorders>
          </w:tcPr>
          <w:p>
            <w:pPr>
              <w:spacing w:after="0"/>
              <w:rPr>
                <w:sz w:val="24"/>
                <w:szCs w:val="24"/>
                <w:color w:val="auto"/>
              </w:rPr>
            </w:pPr>
          </w:p>
        </w:tc>
      </w:tr>
      <w:tr>
        <w:trPr>
          <w:trHeight w:val="223"/>
        </w:trPr>
        <w:tc>
          <w:tcPr>
            <w:tcW w:w="6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Level 1</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Level 2</w:t>
            </w: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category: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6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6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Securities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29"/>
        </w:trPr>
        <w:tc>
          <w:tcPr>
            <w:tcW w:w="6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Fixed Income Securities:</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and government bond funds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r>
      <w:tr>
        <w:trPr>
          <w:trHeight w:val="229"/>
        </w:trPr>
        <w:tc>
          <w:tcPr>
            <w:tcW w:w="68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Futures Contracts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68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 in the fair value hierarchy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r>
      <w:tr>
        <w:trPr>
          <w:trHeight w:val="223"/>
        </w:trPr>
        <w:tc>
          <w:tcPr>
            <w:tcW w:w="6880" w:type="dxa"/>
            <w:vAlign w:val="bottom"/>
            <w:tcBorders>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18"/>
                <w:szCs w:val="18"/>
                <w:color w:val="auto"/>
              </w:rPr>
              <w:t>Assets measured at net asset value</w:t>
            </w:r>
            <w:r>
              <w:rPr>
                <w:rFonts w:ascii="Times New Roman" w:cs="Times New Roman" w:eastAsia="Times New Roman" w:hAnsi="Times New Roman"/>
                <w:sz w:val="23"/>
                <w:szCs w:val="23"/>
                <w:color w:val="auto"/>
                <w:vertAlign w:val="superscript"/>
              </w:rPr>
              <w:t>(a)</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23"/>
        </w:trPr>
        <w:tc>
          <w:tcPr>
            <w:tcW w:w="6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assets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w:t>
            </w:r>
          </w:p>
        </w:tc>
      </w:tr>
    </w:tbl>
    <w:p>
      <w:pPr>
        <w:spacing w:after="0" w:line="112" w:lineRule="exact"/>
        <w:rPr>
          <w:sz w:val="20"/>
          <w:szCs w:val="20"/>
          <w:color w:val="auto"/>
        </w:rPr>
      </w:pPr>
    </w:p>
    <w:p>
      <w:pPr>
        <w:ind w:left="340" w:right="260" w:hanging="332"/>
        <w:spacing w:after="0" w:line="302" w:lineRule="auto"/>
        <w:tabs>
          <w:tab w:leader="none" w:pos="337"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accordance with Subtopic 820-10, certain investments that were measured using net asset value per share (or its equivalent) as a practical expedient have not been classified in the fair value hierarchy. The fair value amounts presented in this table are intended to permit reconciliation of the fair value hierarchy to the fair value of assets presented above.</w:t>
      </w:r>
    </w:p>
    <w:p>
      <w:pPr>
        <w:spacing w:after="0" w:line="5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Pension plan assets are reported at fair value. Refer to Note F—Fair Value Measurements for further information on the fair value hierarchy. Investments in equity securities traded on a national securities exchange are valued at the composite close price, as reported in the Wall Street Journal, as of the financial statement date. This information is provided by independent pricing sources.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Short-term investments are primarily cash related to funding of the plan which had yet to be invested as of balance sheet dates.</w:t>
      </w:r>
    </w:p>
    <w:p>
      <w:pPr>
        <w:spacing w:after="0" w:line="117"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Certain corporate and government bonds are valued at the closing price reported in the active market in which the bond is traded. Other bonds are valued based on yields currently available on comparable securities of issuers with similar credit ratings. When quoted prices are not available for identical or similar bonds, the bond is valued under a discounted cash flow approach that maximizes observable inputs, such as current yields of similar instruments, but includes adjustments for certain risks that may not be observable, such as credit and liquidity risks. All bonds are priced by independent pricing sources.</w:t>
      </w:r>
    </w:p>
    <w:p>
      <w:pPr>
        <w:spacing w:after="0" w:line="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Assets measured at net asset value include investments in limited partnerships, which are stated at the fair value of the plan’s partnership interest based on information supplied by the partnerships as compared to financial statements of the limited partnership or other fair value information as determined by management. Cash equivalents or short-term investments are stated at cost which approximates fair value, and the fair value of common/collective trusts is determined based on net asset value as reported by their fund managers.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the asset allocation under the qualified pension plan as of the valuation date for the fiscal years presented: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tcPr>
          <w:p>
            <w:pPr>
              <w:spacing w:after="0"/>
              <w:rPr>
                <w:sz w:val="18"/>
                <w:szCs w:val="18"/>
                <w:color w:val="auto"/>
              </w:rPr>
            </w:pPr>
          </w:p>
        </w:tc>
        <w:tc>
          <w:tcPr>
            <w:tcW w:w="46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February 3,</w:t>
            </w:r>
          </w:p>
        </w:tc>
        <w:tc>
          <w:tcPr>
            <w:tcW w:w="1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January 28,</w:t>
            </w:r>
          </w:p>
        </w:tc>
      </w:tr>
      <w:tr>
        <w:trPr>
          <w:trHeight w:val="241"/>
        </w:trPr>
        <w:tc>
          <w:tcPr>
            <w:tcW w:w="5160" w:type="dxa"/>
            <w:vAlign w:val="bottom"/>
            <w:tcBorders>
              <w:bottom w:val="single" w:sz="8" w:color="auto"/>
            </w:tcBorders>
          </w:tcPr>
          <w:p>
            <w:pPr>
              <w:spacing w:after="0"/>
              <w:rPr>
                <w:sz w:val="20"/>
                <w:szCs w:val="20"/>
                <w:color w:val="auto"/>
              </w:rPr>
            </w:pPr>
          </w:p>
        </w:tc>
        <w:tc>
          <w:tcPr>
            <w:tcW w:w="46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r>
      <w:tr>
        <w:trPr>
          <w:trHeight w:val="225"/>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Return-seeking assets</w:t>
            </w:r>
          </w:p>
        </w:tc>
        <w:tc>
          <w:tcPr>
            <w:tcW w:w="4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32 %</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Liability-hedging assets</w:t>
            </w:r>
          </w:p>
        </w:tc>
        <w:tc>
          <w:tcPr>
            <w:tcW w:w="46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65 %</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29"/>
        </w:trPr>
        <w:tc>
          <w:tcPr>
            <w:tcW w:w="5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other – primarily cash</w:t>
            </w:r>
          </w:p>
        </w:tc>
        <w:tc>
          <w:tcPr>
            <w:tcW w:w="46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3 %</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73" w:name="page74"/>
    <w:bookmarkEnd w:id="73"/>
    <w:p>
      <w:pPr>
        <w:ind w:right="40"/>
        <w:spacing w:after="0" w:line="254" w:lineRule="auto"/>
        <w:rPr>
          <w:sz w:val="20"/>
          <w:szCs w:val="20"/>
          <w:color w:val="auto"/>
        </w:rPr>
      </w:pPr>
      <w:r>
        <w:rPr>
          <w:rFonts w:ascii="Times New Roman" w:cs="Times New Roman" w:eastAsia="Times New Roman" w:hAnsi="Times New Roman"/>
          <w:sz w:val="18"/>
          <w:szCs w:val="18"/>
          <w:color w:val="auto"/>
        </w:rPr>
        <w:t>Under TJX’s investment policy, qualified pension plan assets are to be invested with the objective of generating investment returns that, in combination with funding contributions, provide adequate assets to meet all current and reasonably anticipated future benefit obligations under the plan. The investment policy includes a dynamic asset allocation strategy, whereby, over time, in connection with improvements in the plan’s funded status, the target allocation of return-seeking assets (generally, equities and other instruments with a similar risk profile) may decline and the target allocation of liability-hedging assets (generally, fixed income and other instruments with a similar risk profile) may increase. Under the investment policy guidelines, the target asset allocation of return-seeking assets and liability-hedging assets was 36% and 64%, respectively, as of February 3, 2024. Risks are sought to be mitigated through asset diversification and the use of multiple investment managers. Investment risk is measured and monitored on an ongoing basis through investment portfolio reviews, annual liability measurements and periodic asset/liability studies.</w:t>
      </w:r>
    </w:p>
    <w:p>
      <w:pPr>
        <w:spacing w:after="0" w:line="84"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 the second quarter of fiscal 2024, the Company announced that it would offer eligible former TJX associates who have not yet commenced their qualified pension plan benefit an opportunity to receive a voluntary lump sum payout of their pension plan benefit. At the end of the offer period during fiscal 2024, the payout amount, based on participation rate, did not meet the threshold to record a non-cash settlement charge.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Retirement Benefits</w:t>
      </w:r>
    </w:p>
    <w:p>
      <w:pPr>
        <w:spacing w:after="0" w:line="13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TJX also sponsors an employee savings plan under Section 401(k) of the Internal Revenue Code for eligible U.S. employees and a similar type of plan for eligible employees in Puerto Rico. Employees may contribute up to 50% of eligible pay, subject to limitations. For eligible employees who have completed the applicable service requirement, TJX matches employee contributions, up to 5% of eligible pay, at rates of 25% or 75% (based upon date of hire and other eligibility criteria), and may make additional discretionary year-end contributions based on TJX’s performance. TJX may also make additional discretionary non-matching contributions. Certain eligible employees are automatically enrolled in the U.S. Plan and the Puerto Rico savings plan at a 2% deferral rate, unless the employee elects otherwise. The total cost of TJX contributions to these plans was $103 million in fiscal 2024, $77 million in fiscal 2023 and $83 million in fiscal 2022.</w:t>
      </w:r>
    </w:p>
    <w:p>
      <w:pPr>
        <w:spacing w:after="0" w:line="8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TJX also has a nonqualified savings plan (the Executive Savings Plan) for certain U.S. employees. TJX matches employee deferrals at various rates which amounted to $9 million in fiscal 2024, $6 million in fiscal 2023 and $7 million in fiscal 2022. Although the plan is unfunded, in order to help meet its future obligations TJX transfers an amount generally equal to employee deferrals and the related company match to a separate “rabbi” trust. The trust assets, which are invested in a variety of mutual funds, are included in other assets on the balance sheets.</w:t>
      </w:r>
    </w:p>
    <w:p>
      <w:pPr>
        <w:spacing w:after="0" w:line="72"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In addition to the plans described above, TJX also contributes to retirement/deferred savings programs for eligible Associates at certain of its foreign subsidiaries. The Company contributed $32 million for these programs in fiscal 2024, $29 million for these programs in fiscal 2023 and $26 million in fiscal 2022.</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Multiemployer Pension Plans</w:t>
      </w:r>
    </w:p>
    <w:p>
      <w:pPr>
        <w:spacing w:after="0" w:line="11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TJX contributes to certain multiemployer defined benefit pension plans under the terms of collective-bargaining agreements that cover union-represented employees. TJX contributed $27 million in fiscal 2024, and $25 million in both fiscal 2023 and fiscal 2022 to the Legacy Plan of the National Retirement Fund (EIN #13-6130178, plan #1), the Adjustable Plan of the National Retirement Fund (EIN #13-6130178, plan #2), the Legacy Plan of the UNITE HERE Retirement Fund (EIN #82-0994119, plan #1) and the Adjustable Plan of the UNITE HERE Retirement Fund (EIN #82-0994119, plan #2). TJX was listed in the Form 5500 for the Legacy Plan of the National Retirement Fund and the Adjustable Plan of the National Retirement Fund as providing more than 5% of the total contributions, or being one of the top ten highest contributors, for the plan year ending December 31, 2022. In addition, based on information available to TJX, the Pension Protection Act Zone status for the Legacy Plan of the National Retirement Fund is critical and for the Legacy Plan of the UNITE HERE Retirement Fund is critical and declining, and rehabilitation plans have been adopted by these plans.</w:t>
      </w:r>
    </w:p>
    <w:p>
      <w:pPr>
        <w:spacing w:after="0" w:line="8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risks of participating in multiemployer pension plans are different from the risks of single-employer pension plans in certain respects, including the following: (a) assets contributed to the multiemployer plan by one employer may be used to provide benefits to employees of other participating employers; (b) if a participating employer stops contributing to the plan, the unfunded obligations of the plan may be borne by the remaining participating employers; (c) if TJX ceases to have an obligation to contribute to a multiemployer plan in which the Company had been a contributing employer, or in certain other circumstances, the Company may be required to pay to the plan an amount based on the Company’s allocable share of the underfunded status of the plan, referred to as a withdrawal liability.</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22"/>
          <w:szCs w:val="22"/>
          <w:b w:val="1"/>
          <w:bCs w:val="1"/>
          <w:color w:val="auto"/>
        </w:rPr>
        <w:t>Note J. Long-Term Debt and Credit Lines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long-term debt as of February 3, 2024 and January 28, 2023. All amounts are net of unamortized debt discounts.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February 3,</w:t>
            </w:r>
          </w:p>
        </w:tc>
        <w:tc>
          <w:tcPr>
            <w:tcW w:w="160" w:type="dxa"/>
            <w:vAlign w:val="bottom"/>
          </w:tcPr>
          <w:p>
            <w:pPr>
              <w:spacing w:after="0"/>
              <w:rPr>
                <w:sz w:val="17"/>
                <w:szCs w:val="17"/>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January 28,</w:t>
            </w:r>
          </w:p>
        </w:tc>
        <w:tc>
          <w:tcPr>
            <w:tcW w:w="0" w:type="dxa"/>
            <w:vAlign w:val="bottom"/>
          </w:tcPr>
          <w:p>
            <w:pPr>
              <w:spacing w:after="0"/>
              <w:rPr>
                <w:sz w:val="1"/>
                <w:szCs w:val="1"/>
                <w:color w:val="auto"/>
              </w:rPr>
            </w:pPr>
          </w:p>
        </w:tc>
      </w:tr>
      <w:tr>
        <w:trPr>
          <w:trHeight w:val="238"/>
        </w:trPr>
        <w:tc>
          <w:tcPr>
            <w:tcW w:w="8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 and net of immaterial unamortized debt discounts</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3"/>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corporate debt: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868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2.500% senior unsecured notes, redeemed May 2023 (effective interest rate of 2.51% after reduction of unamortized</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debt discount)</w:t>
            </w:r>
          </w:p>
        </w:tc>
        <w:tc>
          <w:tcPr>
            <w:tcW w:w="220" w:type="dxa"/>
            <w:vAlign w:val="bottom"/>
            <w:vMerge w:val="continue"/>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184"/>
        </w:trPr>
        <w:tc>
          <w:tcPr>
            <w:tcW w:w="8680" w:type="dxa"/>
            <w:vAlign w:val="bottom"/>
            <w:shd w:val="clear" w:color="auto" w:fill="CCEEFF"/>
          </w:tcPr>
          <w:p>
            <w:pPr>
              <w:ind w:left="220"/>
              <w:spacing w:after="0" w:line="184" w:lineRule="exact"/>
              <w:rPr>
                <w:sz w:val="20"/>
                <w:szCs w:val="20"/>
                <w:color w:val="auto"/>
              </w:rPr>
            </w:pPr>
            <w:r>
              <w:rPr>
                <w:rFonts w:ascii="Times New Roman" w:cs="Times New Roman" w:eastAsia="Times New Roman" w:hAnsi="Times New Roman"/>
                <w:sz w:val="18"/>
                <w:szCs w:val="18"/>
                <w:color w:val="auto"/>
              </w:rPr>
              <w:t>2.250% senior unsecured notes, maturing September 15, 2026 (effective interest rate of 2.32% after reduction of</w:t>
            </w:r>
          </w:p>
        </w:tc>
        <w:tc>
          <w:tcPr>
            <w:tcW w:w="22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998</w:t>
            </w: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unamortized debt discount)</w:t>
            </w:r>
          </w:p>
        </w:tc>
        <w:tc>
          <w:tcPr>
            <w:tcW w:w="220" w:type="dxa"/>
            <w:vAlign w:val="bottom"/>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0" w:type="dxa"/>
            <w:vAlign w:val="bottom"/>
          </w:tcPr>
          <w:p>
            <w:pPr>
              <w:spacing w:after="0"/>
              <w:rPr>
                <w:sz w:val="1"/>
                <w:szCs w:val="1"/>
                <w:color w:val="auto"/>
              </w:rPr>
            </w:pPr>
          </w:p>
        </w:tc>
      </w:tr>
      <w:tr>
        <w:trPr>
          <w:trHeight w:val="184"/>
        </w:trPr>
        <w:tc>
          <w:tcPr>
            <w:tcW w:w="868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1.150% senior unsecured notes, maturing May 15, 2028 (effective interest rate of 1.18% after reduction of</w:t>
            </w:r>
          </w:p>
        </w:tc>
        <w:tc>
          <w:tcPr>
            <w:tcW w:w="22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499</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unamortized debt discount)</w:t>
            </w:r>
          </w:p>
        </w:tc>
        <w:tc>
          <w:tcPr>
            <w:tcW w:w="22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184"/>
        </w:trPr>
        <w:tc>
          <w:tcPr>
            <w:tcW w:w="8680" w:type="dxa"/>
            <w:vAlign w:val="bottom"/>
            <w:shd w:val="clear" w:color="auto" w:fill="CCEEFF"/>
          </w:tcPr>
          <w:p>
            <w:pPr>
              <w:ind w:left="220"/>
              <w:spacing w:after="0" w:line="184" w:lineRule="exact"/>
              <w:rPr>
                <w:sz w:val="20"/>
                <w:szCs w:val="20"/>
                <w:color w:val="auto"/>
              </w:rPr>
            </w:pPr>
            <w:r>
              <w:rPr>
                <w:rFonts w:ascii="Times New Roman" w:cs="Times New Roman" w:eastAsia="Times New Roman" w:hAnsi="Times New Roman"/>
                <w:sz w:val="18"/>
                <w:szCs w:val="18"/>
                <w:color w:val="auto"/>
              </w:rPr>
              <w:t>3.875% senior unsecured notes, maturing April 15, 2030 (effective interest rate of 3.89% after reduction of</w:t>
            </w:r>
          </w:p>
        </w:tc>
        <w:tc>
          <w:tcPr>
            <w:tcW w:w="22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496</w:t>
            </w: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unamortized debt discount)</w:t>
            </w:r>
          </w:p>
        </w:tc>
        <w:tc>
          <w:tcPr>
            <w:tcW w:w="220" w:type="dxa"/>
            <w:vAlign w:val="bottom"/>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0" w:type="dxa"/>
            <w:vAlign w:val="bottom"/>
          </w:tcPr>
          <w:p>
            <w:pPr>
              <w:spacing w:after="0"/>
              <w:rPr>
                <w:sz w:val="1"/>
                <w:szCs w:val="1"/>
                <w:color w:val="auto"/>
              </w:rPr>
            </w:pPr>
          </w:p>
        </w:tc>
      </w:tr>
      <w:tr>
        <w:trPr>
          <w:trHeight w:val="184"/>
        </w:trPr>
        <w:tc>
          <w:tcPr>
            <w:tcW w:w="868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1.600% senior unsecured notes, maturing May 15, 2031 (effective interest rate of 1.61% after reduction of</w:t>
            </w:r>
          </w:p>
        </w:tc>
        <w:tc>
          <w:tcPr>
            <w:tcW w:w="22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500</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unamortized debt discount)</w:t>
            </w:r>
          </w:p>
        </w:tc>
        <w:tc>
          <w:tcPr>
            <w:tcW w:w="22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184"/>
        </w:trPr>
        <w:tc>
          <w:tcPr>
            <w:tcW w:w="8680" w:type="dxa"/>
            <w:vAlign w:val="bottom"/>
            <w:shd w:val="clear" w:color="auto" w:fill="CCEEFF"/>
          </w:tcPr>
          <w:p>
            <w:pPr>
              <w:ind w:left="220"/>
              <w:spacing w:after="0" w:line="184" w:lineRule="exact"/>
              <w:rPr>
                <w:sz w:val="20"/>
                <w:szCs w:val="20"/>
                <w:color w:val="auto"/>
              </w:rPr>
            </w:pPr>
            <w:r>
              <w:rPr>
                <w:rFonts w:ascii="Times New Roman" w:cs="Times New Roman" w:eastAsia="Times New Roman" w:hAnsi="Times New Roman"/>
                <w:sz w:val="18"/>
                <w:szCs w:val="18"/>
                <w:color w:val="auto"/>
              </w:rPr>
              <w:t>4.500% senior unsecured notes, maturing April 15, 2050 (effective interest rate of 4.52% after reduction of</w:t>
            </w:r>
          </w:p>
        </w:tc>
        <w:tc>
          <w:tcPr>
            <w:tcW w:w="22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383</w:t>
            </w: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6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unamortized debt discount)</w:t>
            </w:r>
          </w:p>
        </w:tc>
        <w:tc>
          <w:tcPr>
            <w:tcW w:w="2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23"/>
        </w:trPr>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debt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2,876</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3,375</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Current maturities of long-term debt, net of debt issuance costs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29"/>
        </w:trPr>
        <w:tc>
          <w:tcPr>
            <w:tcW w:w="86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Debt issuance costs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2,862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2,859</w:t>
            </w:r>
          </w:p>
        </w:tc>
        <w:tc>
          <w:tcPr>
            <w:tcW w:w="0" w:type="dxa"/>
            <w:vAlign w:val="bottom"/>
          </w:tcPr>
          <w:p>
            <w:pPr>
              <w:spacing w:after="0"/>
              <w:rPr>
                <w:sz w:val="1"/>
                <w:szCs w:val="1"/>
                <w:color w:val="auto"/>
              </w:rPr>
            </w:pPr>
          </w:p>
        </w:tc>
      </w:tr>
      <w:tr>
        <w:trPr>
          <w:trHeight w:val="41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The aggregate maturities of long-term debt, inclusive of current installments at February 3, 2024 are as follows:</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8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8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8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500</w:t>
            </w:r>
          </w:p>
        </w:tc>
        <w:tc>
          <w:tcPr>
            <w:tcW w:w="0" w:type="dxa"/>
            <w:vAlign w:val="bottom"/>
          </w:tcPr>
          <w:p>
            <w:pPr>
              <w:spacing w:after="0"/>
              <w:rPr>
                <w:sz w:val="1"/>
                <w:szCs w:val="1"/>
                <w:color w:val="auto"/>
              </w:rPr>
            </w:pPr>
          </w:p>
        </w:tc>
      </w:tr>
      <w:tr>
        <w:trPr>
          <w:trHeight w:val="230"/>
        </w:trPr>
        <w:tc>
          <w:tcPr>
            <w:tcW w:w="86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Later years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1,381</w:t>
            </w:r>
          </w:p>
        </w:tc>
        <w:tc>
          <w:tcPr>
            <w:tcW w:w="0" w:type="dxa"/>
            <w:vAlign w:val="bottom"/>
          </w:tcPr>
          <w:p>
            <w:pPr>
              <w:spacing w:after="0"/>
              <w:rPr>
                <w:sz w:val="1"/>
                <w:szCs w:val="1"/>
                <w:color w:val="auto"/>
              </w:rPr>
            </w:pPr>
          </w:p>
        </w:tc>
      </w:tr>
      <w:tr>
        <w:trPr>
          <w:trHeight w:val="223"/>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debt discount</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0" w:type="dxa"/>
            <w:vAlign w:val="bottom"/>
          </w:tcPr>
          <w:p>
            <w:pPr>
              <w:spacing w:after="0"/>
              <w:rPr>
                <w:sz w:val="1"/>
                <w:szCs w:val="1"/>
                <w:color w:val="auto"/>
              </w:rPr>
            </w:pPr>
          </w:p>
        </w:tc>
      </w:tr>
      <w:tr>
        <w:trPr>
          <w:trHeight w:val="229"/>
        </w:trPr>
        <w:tc>
          <w:tcPr>
            <w:tcW w:w="8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current maturities of long-term debt</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Aggregate maturities of long-term debt</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2,862</w:t>
            </w:r>
          </w:p>
        </w:tc>
        <w:tc>
          <w:tcPr>
            <w:tcW w:w="0" w:type="dxa"/>
            <w:vAlign w:val="bottom"/>
          </w:tcPr>
          <w:p>
            <w:pPr>
              <w:spacing w:after="0"/>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Senior Unsecured Notes</w:t>
      </w:r>
    </w:p>
    <w:p>
      <w:pPr>
        <w:spacing w:after="0" w:line="11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During the second quarter of fiscal 2024, the Company repaid its 2.500% ten-year Notes due May 2023 at maturity. As of February 3, 2024, TJX had outstanding $1 billion aggregate principal amount of 2.250% ten-year Notes due September 2026. TJX entered into a rate-lock agreement to hedge $700 million of the 2.250% notes prior to issuance. The cost of this agreement is being amortized to interest expense over the term of the note resulting in an effective fixed rate of 2.36% for the 2.25% notes.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20"/>
          <w:szCs w:val="20"/>
          <w:b w:val="1"/>
          <w:bCs w:val="1"/>
          <w:i w:val="1"/>
          <w:iCs w:val="1"/>
          <w:color w:val="auto"/>
        </w:rPr>
        <w:t>Credit Facilities</w:t>
      </w:r>
    </w:p>
    <w:p>
      <w:pPr>
        <w:spacing w:after="0" w:line="130"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The Company has two TJX revolving credit facilities, a $1 billion senior unsecured revolving credit facility maturing in June 2026 (the “2026 Revolving Credit Facility”) and a $500 million revolving credit facility that was set to mature in May 2024 (the “2024 Revolving Credit Facility”). On May 8, 2023, the Company amended the 2024 Revolving Credit Facility (as amended, the “2028 Revolving Credit Facility”) to (i) extend the maturity to May 8, 2028 and (ii) replace the London Interbank Offered Rate (“LIBOR”) with a term secured overnight financing rate plus a 0.10% credit spread adjustment (“Adjusted Term SOFR”). Term SOFR borrowings under the 2028 Revolving Credit Facility bear interest at the Adjusted Term SOFR plus a margin of</w:t>
      </w:r>
    </w:p>
    <w:p>
      <w:pPr>
        <w:spacing w:after="0" w:line="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45.0 - 87.5 basis points and a quarterly facility fee payment of 5.0 - 12.5 basis points on the total commitments under the 2028 Revolving Credit Facility, in each case, based on the Company’s long-term debt ratings. All other material terms and conditions of the 2028 Revolving Credit Facility were unchanged from the 2024 Revolving Credit Facility.</w:t>
      </w:r>
    </w:p>
    <w:p>
      <w:pPr>
        <w:spacing w:after="0" w:line="7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Additionally, on May 8, 2023, the Company amended its 2026 Revolving Credit Facility to replace the LIBOR with Adjusted Term SOFR. Term SOFR borrowings under the 2026 Revolving Credit Facility, as amended, bear interest at the Adjusted Term SOFR plus a variable margin based on the Company’s long-term debt ratings. All other material terms and conditions of the 2026 Revolving Credit Facility were unchanged.</w:t>
      </w:r>
    </w:p>
    <w:p>
      <w:pPr>
        <w:spacing w:after="0" w:line="6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Under these credit facilities, the Company has maintained a borrowing capacity of $1.5 billion. As of February 3, 2024 and January 28, 2023, there were no amounts outstanding under these facilities. Each of these facilities require TJX to maintain a ratio of funded debt to earnings before interest, taxes, depreciation and amortization and rentals (EBITDAR) of not more than 3.50 to 1.00 on a rolling four-quarter basis. TJX was in compliance with all covenants related to its credit facilities at the end of all periods presented.</w:t>
      </w:r>
    </w:p>
    <w:p>
      <w:pPr>
        <w:spacing w:after="0" w:line="72"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In addition, as of February 3, 2024 and January 28, 2023, TJX Canada had two credit lines, a C$10 million facility for operating expenses and a C$10 million letter of credit facility. As of February 3, 2024 and January 28, 2023, and during the years then ended, there were no amounts outstanding on the Canadian credit line for operating expenses. As of February 3, 2024 and January 28, 2023, the Company’s European business at TJX International had a credit line of £5 million. As of February 3, 2024 and January 28, 2023, and during the years then ended, there were no amounts outstanding on the European credit line.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K. Income Taxes</w:t>
      </w:r>
    </w:p>
    <w:p>
      <w:pPr>
        <w:spacing w:after="0" w:line="111"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7"/>
          <w:szCs w:val="17"/>
          <w:color w:val="auto"/>
        </w:rPr>
        <w:t>In 2021, the Organization for Economic Co-operation and Development announced an Inclusive Framework on Base Erosion and Profit Shifting including Pillar Two Model Rules defining the global minimum tax, which calls for the taxation of large multinational corporations at a minimum rate of 15%. Subsequently multiple sets of administrative guidance have been issued. Many non-US tax jurisdictions have either recently enacted legislation to adopt certain components of the Pillar Two Model Rules beginning in 2024 with the adoption of additional components in later years or announced their plans to enact legislation in future years. Considering we do not have material operations in jurisdictions with tax rates lower than the Pillar Two minimum, these rules are not expected to materially increase our global tax costs. There remains uncertainty as to the final Pillar Two model rules. We are continuing to evaluate the impacts of enacted legislation and pending legislation to enact Pillar Two Model Rules in the non-US tax jurisdictions we operate in.</w:t>
      </w:r>
    </w:p>
    <w:p>
      <w:pPr>
        <w:spacing w:after="0" w:line="6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August 2022, the Inflation Reduction Act of 2022 (“IRA”), was signed into law. Among other things, the IRA imposes a 15% corporate alternative minimum tax (the “Corporate AMT”) for tax years beginning after December 31, 2022 and levies a 1% excise tax on net stock repurchases after December 31, 2022. The excise tax on the net stock repurchase, Corporate AMT, or other provisions of the IRA did not have a material impact on our results of operations or financial position in fiscal 2024 or fiscal 2023.</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For financial reporting purposes, components of income before income taxes are as follows:</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57"/>
        </w:trPr>
        <w:tc>
          <w:tcPr>
            <w:tcW w:w="69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7"/>
              </w:rPr>
              <w:t>Fiscal Year Ended</w:t>
            </w: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r>
      <w:tr>
        <w:trPr>
          <w:trHeight w:val="169"/>
        </w:trPr>
        <w:tc>
          <w:tcPr>
            <w:tcW w:w="6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w w:val="98"/>
              </w:rPr>
              <w:t>February 3,</w:t>
            </w:r>
          </w:p>
        </w:tc>
        <w:tc>
          <w:tcPr>
            <w:tcW w:w="240" w:type="dxa"/>
            <w:vAlign w:val="bottom"/>
          </w:tcPr>
          <w:p>
            <w:pPr>
              <w:spacing w:after="0"/>
              <w:rPr>
                <w:sz w:val="14"/>
                <w:szCs w:val="14"/>
                <w:color w:val="auto"/>
              </w:rPr>
            </w:pPr>
          </w:p>
        </w:tc>
        <w:tc>
          <w:tcPr>
            <w:tcW w:w="1220" w:type="dxa"/>
            <w:vAlign w:val="bottom"/>
          </w:tcPr>
          <w:p>
            <w:pPr>
              <w:jc w:val="center"/>
              <w:ind w:right="110"/>
              <w:spacing w:after="0" w:line="169" w:lineRule="exact"/>
              <w:rPr>
                <w:sz w:val="20"/>
                <w:szCs w:val="20"/>
                <w:color w:val="auto"/>
              </w:rPr>
            </w:pPr>
            <w:r>
              <w:rPr>
                <w:rFonts w:ascii="Times New Roman" w:cs="Times New Roman" w:eastAsia="Times New Roman" w:hAnsi="Times New Roman"/>
                <w:sz w:val="18"/>
                <w:szCs w:val="18"/>
                <w:color w:val="auto"/>
                <w:w w:val="98"/>
              </w:rPr>
              <w:t>January 28,</w:t>
            </w:r>
          </w:p>
        </w:tc>
        <w:tc>
          <w:tcPr>
            <w:tcW w:w="220" w:type="dxa"/>
            <w:vAlign w:val="bottom"/>
          </w:tcPr>
          <w:p>
            <w:pPr>
              <w:spacing w:after="0"/>
              <w:rPr>
                <w:sz w:val="14"/>
                <w:szCs w:val="14"/>
                <w:color w:val="auto"/>
              </w:rPr>
            </w:pPr>
          </w:p>
        </w:tc>
        <w:tc>
          <w:tcPr>
            <w:tcW w:w="1240" w:type="dxa"/>
            <w:vAlign w:val="bottom"/>
          </w:tcPr>
          <w:p>
            <w:pPr>
              <w:jc w:val="right"/>
              <w:ind w:right="210"/>
              <w:spacing w:after="0" w:line="169" w:lineRule="exact"/>
              <w:rPr>
                <w:sz w:val="20"/>
                <w:szCs w:val="20"/>
                <w:color w:val="auto"/>
              </w:rPr>
            </w:pPr>
            <w:r>
              <w:rPr>
                <w:rFonts w:ascii="Times New Roman" w:cs="Times New Roman" w:eastAsia="Times New Roman" w:hAnsi="Times New Roman"/>
                <w:sz w:val="18"/>
                <w:szCs w:val="18"/>
                <w:color w:val="auto"/>
              </w:rPr>
              <w:t>January 29,</w:t>
            </w:r>
          </w:p>
        </w:tc>
      </w:tr>
      <w:tr>
        <w:trPr>
          <w:trHeight w:val="241"/>
        </w:trPr>
        <w:tc>
          <w:tcPr>
            <w:tcW w:w="6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2023</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r>
      <w:tr>
        <w:trPr>
          <w:trHeight w:val="225"/>
        </w:trPr>
        <w:tc>
          <w:tcPr>
            <w:tcW w:w="6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(53 weeks)</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5,077</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4,029</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3,934</w:t>
            </w:r>
          </w:p>
        </w:tc>
      </w:tr>
      <w:tr>
        <w:trPr>
          <w:trHeight w:val="230"/>
        </w:trPr>
        <w:tc>
          <w:tcPr>
            <w:tcW w:w="6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890</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w:t>
            </w:r>
          </w:p>
        </w:tc>
      </w:tr>
      <w:tr>
        <w:trPr>
          <w:trHeight w:val="223"/>
        </w:trPr>
        <w:tc>
          <w:tcPr>
            <w:tcW w:w="690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5,967</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4,636</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4,398</w:t>
            </w: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34"/>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The provision for income taxes includes the following:</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9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7"/>
              </w:rPr>
              <w:t>Fiscal Year Ended</w:t>
            </w:r>
          </w:p>
        </w:tc>
        <w:tc>
          <w:tcPr>
            <w:tcW w:w="2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6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center"/>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February 3,</w:t>
            </w:r>
          </w:p>
        </w:tc>
        <w:tc>
          <w:tcPr>
            <w:tcW w:w="200" w:type="dxa"/>
            <w:vAlign w:val="bottom"/>
          </w:tcPr>
          <w:p>
            <w:pPr>
              <w:spacing w:after="0"/>
              <w:rPr>
                <w:sz w:val="14"/>
                <w:szCs w:val="14"/>
                <w:color w:val="auto"/>
              </w:rPr>
            </w:pPr>
          </w:p>
        </w:tc>
        <w:tc>
          <w:tcPr>
            <w:tcW w:w="1240" w:type="dxa"/>
            <w:vAlign w:val="bottom"/>
          </w:tcPr>
          <w:p>
            <w:pPr>
              <w:jc w:val="center"/>
              <w:ind w:right="90"/>
              <w:spacing w:after="0" w:line="169" w:lineRule="exact"/>
              <w:rPr>
                <w:sz w:val="20"/>
                <w:szCs w:val="20"/>
                <w:color w:val="auto"/>
              </w:rPr>
            </w:pPr>
            <w:r>
              <w:rPr>
                <w:rFonts w:ascii="Times New Roman" w:cs="Times New Roman" w:eastAsia="Times New Roman" w:hAnsi="Times New Roman"/>
                <w:sz w:val="18"/>
                <w:szCs w:val="18"/>
                <w:color w:val="auto"/>
                <w:w w:val="98"/>
              </w:rPr>
              <w:t>January 28,</w:t>
            </w:r>
          </w:p>
        </w:tc>
        <w:tc>
          <w:tcPr>
            <w:tcW w:w="220" w:type="dxa"/>
            <w:vAlign w:val="bottom"/>
          </w:tcPr>
          <w:p>
            <w:pPr>
              <w:spacing w:after="0"/>
              <w:rPr>
                <w:sz w:val="14"/>
                <w:szCs w:val="14"/>
                <w:color w:val="auto"/>
              </w:rPr>
            </w:pPr>
          </w:p>
        </w:tc>
        <w:tc>
          <w:tcPr>
            <w:tcW w:w="1220" w:type="dxa"/>
            <w:vAlign w:val="bottom"/>
          </w:tcPr>
          <w:p>
            <w:pPr>
              <w:jc w:val="center"/>
              <w:ind w:right="130"/>
              <w:spacing w:after="0" w:line="169" w:lineRule="exact"/>
              <w:rPr>
                <w:sz w:val="20"/>
                <w:szCs w:val="20"/>
                <w:color w:val="auto"/>
              </w:rPr>
            </w:pPr>
            <w:r>
              <w:rPr>
                <w:rFonts w:ascii="Times New Roman" w:cs="Times New Roman" w:eastAsia="Times New Roman" w:hAnsi="Times New Roman"/>
                <w:sz w:val="18"/>
                <w:szCs w:val="18"/>
                <w:color w:val="auto"/>
              </w:rPr>
              <w:t>January 29,</w:t>
            </w:r>
          </w:p>
        </w:tc>
        <w:tc>
          <w:tcPr>
            <w:tcW w:w="0" w:type="dxa"/>
            <w:vAlign w:val="bottom"/>
          </w:tcPr>
          <w:p>
            <w:pPr>
              <w:spacing w:after="0"/>
              <w:rPr>
                <w:sz w:val="1"/>
                <w:szCs w:val="1"/>
                <w:color w:val="auto"/>
              </w:rPr>
            </w:pPr>
          </w:p>
        </w:tc>
      </w:tr>
      <w:tr>
        <w:trPr>
          <w:trHeight w:val="241"/>
        </w:trPr>
        <w:tc>
          <w:tcPr>
            <w:tcW w:w="6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2023</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2022</w:t>
            </w:r>
          </w:p>
        </w:tc>
        <w:tc>
          <w:tcPr>
            <w:tcW w:w="0" w:type="dxa"/>
            <w:vAlign w:val="bottom"/>
          </w:tcPr>
          <w:p>
            <w:pPr>
              <w:spacing w:after="0"/>
              <w:rPr>
                <w:sz w:val="1"/>
                <w:szCs w:val="1"/>
                <w:color w:val="auto"/>
              </w:rPr>
            </w:pPr>
          </w:p>
        </w:tc>
      </w:tr>
      <w:tr>
        <w:trPr>
          <w:trHeight w:val="234"/>
        </w:trPr>
        <w:tc>
          <w:tcPr>
            <w:tcW w:w="6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00" w:type="dxa"/>
            <w:vAlign w:val="bottom"/>
          </w:tcPr>
          <w:p>
            <w:pPr>
              <w:spacing w:after="0"/>
              <w:rPr>
                <w:sz w:val="20"/>
                <w:szCs w:val="20"/>
                <w:color w:val="auto"/>
              </w:rPr>
            </w:pPr>
          </w:p>
        </w:tc>
        <w:tc>
          <w:tcPr>
            <w:tcW w:w="12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(53 weeks)</w:t>
            </w: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69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0" w:type="dxa"/>
            <w:vAlign w:val="bottom"/>
          </w:tcPr>
          <w:p>
            <w:pPr>
              <w:spacing w:after="0"/>
              <w:rPr>
                <w:sz w:val="1"/>
                <w:szCs w:val="1"/>
                <w:color w:val="auto"/>
              </w:rPr>
            </w:pPr>
          </w:p>
        </w:tc>
      </w:tr>
      <w:tr>
        <w:trPr>
          <w:trHeight w:val="230"/>
        </w:trPr>
        <w:tc>
          <w:tcPr>
            <w:tcW w:w="6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344</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3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9"/>
        </w:trPr>
        <w:tc>
          <w:tcPr>
            <w:tcW w:w="6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0"/>
        </w:trPr>
        <w:tc>
          <w:tcPr>
            <w:tcW w:w="69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69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0" w:type="dxa"/>
            <w:vAlign w:val="bottom"/>
          </w:tcPr>
          <w:p>
            <w:pPr>
              <w:spacing w:after="0"/>
              <w:rPr>
                <w:sz w:val="1"/>
                <w:szCs w:val="1"/>
                <w:color w:val="auto"/>
              </w:rPr>
            </w:pPr>
          </w:p>
        </w:tc>
      </w:tr>
      <w:tr>
        <w:trPr>
          <w:trHeight w:val="412"/>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TJX had net deferred tax assets (liabilities) as follows:</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680" w:type="dxa"/>
            <w:vAlign w:val="bottom"/>
            <w:tcBorders>
              <w:bottom w:val="single" w:sz="8" w:color="auto"/>
            </w:tcBorders>
            <w:gridSpan w:val="3"/>
          </w:tcPr>
          <w:p>
            <w:pPr>
              <w:jc w:val="right"/>
              <w:ind w:right="690"/>
              <w:spacing w:after="0"/>
              <w:rPr>
                <w:sz w:val="20"/>
                <w:szCs w:val="20"/>
                <w:color w:val="auto"/>
              </w:rPr>
            </w:pPr>
            <w:r>
              <w:rPr>
                <w:rFonts w:ascii="Times New Roman" w:cs="Times New Roman" w:eastAsia="Times New Roman" w:hAnsi="Times New Roman"/>
                <w:sz w:val="18"/>
                <w:szCs w:val="18"/>
                <w:color w:val="auto"/>
              </w:rPr>
              <w:t>Fiscal Year Ended</w:t>
            </w:r>
          </w:p>
        </w:tc>
        <w:tc>
          <w:tcPr>
            <w:tcW w:w="0" w:type="dxa"/>
            <w:vAlign w:val="bottom"/>
          </w:tcPr>
          <w:p>
            <w:pPr>
              <w:spacing w:after="0"/>
              <w:rPr>
                <w:sz w:val="1"/>
                <w:szCs w:val="1"/>
                <w:color w:val="auto"/>
              </w:rPr>
            </w:pPr>
          </w:p>
        </w:tc>
      </w:tr>
      <w:tr>
        <w:trPr>
          <w:trHeight w:val="169"/>
        </w:trPr>
        <w:tc>
          <w:tcPr>
            <w:tcW w:w="6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center"/>
              <w:ind w:right="130"/>
              <w:spacing w:after="0" w:line="169" w:lineRule="exact"/>
              <w:rPr>
                <w:sz w:val="20"/>
                <w:szCs w:val="20"/>
                <w:color w:val="auto"/>
              </w:rPr>
            </w:pPr>
            <w:r>
              <w:rPr>
                <w:rFonts w:ascii="Times New Roman" w:cs="Times New Roman" w:eastAsia="Times New Roman" w:hAnsi="Times New Roman"/>
                <w:sz w:val="18"/>
                <w:szCs w:val="18"/>
                <w:b w:val="1"/>
                <w:bCs w:val="1"/>
                <w:color w:val="auto"/>
                <w:w w:val="98"/>
              </w:rPr>
              <w:t>February 3,</w:t>
            </w:r>
          </w:p>
        </w:tc>
        <w:tc>
          <w:tcPr>
            <w:tcW w:w="220" w:type="dxa"/>
            <w:vAlign w:val="bottom"/>
          </w:tcPr>
          <w:p>
            <w:pPr>
              <w:spacing w:after="0"/>
              <w:rPr>
                <w:sz w:val="14"/>
                <w:szCs w:val="14"/>
                <w:color w:val="auto"/>
              </w:rPr>
            </w:pPr>
          </w:p>
        </w:tc>
        <w:tc>
          <w:tcPr>
            <w:tcW w:w="1220" w:type="dxa"/>
            <w:vAlign w:val="bottom"/>
          </w:tcPr>
          <w:p>
            <w:pPr>
              <w:jc w:val="center"/>
              <w:ind w:right="130"/>
              <w:spacing w:after="0" w:line="169" w:lineRule="exact"/>
              <w:rPr>
                <w:sz w:val="20"/>
                <w:szCs w:val="20"/>
                <w:color w:val="auto"/>
              </w:rPr>
            </w:pPr>
            <w:r>
              <w:rPr>
                <w:rFonts w:ascii="Times New Roman" w:cs="Times New Roman" w:eastAsia="Times New Roman" w:hAnsi="Times New Roman"/>
                <w:sz w:val="18"/>
                <w:szCs w:val="18"/>
                <w:color w:val="auto"/>
              </w:rPr>
              <w:t>January 28,</w:t>
            </w:r>
          </w:p>
        </w:tc>
        <w:tc>
          <w:tcPr>
            <w:tcW w:w="0" w:type="dxa"/>
            <w:vAlign w:val="bottom"/>
          </w:tcPr>
          <w:p>
            <w:pPr>
              <w:spacing w:after="0"/>
              <w:rPr>
                <w:sz w:val="1"/>
                <w:szCs w:val="1"/>
                <w:color w:val="auto"/>
              </w:rPr>
            </w:pPr>
          </w:p>
        </w:tc>
      </w:tr>
      <w:tr>
        <w:trPr>
          <w:trHeight w:val="241"/>
        </w:trPr>
        <w:tc>
          <w:tcPr>
            <w:tcW w:w="6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2023</w:t>
            </w:r>
          </w:p>
        </w:tc>
        <w:tc>
          <w:tcPr>
            <w:tcW w:w="0" w:type="dxa"/>
            <w:vAlign w:val="bottom"/>
          </w:tcPr>
          <w:p>
            <w:pPr>
              <w:spacing w:after="0"/>
              <w:rPr>
                <w:sz w:val="1"/>
                <w:szCs w:val="1"/>
                <w:color w:val="auto"/>
              </w:rPr>
            </w:pPr>
          </w:p>
        </w:tc>
      </w:tr>
      <w:tr>
        <w:trPr>
          <w:trHeight w:val="22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137</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Pension, stock compensation, postretirement and employee benefits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388</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29"/>
        </w:trPr>
        <w:tc>
          <w:tcPr>
            <w:tcW w:w="6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2,589</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Accruals and reserves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29"/>
        </w:trPr>
        <w:tc>
          <w:tcPr>
            <w:tcW w:w="69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69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3,405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3,241</w:t>
            </w:r>
          </w:p>
        </w:tc>
        <w:tc>
          <w:tcPr>
            <w:tcW w:w="0" w:type="dxa"/>
            <w:vAlign w:val="bottom"/>
          </w:tcPr>
          <w:p>
            <w:pPr>
              <w:spacing w:after="0"/>
              <w:rPr>
                <w:sz w:val="1"/>
                <w:szCs w:val="1"/>
                <w:color w:val="auto"/>
              </w:rPr>
            </w:pPr>
          </w:p>
        </w:tc>
      </w:tr>
      <w:tr>
        <w:trPr>
          <w:trHeight w:val="229"/>
        </w:trPr>
        <w:tc>
          <w:tcPr>
            <w:tcW w:w="69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Valuation allowance</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23"/>
        </w:trPr>
        <w:tc>
          <w:tcPr>
            <w:tcW w:w="694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deferred tax asset</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3,342</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w:t>
            </w:r>
          </w:p>
        </w:tc>
        <w:tc>
          <w:tcPr>
            <w:tcW w:w="0" w:type="dxa"/>
            <w:vAlign w:val="bottom"/>
          </w:tcPr>
          <w:p>
            <w:pPr>
              <w:spacing w:after="0"/>
              <w:rPr>
                <w:sz w:val="1"/>
                <w:szCs w:val="1"/>
                <w:color w:val="auto"/>
              </w:rPr>
            </w:pPr>
          </w:p>
        </w:tc>
      </w:tr>
      <w:tr>
        <w:trPr>
          <w:trHeight w:val="223"/>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0" w:type="dxa"/>
            <w:vAlign w:val="bottom"/>
          </w:tcPr>
          <w:p>
            <w:pPr>
              <w:spacing w:after="0"/>
              <w:rPr>
                <w:sz w:val="1"/>
                <w:szCs w:val="1"/>
                <w:color w:val="auto"/>
              </w:rPr>
            </w:pPr>
          </w:p>
        </w:tc>
      </w:tr>
      <w:tr>
        <w:trPr>
          <w:trHeight w:val="230"/>
        </w:trPr>
        <w:tc>
          <w:tcPr>
            <w:tcW w:w="6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Capitalized inventory</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2,492</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w:t>
            </w:r>
          </w:p>
        </w:tc>
        <w:tc>
          <w:tcPr>
            <w:tcW w:w="0" w:type="dxa"/>
            <w:vAlign w:val="bottom"/>
          </w:tcPr>
          <w:p>
            <w:pPr>
              <w:spacing w:after="0"/>
              <w:rPr>
                <w:sz w:val="1"/>
                <w:szCs w:val="1"/>
                <w:color w:val="auto"/>
              </w:rPr>
            </w:pPr>
          </w:p>
        </w:tc>
      </w:tr>
      <w:tr>
        <w:trPr>
          <w:trHeight w:val="230"/>
        </w:trPr>
        <w:tc>
          <w:tcPr>
            <w:tcW w:w="6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Tradename/intangibles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Undistributed foreign earnings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69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694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3,318</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0" w:type="dxa"/>
            <w:vAlign w:val="bottom"/>
          </w:tcPr>
          <w:p>
            <w:pPr>
              <w:spacing w:after="0"/>
              <w:rPr>
                <w:sz w:val="1"/>
                <w:szCs w:val="1"/>
                <w:color w:val="auto"/>
              </w:rPr>
            </w:pPr>
          </w:p>
        </w:tc>
      </w:tr>
      <w:tr>
        <w:trPr>
          <w:trHeight w:val="223"/>
        </w:trPr>
        <w:tc>
          <w:tcPr>
            <w:tcW w:w="69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Net deferred tax asset</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3"/>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29"/>
        </w:trPr>
        <w:tc>
          <w:tcPr>
            <w:tcW w:w="6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Non-current liability</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23"/>
        </w:trPr>
        <w:tc>
          <w:tcPr>
            <w:tcW w:w="69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TJX has provided for all applicable state and foreign withholding taxes on all undistributed earnings of its foreign subsidiaries in Canada, Puerto Rico, Italy, India, Hong Kong and Vietnam through February 3, 2024. The Company has not provided for federal, state, or foreign withholding taxes on the approximately $1.4 billion of undistributed earnings related to all other foreign subsidiaries as such earnings are considered to be indefinitely reinvested in the business. The net amount of unrecognized state and foreign withholding tax liabilities related to the undistributed earnings is not material.</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7" w:name="page78"/>
    <w:bookmarkEnd w:id="77"/>
    <w:p>
      <w:pPr>
        <w:ind w:right="140"/>
        <w:spacing w:after="0" w:line="258" w:lineRule="auto"/>
        <w:rPr>
          <w:sz w:val="20"/>
          <w:szCs w:val="20"/>
          <w:color w:val="auto"/>
        </w:rPr>
      </w:pPr>
      <w:r>
        <w:rPr>
          <w:rFonts w:ascii="Times New Roman" w:cs="Times New Roman" w:eastAsia="Times New Roman" w:hAnsi="Times New Roman"/>
          <w:sz w:val="18"/>
          <w:szCs w:val="18"/>
          <w:color w:val="auto"/>
        </w:rPr>
        <w:t>As of February 3, 2024 and January 28, 2023, for state income tax purposes, TJX had net operating loss carryforwards of $318 million and $328 million respectively. Of that amount, $51 million can be carried forward indefinitely and $267 million will expire, if unused, in the years 2025 through 2044. TJX has analyzed the realization of the state net operating loss carryforwards on an individual state basis. For those states where the Company has determined that it is more likely than not that the state net operating loss carryforwards will not be realized, a valuation allowance of $1 million has been provided for the deferred tax asset as of February 3, 2024 and $16 million as of January 28, 2023.</w:t>
      </w:r>
    </w:p>
    <w:p>
      <w:pPr>
        <w:spacing w:after="0" w:line="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had available for foreign income tax purposes (related to Australia, Austria, Germany, the Netherlands and the U.K.) net operating loss carryforwards of $439 million as of February 3, 2024 and $508 million as of January 28, 2023. The full amount of the loss carryforwards do not expire. For the deferred tax assets associated with the net operating loss carryforwards for which management has determined it is more likely than not that the deferred tax assets will not be realized, TJX had valuation allowances recorded of approximately $62 million as of February 3, 2024 and $71 million as of January 28, 2023.</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difference between the U.S. federal statutory income tax rate and TJX’s worldwide effective income tax rate is reconciled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40" w:type="dxa"/>
            <w:vAlign w:val="bottom"/>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7"/>
              </w:rPr>
              <w:t>Fiscal Year Ended</w:t>
            </w:r>
          </w:p>
        </w:tc>
        <w:tc>
          <w:tcPr>
            <w:tcW w:w="1380" w:type="dxa"/>
            <w:vAlign w:val="bottom"/>
            <w:tcBorders>
              <w:bottom w:val="single" w:sz="8" w:color="auto"/>
            </w:tcBorders>
          </w:tcPr>
          <w:p>
            <w:pPr>
              <w:spacing w:after="0"/>
              <w:rPr>
                <w:sz w:val="20"/>
                <w:szCs w:val="20"/>
                <w:color w:val="auto"/>
              </w:rPr>
            </w:pPr>
          </w:p>
        </w:tc>
      </w:tr>
      <w:tr>
        <w:trPr>
          <w:trHeight w:val="169"/>
        </w:trPr>
        <w:tc>
          <w:tcPr>
            <w:tcW w:w="6540" w:type="dxa"/>
            <w:vAlign w:val="bottom"/>
          </w:tcPr>
          <w:p>
            <w:pPr>
              <w:spacing w:after="0"/>
              <w:rPr>
                <w:sz w:val="14"/>
                <w:szCs w:val="14"/>
                <w:color w:val="auto"/>
              </w:rPr>
            </w:pPr>
          </w:p>
        </w:tc>
        <w:tc>
          <w:tcPr>
            <w:tcW w:w="16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February 3,</w:t>
            </w:r>
          </w:p>
        </w:tc>
        <w:tc>
          <w:tcPr>
            <w:tcW w:w="1680" w:type="dxa"/>
            <w:vAlign w:val="bottom"/>
          </w:tcPr>
          <w:p>
            <w:pPr>
              <w:jc w:val="center"/>
              <w:ind w:right="130"/>
              <w:spacing w:after="0" w:line="169" w:lineRule="exact"/>
              <w:rPr>
                <w:sz w:val="20"/>
                <w:szCs w:val="20"/>
                <w:color w:val="auto"/>
              </w:rPr>
            </w:pPr>
            <w:r>
              <w:rPr>
                <w:rFonts w:ascii="Times New Roman" w:cs="Times New Roman" w:eastAsia="Times New Roman" w:hAnsi="Times New Roman"/>
                <w:sz w:val="18"/>
                <w:szCs w:val="18"/>
                <w:color w:val="auto"/>
                <w:w w:val="98"/>
              </w:rPr>
              <w:t>January 28,</w:t>
            </w:r>
          </w:p>
        </w:tc>
        <w:tc>
          <w:tcPr>
            <w:tcW w:w="1380" w:type="dxa"/>
            <w:vAlign w:val="bottom"/>
          </w:tcPr>
          <w:p>
            <w:pPr>
              <w:jc w:val="right"/>
              <w:ind w:right="270"/>
              <w:spacing w:after="0" w:line="169" w:lineRule="exact"/>
              <w:rPr>
                <w:sz w:val="20"/>
                <w:szCs w:val="20"/>
                <w:color w:val="auto"/>
              </w:rPr>
            </w:pPr>
            <w:r>
              <w:rPr>
                <w:rFonts w:ascii="Times New Roman" w:cs="Times New Roman" w:eastAsia="Times New Roman" w:hAnsi="Times New Roman"/>
                <w:sz w:val="18"/>
                <w:szCs w:val="18"/>
                <w:color w:val="auto"/>
              </w:rPr>
              <w:t>January 29,</w:t>
            </w:r>
          </w:p>
        </w:tc>
      </w:tr>
      <w:tr>
        <w:trPr>
          <w:trHeight w:val="241"/>
        </w:trPr>
        <w:tc>
          <w:tcPr>
            <w:tcW w:w="65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6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2023</w:t>
            </w: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r>
      <w:tr>
        <w:trPr>
          <w:trHeight w:val="225"/>
        </w:trPr>
        <w:tc>
          <w:tcPr>
            <w:tcW w:w="654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(53 weeks)</w:t>
            </w:r>
          </w:p>
        </w:tc>
        <w:tc>
          <w:tcPr>
            <w:tcW w:w="168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income tax rate</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21.0 %</w:t>
            </w:r>
          </w:p>
        </w:tc>
        <w:tc>
          <w:tcPr>
            <w:tcW w:w="16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21.0 %</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9"/>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state income tax rate</w:t>
            </w:r>
          </w:p>
        </w:tc>
        <w:tc>
          <w:tcPr>
            <w:tcW w:w="16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4.2</w:t>
            </w:r>
          </w:p>
        </w:tc>
        <w:tc>
          <w:tcPr>
            <w:tcW w:w="16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4.3</w:t>
            </w: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w:t>
            </w:r>
          </w:p>
        </w:tc>
      </w:tr>
      <w:tr>
        <w:trPr>
          <w:trHeight w:val="229"/>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of foreign operations</w:t>
            </w:r>
          </w:p>
        </w:tc>
        <w:tc>
          <w:tcPr>
            <w:tcW w:w="16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0.9</w:t>
            </w:r>
          </w:p>
        </w:tc>
        <w:tc>
          <w:tcPr>
            <w:tcW w:w="16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1.1</w:t>
            </w: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0.9</w:t>
            </w:r>
          </w:p>
        </w:tc>
      </w:tr>
      <w:tr>
        <w:trPr>
          <w:trHeight w:val="230"/>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Excess share-based compensation</w:t>
            </w:r>
          </w:p>
        </w:tc>
        <w:tc>
          <w:tcPr>
            <w:tcW w:w="16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(0.8)</w:t>
            </w:r>
          </w:p>
        </w:tc>
        <w:tc>
          <w:tcPr>
            <w:tcW w:w="16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w:t>
            </w: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16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(0.2)</w:t>
            </w:r>
          </w:p>
        </w:tc>
        <w:tc>
          <w:tcPr>
            <w:tcW w:w="16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(0.3)</w:t>
            </w:r>
          </w:p>
        </w:tc>
        <w:tc>
          <w:tcPr>
            <w:tcW w:w="1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Nondeductible/nontaxable items</w:t>
            </w:r>
          </w:p>
        </w:tc>
        <w:tc>
          <w:tcPr>
            <w:tcW w:w="16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0.1</w:t>
            </w:r>
          </w:p>
        </w:tc>
        <w:tc>
          <w:tcPr>
            <w:tcW w:w="16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(0.1)</w:t>
            </w: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6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16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(0.2)</w:t>
            </w:r>
          </w:p>
        </w:tc>
        <w:tc>
          <w:tcPr>
            <w:tcW w:w="168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(0.5)</w:t>
            </w: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65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Worldwide effective income tax rate</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25.0 %</w:t>
            </w:r>
          </w:p>
        </w:tc>
        <w:tc>
          <w:tcPr>
            <w:tcW w:w="16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24.5 %</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25.4 %</w:t>
            </w:r>
          </w:p>
        </w:tc>
      </w:tr>
    </w:tbl>
    <w:p>
      <w:pPr>
        <w:spacing w:after="0" w:line="17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TJX’s effective income tax rate increased for fiscal 2024 compared to fiscal 2023. The increase in the fiscal 2024 effective income tax rate is primarily due to an increase of nondeductible items and a reduction of excess tax benefits from share-based compensation.</w:t>
      </w:r>
    </w:p>
    <w:p>
      <w:pPr>
        <w:spacing w:after="0" w:line="5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TJX had net unrecognized tax benefits of $228 million as of February 3, 2024, $265 million as of January 28, 2023 and $288 million as of January 29, 2022.</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gross amount of unrecognized tax benefits is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7"/>
              </w:rPr>
              <w:t>Fiscal Year Ended</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r>
      <w:tr>
        <w:trPr>
          <w:trHeight w:val="169"/>
        </w:trPr>
        <w:tc>
          <w:tcPr>
            <w:tcW w:w="6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ind w:right="170"/>
              <w:spacing w:after="0" w:line="169" w:lineRule="exact"/>
              <w:rPr>
                <w:sz w:val="20"/>
                <w:szCs w:val="20"/>
                <w:color w:val="auto"/>
              </w:rPr>
            </w:pPr>
            <w:r>
              <w:rPr>
                <w:rFonts w:ascii="Times New Roman" w:cs="Times New Roman" w:eastAsia="Times New Roman" w:hAnsi="Times New Roman"/>
                <w:sz w:val="18"/>
                <w:szCs w:val="18"/>
                <w:b w:val="1"/>
                <w:bCs w:val="1"/>
                <w:color w:val="auto"/>
              </w:rPr>
              <w:t>February 3,</w:t>
            </w:r>
          </w:p>
        </w:tc>
        <w:tc>
          <w:tcPr>
            <w:tcW w:w="220" w:type="dxa"/>
            <w:vAlign w:val="bottom"/>
          </w:tcPr>
          <w:p>
            <w:pPr>
              <w:spacing w:after="0"/>
              <w:rPr>
                <w:sz w:val="14"/>
                <w:szCs w:val="14"/>
                <w:color w:val="auto"/>
              </w:rPr>
            </w:pPr>
          </w:p>
        </w:tc>
        <w:tc>
          <w:tcPr>
            <w:tcW w:w="1220" w:type="dxa"/>
            <w:vAlign w:val="bottom"/>
          </w:tcPr>
          <w:p>
            <w:pPr>
              <w:jc w:val="center"/>
              <w:ind w:right="110"/>
              <w:spacing w:after="0" w:line="169" w:lineRule="exact"/>
              <w:rPr>
                <w:sz w:val="20"/>
                <w:szCs w:val="20"/>
                <w:color w:val="auto"/>
              </w:rPr>
            </w:pPr>
            <w:r>
              <w:rPr>
                <w:rFonts w:ascii="Times New Roman" w:cs="Times New Roman" w:eastAsia="Times New Roman" w:hAnsi="Times New Roman"/>
                <w:sz w:val="18"/>
                <w:szCs w:val="18"/>
                <w:color w:val="auto"/>
                <w:w w:val="98"/>
              </w:rPr>
              <w:t>January 28,</w:t>
            </w:r>
          </w:p>
        </w:tc>
        <w:tc>
          <w:tcPr>
            <w:tcW w:w="220" w:type="dxa"/>
            <w:vAlign w:val="bottom"/>
          </w:tcPr>
          <w:p>
            <w:pPr>
              <w:spacing w:after="0"/>
              <w:rPr>
                <w:sz w:val="14"/>
                <w:szCs w:val="14"/>
                <w:color w:val="auto"/>
              </w:rPr>
            </w:pPr>
          </w:p>
        </w:tc>
        <w:tc>
          <w:tcPr>
            <w:tcW w:w="1240" w:type="dxa"/>
            <w:vAlign w:val="bottom"/>
          </w:tcPr>
          <w:p>
            <w:pPr>
              <w:jc w:val="right"/>
              <w:ind w:right="230"/>
              <w:spacing w:after="0" w:line="169" w:lineRule="exact"/>
              <w:rPr>
                <w:sz w:val="20"/>
                <w:szCs w:val="20"/>
                <w:color w:val="auto"/>
              </w:rPr>
            </w:pPr>
            <w:r>
              <w:rPr>
                <w:rFonts w:ascii="Times New Roman" w:cs="Times New Roman" w:eastAsia="Times New Roman" w:hAnsi="Times New Roman"/>
                <w:sz w:val="18"/>
                <w:szCs w:val="18"/>
                <w:color w:val="auto"/>
              </w:rPr>
              <w:t>January 29,</w:t>
            </w:r>
          </w:p>
        </w:tc>
      </w:tr>
      <w:tr>
        <w:trPr>
          <w:trHeight w:val="241"/>
        </w:trPr>
        <w:tc>
          <w:tcPr>
            <w:tcW w:w="6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2023</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r>
      <w:tr>
        <w:trPr>
          <w:trHeight w:val="225"/>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beginning of year</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30"/>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uncertain tax positions taken in current year</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for uncertain tax positions taken in prior years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Reductions for uncertain tax positions taken in prior years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Reductions resulting from lapse of statute of limitations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6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Settlements with tax authorities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end of year</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226</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r>
    </w:tbl>
    <w:p>
      <w:pPr>
        <w:spacing w:after="0" w:line="17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Included in the gross amount of unrecognized tax benefits are items that will impact future effective tax rates upon recognition. These items amounted to $221 million as of February 3, 2024, $251 million as of January 28, 2023 and $260 million as of January 29, 2022.</w:t>
      </w:r>
    </w:p>
    <w:p>
      <w:pPr>
        <w:spacing w:after="0" w:line="5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TJX is subject to U.S. federal income tax as well as income tax in multiple state, local and foreign jurisdictions. In the U.S. and India, fiscal years through 2010 are no longer subject to examination. In all other jurisdictions, fiscal years through 2011 are no longer subject to examination.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8" w:name="page79"/>
    <w:bookmarkEnd w:id="78"/>
    <w:p>
      <w:pPr>
        <w:ind w:right="400"/>
        <w:spacing w:after="0" w:line="261" w:lineRule="auto"/>
        <w:rPr>
          <w:sz w:val="20"/>
          <w:szCs w:val="20"/>
          <w:color w:val="auto"/>
        </w:rPr>
      </w:pPr>
      <w:r>
        <w:rPr>
          <w:rFonts w:ascii="Times New Roman" w:cs="Times New Roman" w:eastAsia="Times New Roman" w:hAnsi="Times New Roman"/>
          <w:sz w:val="18"/>
          <w:szCs w:val="18"/>
          <w:color w:val="auto"/>
        </w:rPr>
        <w:t>TJX’s accounting policy is to classify interest and penalties related to income tax matters as part of income tax expense. The amount of interest and penalties expensed was $10 million for the fiscal years ended February 3, 2024, and $7 million for both of the fiscal years ended January 28, 2023 and January 29, 2022. The accrued amounts for interest and penalties are $32 million as of February 3, 2024, $37 million as of January 28, 2023 and $43 million as of January 29, 2022.</w:t>
      </w:r>
    </w:p>
    <w:p>
      <w:pPr>
        <w:spacing w:after="0" w:line="7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Based on the final resolution of tax examinations, judicial or administrative proceedings, changes in facts or law, expirations of statutes of limitations in specific jurisdictions or other resolutions of, or changes in, tax positions, it is reasonably possible that unrecognized tax benefits for certain tax positions taken on previously filed tax returns may change materially from those represented on the consolidated financial statements as of February 3, 2024. During the next twelve months, it is reasonably possible that tax audit resolutions may reduce unrecognized tax benefits by up to $43 million, which would reduce the provision for taxes on earnings.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L. Leases</w:t>
      </w:r>
    </w:p>
    <w:p>
      <w:pPr>
        <w:spacing w:after="0" w:line="11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TJX is committed under long-term leases related to its continuing operations for the rental of real estate and certain service contracts containing embedded leases, all of which are operating leases. Real estate leases represent virtually all of the Company’s store locations as well as some of its distribution and fulfillment centers and office space. Most of TJX’s leases in the U.S., Canada, and Australia are store operating leases with ten-year terms and options to extend for one or more periods ranging from two to ten years. Leases in Europe generally have an initial term of ten to fifteen years. Many of the Company's leases have options to terminate prior to the lease expiration date. The exercise of both lease renewal and termination options is at the Company’s sole discretion, as opposed to the landlord’s discretion, and is not reasonably certain at lease commencement. The Company has deemed that the expense of store renovations makes the renewal of the next lease option reasonably certain to be exercised after these renovations occur.</w:t>
      </w:r>
    </w:p>
    <w:p>
      <w:pPr>
        <w:spacing w:after="0" w:line="8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While the overwhelming majority of leases have fixed payment schedules, some leases have variable lease payments based on market indices adjusted periodically for inflation, or include rental payments based on a percentage of retail sales over contractual levels. In addition, for real estate leases, TJX is generally required to pay insurance, real estate taxes and certain other expenses including common area maintenance based on a proportionate share of premises as compared to the shopping center, and some of these costs are based on a market index, primarily in Canada. For leases with these payments based on a market index, the initial lease payment amount is used in the calculation of the operating lease liability and corresponding operating lease ROU assets included on the Consolidated Balance Sheets. Future payment changes to these market index rate leases are not reflected in the operating lease liability and are instead included in variable lease cost. Variable lease cost also includes variable operating expenses for third party service centers and dedicated transportation contracts that are deemed embedded leases. The operating lease ROU assets also includes any lease payments made in advance of the assets’ use and is reduced by lease incentives received. Lease expense for lease payments is recognized on a straight-line basis over the lease term.</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is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3"/>
          </w:tcPr>
          <w:p>
            <w:pPr>
              <w:jc w:val="right"/>
              <w:ind w:right="850"/>
              <w:spacing w:after="0"/>
              <w:rPr>
                <w:sz w:val="20"/>
                <w:szCs w:val="20"/>
                <w:color w:val="auto"/>
              </w:rPr>
            </w:pPr>
            <w:r>
              <w:rPr>
                <w:rFonts w:ascii="Times New Roman" w:cs="Times New Roman" w:eastAsia="Times New Roman" w:hAnsi="Times New Roman"/>
                <w:sz w:val="18"/>
                <w:szCs w:val="18"/>
                <w:color w:val="auto"/>
              </w:rPr>
              <w:t>Fiscal Year Ended</w:t>
            </w:r>
          </w:p>
        </w:tc>
        <w:tc>
          <w:tcPr>
            <w:tcW w:w="0" w:type="dxa"/>
            <w:vAlign w:val="bottom"/>
          </w:tcPr>
          <w:p>
            <w:pPr>
              <w:spacing w:after="0"/>
              <w:rPr>
                <w:sz w:val="1"/>
                <w:szCs w:val="1"/>
                <w:color w:val="auto"/>
              </w:rPr>
            </w:pPr>
          </w:p>
        </w:tc>
      </w:tr>
      <w:tr>
        <w:trPr>
          <w:trHeight w:val="174"/>
        </w:trPr>
        <w:tc>
          <w:tcPr>
            <w:tcW w:w="314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gridSpan w:val="2"/>
          </w:tcPr>
          <w:p>
            <w:pPr>
              <w:jc w:val="right"/>
              <w:ind w:right="370"/>
              <w:spacing w:after="0" w:line="174" w:lineRule="exact"/>
              <w:rPr>
                <w:sz w:val="20"/>
                <w:szCs w:val="20"/>
                <w:color w:val="auto"/>
              </w:rPr>
            </w:pPr>
            <w:r>
              <w:rPr>
                <w:rFonts w:ascii="Times New Roman" w:cs="Times New Roman" w:eastAsia="Times New Roman" w:hAnsi="Times New Roman"/>
                <w:sz w:val="18"/>
                <w:szCs w:val="18"/>
                <w:b w:val="1"/>
                <w:bCs w:val="1"/>
                <w:color w:val="auto"/>
              </w:rPr>
              <w:t>February 3,</w:t>
            </w:r>
          </w:p>
        </w:tc>
        <w:tc>
          <w:tcPr>
            <w:tcW w:w="200" w:type="dxa"/>
            <w:vAlign w:val="bottom"/>
          </w:tcPr>
          <w:p>
            <w:pPr>
              <w:spacing w:after="0"/>
              <w:rPr>
                <w:sz w:val="15"/>
                <w:szCs w:val="15"/>
                <w:color w:val="auto"/>
              </w:rPr>
            </w:pPr>
          </w:p>
        </w:tc>
        <w:tc>
          <w:tcPr>
            <w:tcW w:w="1260" w:type="dxa"/>
            <w:vAlign w:val="bottom"/>
          </w:tcPr>
          <w:p>
            <w:pPr>
              <w:jc w:val="right"/>
              <w:ind w:right="270"/>
              <w:spacing w:after="0" w:line="174" w:lineRule="exact"/>
              <w:rPr>
                <w:sz w:val="20"/>
                <w:szCs w:val="20"/>
                <w:color w:val="auto"/>
              </w:rPr>
            </w:pPr>
            <w:r>
              <w:rPr>
                <w:rFonts w:ascii="Times New Roman" w:cs="Times New Roman" w:eastAsia="Times New Roman" w:hAnsi="Times New Roman"/>
                <w:sz w:val="18"/>
                <w:szCs w:val="18"/>
                <w:color w:val="auto"/>
              </w:rPr>
              <w:t>January 28,</w:t>
            </w:r>
          </w:p>
        </w:tc>
        <w:tc>
          <w:tcPr>
            <w:tcW w:w="0" w:type="dxa"/>
            <w:vAlign w:val="bottom"/>
          </w:tcPr>
          <w:p>
            <w:pPr>
              <w:spacing w:after="0"/>
              <w:rPr>
                <w:sz w:val="1"/>
                <w:szCs w:val="1"/>
                <w:color w:val="auto"/>
              </w:rPr>
            </w:pPr>
          </w:p>
        </w:tc>
      </w:tr>
      <w:tr>
        <w:trPr>
          <w:trHeight w:val="238"/>
        </w:trPr>
        <w:tc>
          <w:tcPr>
            <w:tcW w:w="314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3"/>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3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6.6 years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years</w:t>
            </w:r>
          </w:p>
        </w:tc>
        <w:tc>
          <w:tcPr>
            <w:tcW w:w="0" w:type="dxa"/>
            <w:vAlign w:val="bottom"/>
          </w:tcPr>
          <w:p>
            <w:pPr>
              <w:spacing w:after="0"/>
              <w:rPr>
                <w:sz w:val="1"/>
                <w:szCs w:val="1"/>
                <w:color w:val="auto"/>
              </w:rPr>
            </w:pPr>
          </w:p>
        </w:tc>
      </w:tr>
      <w:tr>
        <w:trPr>
          <w:trHeight w:val="230"/>
        </w:trPr>
        <w:tc>
          <w:tcPr>
            <w:tcW w:w="3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37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3.3 %</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412"/>
        </w:trPr>
        <w:tc>
          <w:tcPr>
            <w:tcW w:w="83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is a summary of the Company’s components of net lease cost for the fiscal years ended:</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14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Fiscal Year Ended</w:t>
            </w: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31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160"/>
              <w:spacing w:after="0" w:line="169" w:lineRule="exact"/>
              <w:rPr>
                <w:sz w:val="20"/>
                <w:szCs w:val="20"/>
                <w:color w:val="auto"/>
              </w:rPr>
            </w:pPr>
            <w:r>
              <w:rPr>
                <w:rFonts w:ascii="Times New Roman" w:cs="Times New Roman" w:eastAsia="Times New Roman" w:hAnsi="Times New Roman"/>
                <w:sz w:val="18"/>
                <w:szCs w:val="18"/>
                <w:b w:val="1"/>
                <w:bCs w:val="1"/>
                <w:color w:val="auto"/>
                <w:w w:val="98"/>
              </w:rPr>
              <w:t>February 3,</w:t>
            </w:r>
          </w:p>
        </w:tc>
        <w:tc>
          <w:tcPr>
            <w:tcW w:w="240" w:type="dxa"/>
            <w:vAlign w:val="bottom"/>
          </w:tcPr>
          <w:p>
            <w:pPr>
              <w:spacing w:after="0"/>
              <w:rPr>
                <w:sz w:val="14"/>
                <w:szCs w:val="14"/>
                <w:color w:val="auto"/>
              </w:rPr>
            </w:pPr>
          </w:p>
        </w:tc>
        <w:tc>
          <w:tcPr>
            <w:tcW w:w="1220" w:type="dxa"/>
            <w:vAlign w:val="bottom"/>
          </w:tcPr>
          <w:p>
            <w:pPr>
              <w:jc w:val="right"/>
              <w:ind w:right="210"/>
              <w:spacing w:after="0" w:line="169" w:lineRule="exact"/>
              <w:rPr>
                <w:sz w:val="20"/>
                <w:szCs w:val="20"/>
                <w:color w:val="auto"/>
              </w:rPr>
            </w:pPr>
            <w:r>
              <w:rPr>
                <w:rFonts w:ascii="Times New Roman" w:cs="Times New Roman" w:eastAsia="Times New Roman" w:hAnsi="Times New Roman"/>
                <w:sz w:val="18"/>
                <w:szCs w:val="18"/>
                <w:color w:val="auto"/>
              </w:rPr>
              <w:t>January 28,</w:t>
            </w:r>
          </w:p>
        </w:tc>
        <w:tc>
          <w:tcPr>
            <w:tcW w:w="200" w:type="dxa"/>
            <w:vAlign w:val="bottom"/>
          </w:tcPr>
          <w:p>
            <w:pPr>
              <w:spacing w:after="0"/>
              <w:rPr>
                <w:sz w:val="14"/>
                <w:szCs w:val="14"/>
                <w:color w:val="auto"/>
              </w:rPr>
            </w:pPr>
          </w:p>
        </w:tc>
        <w:tc>
          <w:tcPr>
            <w:tcW w:w="1260" w:type="dxa"/>
            <w:vAlign w:val="bottom"/>
          </w:tcPr>
          <w:p>
            <w:pPr>
              <w:jc w:val="right"/>
              <w:ind w:right="210"/>
              <w:spacing w:after="0" w:line="169" w:lineRule="exact"/>
              <w:rPr>
                <w:sz w:val="20"/>
                <w:szCs w:val="20"/>
                <w:color w:val="auto"/>
              </w:rPr>
            </w:pPr>
            <w:r>
              <w:rPr>
                <w:rFonts w:ascii="Times New Roman" w:cs="Times New Roman" w:eastAsia="Times New Roman" w:hAnsi="Times New Roman"/>
                <w:sz w:val="18"/>
                <w:szCs w:val="18"/>
                <w:color w:val="auto"/>
              </w:rPr>
              <w:t>January 29,</w:t>
            </w:r>
          </w:p>
        </w:tc>
        <w:tc>
          <w:tcPr>
            <w:tcW w:w="0" w:type="dxa"/>
            <w:vAlign w:val="bottom"/>
          </w:tcPr>
          <w:p>
            <w:pPr>
              <w:spacing w:after="0"/>
              <w:rPr>
                <w:sz w:val="1"/>
                <w:szCs w:val="1"/>
                <w:color w:val="auto"/>
              </w:rPr>
            </w:pPr>
          </w:p>
        </w:tc>
      </w:tr>
      <w:tr>
        <w:trPr>
          <w:trHeight w:val="243"/>
        </w:trPr>
        <w:tc>
          <w:tcPr>
            <w:tcW w:w="3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76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8"/>
              </w:rPr>
              <w:t>Classification</w:t>
            </w: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23"/>
        </w:trPr>
        <w:tc>
          <w:tcPr>
            <w:tcW w:w="314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(53 weeks)</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1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Operating lease cost</w:t>
            </w:r>
          </w:p>
        </w:tc>
        <w:tc>
          <w:tcPr>
            <w:tcW w:w="3760" w:type="dxa"/>
            <w:vAlign w:val="bottom"/>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Cost of sales, including buying and occupancy</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40" w:type="dxa"/>
            <w:vAlign w:val="bottom"/>
            <w:shd w:val="clear" w:color="auto" w:fill="CCEEFF"/>
          </w:tcPr>
          <w:p>
            <w:pPr>
              <w:spacing w:after="0"/>
              <w:rPr>
                <w:sz w:val="21"/>
                <w:szCs w:val="21"/>
                <w:color w:val="auto"/>
              </w:rPr>
            </w:pPr>
          </w:p>
        </w:tc>
        <w:tc>
          <w:tcPr>
            <w:tcW w:w="37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costs</w:t>
            </w:r>
          </w:p>
        </w:tc>
        <w:tc>
          <w:tcPr>
            <w:tcW w:w="200" w:type="dxa"/>
            <w:vAlign w:val="bottom"/>
            <w:vMerge w:val="continue"/>
            <w:shd w:val="clear" w:color="auto" w:fill="CCEEFF"/>
          </w:tcPr>
          <w:p>
            <w:pPr>
              <w:spacing w:after="0"/>
              <w:rPr>
                <w:sz w:val="21"/>
                <w:szCs w:val="21"/>
                <w:color w:val="auto"/>
              </w:rPr>
            </w:pPr>
          </w:p>
        </w:tc>
        <w:tc>
          <w:tcPr>
            <w:tcW w:w="122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w:t>
            </w:r>
          </w:p>
        </w:tc>
        <w:tc>
          <w:tcPr>
            <w:tcW w:w="0" w:type="dxa"/>
            <w:vAlign w:val="bottom"/>
          </w:tcPr>
          <w:p>
            <w:pPr>
              <w:spacing w:after="0"/>
              <w:rPr>
                <w:sz w:val="1"/>
                <w:szCs w:val="1"/>
                <w:color w:val="auto"/>
              </w:rPr>
            </w:pPr>
          </w:p>
        </w:tc>
      </w:tr>
      <w:tr>
        <w:trPr>
          <w:trHeight w:val="175"/>
        </w:trPr>
        <w:tc>
          <w:tcPr>
            <w:tcW w:w="31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Variable and short term lease cost</w:t>
            </w:r>
          </w:p>
        </w:tc>
        <w:tc>
          <w:tcPr>
            <w:tcW w:w="3760" w:type="dxa"/>
            <w:vAlign w:val="bottom"/>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Cost of sales, including buying and occupancy</w:t>
            </w:r>
          </w:p>
        </w:tc>
        <w:tc>
          <w:tcPr>
            <w:tcW w:w="200" w:type="dxa"/>
            <w:vAlign w:val="bottom"/>
          </w:tcPr>
          <w:p>
            <w:pPr>
              <w:spacing w:after="0"/>
              <w:rPr>
                <w:sz w:val="15"/>
                <w:szCs w:val="15"/>
                <w:color w:val="auto"/>
              </w:rPr>
            </w:pPr>
          </w:p>
        </w:tc>
        <w:tc>
          <w:tcPr>
            <w:tcW w:w="12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1,490</w:t>
            </w: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40" w:type="dxa"/>
            <w:vAlign w:val="bottom"/>
            <w:tcBorders>
              <w:bottom w:val="single" w:sz="8" w:color="auto"/>
            </w:tcBorders>
          </w:tcPr>
          <w:p>
            <w:pPr>
              <w:spacing w:after="0"/>
              <w:rPr>
                <w:sz w:val="21"/>
                <w:szCs w:val="21"/>
                <w:color w:val="auto"/>
              </w:rPr>
            </w:pPr>
          </w:p>
        </w:tc>
        <w:tc>
          <w:tcPr>
            <w:tcW w:w="376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costs</w:t>
            </w:r>
          </w:p>
        </w:tc>
        <w:tc>
          <w:tcPr>
            <w:tcW w:w="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0" w:type="dxa"/>
            <w:vAlign w:val="bottom"/>
          </w:tcPr>
          <w:p>
            <w:pPr>
              <w:spacing w:after="0"/>
              <w:rPr>
                <w:sz w:val="1"/>
                <w:szCs w:val="1"/>
                <w:color w:val="auto"/>
              </w:rPr>
            </w:pPr>
          </w:p>
        </w:tc>
      </w:tr>
      <w:tr>
        <w:trPr>
          <w:trHeight w:val="223"/>
        </w:trPr>
        <w:tc>
          <w:tcPr>
            <w:tcW w:w="31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lease cost</w:t>
            </w:r>
          </w:p>
        </w:tc>
        <w:tc>
          <w:tcPr>
            <w:tcW w:w="37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3,505</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34"/>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is as follows:</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56"/>
        </w:trPr>
        <w:tc>
          <w:tcPr>
            <w:tcW w:w="69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Fiscal Year Ended</w:t>
            </w: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r>
      <w:tr>
        <w:trPr>
          <w:trHeight w:val="169"/>
        </w:trPr>
        <w:tc>
          <w:tcPr>
            <w:tcW w:w="6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w w:val="98"/>
              </w:rPr>
              <w:t>February 3,</w:t>
            </w:r>
          </w:p>
        </w:tc>
        <w:tc>
          <w:tcPr>
            <w:tcW w:w="240" w:type="dxa"/>
            <w:vAlign w:val="bottom"/>
          </w:tcPr>
          <w:p>
            <w:pPr>
              <w:spacing w:after="0"/>
              <w:rPr>
                <w:sz w:val="14"/>
                <w:szCs w:val="14"/>
                <w:color w:val="auto"/>
              </w:rPr>
            </w:pPr>
          </w:p>
        </w:tc>
        <w:tc>
          <w:tcPr>
            <w:tcW w:w="1220" w:type="dxa"/>
            <w:vAlign w:val="bottom"/>
          </w:tcPr>
          <w:p>
            <w:pPr>
              <w:jc w:val="right"/>
              <w:ind w:right="210"/>
              <w:spacing w:after="0" w:line="169" w:lineRule="exact"/>
              <w:rPr>
                <w:sz w:val="20"/>
                <w:szCs w:val="20"/>
                <w:color w:val="auto"/>
              </w:rPr>
            </w:pPr>
            <w:r>
              <w:rPr>
                <w:rFonts w:ascii="Times New Roman" w:cs="Times New Roman" w:eastAsia="Times New Roman" w:hAnsi="Times New Roman"/>
                <w:sz w:val="18"/>
                <w:szCs w:val="18"/>
                <w:color w:val="auto"/>
              </w:rPr>
              <w:t>January 28,</w:t>
            </w:r>
          </w:p>
        </w:tc>
        <w:tc>
          <w:tcPr>
            <w:tcW w:w="220" w:type="dxa"/>
            <w:vAlign w:val="bottom"/>
          </w:tcPr>
          <w:p>
            <w:pPr>
              <w:spacing w:after="0"/>
              <w:rPr>
                <w:sz w:val="14"/>
                <w:szCs w:val="14"/>
                <w:color w:val="auto"/>
              </w:rPr>
            </w:pPr>
          </w:p>
        </w:tc>
        <w:tc>
          <w:tcPr>
            <w:tcW w:w="1240" w:type="dxa"/>
            <w:vAlign w:val="bottom"/>
          </w:tcPr>
          <w:p>
            <w:pPr>
              <w:jc w:val="right"/>
              <w:ind w:right="210"/>
              <w:spacing w:after="0" w:line="169" w:lineRule="exact"/>
              <w:rPr>
                <w:sz w:val="20"/>
                <w:szCs w:val="20"/>
                <w:color w:val="auto"/>
              </w:rPr>
            </w:pPr>
            <w:r>
              <w:rPr>
                <w:rFonts w:ascii="Times New Roman" w:cs="Times New Roman" w:eastAsia="Times New Roman" w:hAnsi="Times New Roman"/>
                <w:sz w:val="18"/>
                <w:szCs w:val="18"/>
                <w:color w:val="auto"/>
              </w:rPr>
              <w:t>January 29,</w:t>
            </w:r>
          </w:p>
        </w:tc>
      </w:tr>
      <w:tr>
        <w:trPr>
          <w:trHeight w:val="241"/>
        </w:trPr>
        <w:tc>
          <w:tcPr>
            <w:tcW w:w="6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r>
      <w:tr>
        <w:trPr>
          <w:trHeight w:val="225"/>
        </w:trPr>
        <w:tc>
          <w:tcPr>
            <w:tcW w:w="6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(53 weeks)</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6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cash flows paid for operating leases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2,030</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w:t>
            </w:r>
          </w:p>
        </w:tc>
      </w:tr>
      <w:tr>
        <w:trPr>
          <w:trHeight w:val="229"/>
        </w:trPr>
        <w:tc>
          <w:tcPr>
            <w:tcW w:w="6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arising from obtaining right of use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2,055</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w:t>
            </w:r>
          </w:p>
        </w:tc>
      </w:tr>
      <w:tr>
        <w:trPr>
          <w:trHeight w:val="412"/>
        </w:trPr>
        <w:tc>
          <w:tcPr>
            <w:tcW w:w="8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as of February 3, 2024 summarizes the maturity of lease liabilities under operating leases:</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6"/>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
        </w:trPr>
        <w:tc>
          <w:tcPr>
            <w:tcW w:w="6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6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2,064</w:t>
            </w:r>
          </w:p>
        </w:tc>
      </w:tr>
      <w:tr>
        <w:trPr>
          <w:trHeight w:val="229"/>
        </w:trPr>
        <w:tc>
          <w:tcPr>
            <w:tcW w:w="6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1,931</w:t>
            </w:r>
          </w:p>
        </w:tc>
      </w:tr>
      <w:tr>
        <w:trPr>
          <w:trHeight w:val="230"/>
        </w:trPr>
        <w:tc>
          <w:tcPr>
            <w:tcW w:w="6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1,727</w:t>
            </w:r>
          </w:p>
        </w:tc>
      </w:tr>
      <w:tr>
        <w:trPr>
          <w:trHeight w:val="229"/>
        </w:trPr>
        <w:tc>
          <w:tcPr>
            <w:tcW w:w="6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1,456</w:t>
            </w:r>
          </w:p>
        </w:tc>
      </w:tr>
      <w:tr>
        <w:trPr>
          <w:trHeight w:val="229"/>
        </w:trPr>
        <w:tc>
          <w:tcPr>
            <w:tcW w:w="6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1,151</w:t>
            </w:r>
          </w:p>
        </w:tc>
      </w:tr>
      <w:tr>
        <w:trPr>
          <w:trHeight w:val="230"/>
        </w:trPr>
        <w:tc>
          <w:tcPr>
            <w:tcW w:w="690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Later years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2,503</w:t>
            </w:r>
          </w:p>
        </w:tc>
      </w:tr>
      <w:tr>
        <w:trPr>
          <w:trHeight w:val="223"/>
        </w:trPr>
        <w:tc>
          <w:tcPr>
            <w:tcW w:w="6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lease payments</w:t>
            </w:r>
            <w:r>
              <w:rPr>
                <w:rFonts w:ascii="Times New Roman" w:cs="Times New Roman" w:eastAsia="Times New Roman" w:hAnsi="Times New Roman"/>
                <w:sz w:val="9"/>
                <w:szCs w:val="9"/>
                <w:color w:val="auto"/>
              </w:rPr>
              <w:t>(a)</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10,832</w:t>
            </w:r>
          </w:p>
        </w:tc>
      </w:tr>
      <w:tr>
        <w:trPr>
          <w:trHeight w:val="230"/>
        </w:trPr>
        <w:tc>
          <w:tcPr>
            <w:tcW w:w="6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r>
              <w:rPr>
                <w:rFonts w:ascii="Times New Roman" w:cs="Times New Roman" w:eastAsia="Times New Roman" w:hAnsi="Times New Roman"/>
                <w:sz w:val="9"/>
                <w:szCs w:val="9"/>
                <w:color w:val="auto"/>
              </w:rPr>
              <w:t>(b)</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1,152</w:t>
            </w:r>
          </w:p>
        </w:tc>
      </w:tr>
      <w:tr>
        <w:trPr>
          <w:trHeight w:val="223"/>
        </w:trPr>
        <w:tc>
          <w:tcPr>
            <w:tcW w:w="69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Total lease liabilities</w:t>
            </w:r>
            <w:r>
              <w:rPr>
                <w:rFonts w:ascii="Times New Roman" w:cs="Times New Roman" w:eastAsia="Times New Roman" w:hAnsi="Times New Roman"/>
                <w:sz w:val="9"/>
                <w:szCs w:val="9"/>
                <w:color w:val="auto"/>
              </w:rPr>
              <w:t>(c)</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9,680</w:t>
            </w:r>
          </w:p>
        </w:tc>
      </w:tr>
    </w:tbl>
    <w:p>
      <w:pPr>
        <w:spacing w:after="0" w:line="112" w:lineRule="exact"/>
        <w:rPr>
          <w:sz w:val="20"/>
          <w:szCs w:val="20"/>
          <w:color w:val="auto"/>
        </w:rPr>
      </w:pPr>
    </w:p>
    <w:p>
      <w:pPr>
        <w:ind w:left="340" w:right="520" w:hanging="332"/>
        <w:spacing w:after="0" w:line="301" w:lineRule="auto"/>
        <w:tabs>
          <w:tab w:leader="none" w:pos="337"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lease payments exclude legally binding minimum lease payments for leases signed but not yet commenced and include options to extend lease terms that are now deemed reasonably certain of being exercised according to the Company’s Lease Accounting Policy.</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using the incremental borrowing rate for each lease.</w:t>
      </w:r>
    </w:p>
    <w:p>
      <w:pPr>
        <w:spacing w:after="0" w:line="68"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lease liabilities are broken out on the Consolidated Balance Sheets between Current portion of operating lease liabilities and Long-term operating lease liabilities.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M. Accrued Expenses and Other Liabilities, Current and Long Term</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The major components of accrued expenses and other current liabilities are as follows:</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56"/>
        </w:trPr>
        <w:tc>
          <w:tcPr>
            <w:tcW w:w="83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700" w:type="dxa"/>
            <w:vAlign w:val="bottom"/>
            <w:tcBorders>
              <w:bottom w:val="single" w:sz="8" w:color="auto"/>
            </w:tcBorders>
            <w:gridSpan w:val="3"/>
          </w:tcPr>
          <w:p>
            <w:pPr>
              <w:jc w:val="right"/>
              <w:ind w:right="710"/>
              <w:spacing w:after="0"/>
              <w:rPr>
                <w:sz w:val="20"/>
                <w:szCs w:val="20"/>
                <w:color w:val="auto"/>
              </w:rPr>
            </w:pPr>
            <w:r>
              <w:rPr>
                <w:rFonts w:ascii="Times New Roman" w:cs="Times New Roman" w:eastAsia="Times New Roman" w:hAnsi="Times New Roman"/>
                <w:sz w:val="18"/>
                <w:szCs w:val="18"/>
                <w:color w:val="auto"/>
              </w:rPr>
              <w:t>Fiscal Year Ended</w:t>
            </w:r>
          </w:p>
        </w:tc>
      </w:tr>
      <w:tr>
        <w:trPr>
          <w:trHeight w:val="169"/>
        </w:trPr>
        <w:tc>
          <w:tcPr>
            <w:tcW w:w="8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right"/>
              <w:ind w:right="150"/>
              <w:spacing w:after="0" w:line="169" w:lineRule="exact"/>
              <w:rPr>
                <w:sz w:val="20"/>
                <w:szCs w:val="20"/>
                <w:color w:val="auto"/>
              </w:rPr>
            </w:pPr>
            <w:r>
              <w:rPr>
                <w:rFonts w:ascii="Times New Roman" w:cs="Times New Roman" w:eastAsia="Times New Roman" w:hAnsi="Times New Roman"/>
                <w:sz w:val="18"/>
                <w:szCs w:val="18"/>
                <w:b w:val="1"/>
                <w:bCs w:val="1"/>
                <w:color w:val="auto"/>
              </w:rPr>
              <w:t>February 3,</w:t>
            </w:r>
          </w:p>
        </w:tc>
        <w:tc>
          <w:tcPr>
            <w:tcW w:w="240" w:type="dxa"/>
            <w:vAlign w:val="bottom"/>
          </w:tcPr>
          <w:p>
            <w:pPr>
              <w:spacing w:after="0"/>
              <w:rPr>
                <w:sz w:val="14"/>
                <w:szCs w:val="14"/>
                <w:color w:val="auto"/>
              </w:rPr>
            </w:pPr>
          </w:p>
        </w:tc>
        <w:tc>
          <w:tcPr>
            <w:tcW w:w="1240" w:type="dxa"/>
            <w:vAlign w:val="bottom"/>
          </w:tcPr>
          <w:p>
            <w:pPr>
              <w:jc w:val="right"/>
              <w:ind w:right="230"/>
              <w:spacing w:after="0" w:line="169" w:lineRule="exact"/>
              <w:rPr>
                <w:sz w:val="20"/>
                <w:szCs w:val="20"/>
                <w:color w:val="auto"/>
              </w:rPr>
            </w:pPr>
            <w:r>
              <w:rPr>
                <w:rFonts w:ascii="Times New Roman" w:cs="Times New Roman" w:eastAsia="Times New Roman" w:hAnsi="Times New Roman"/>
                <w:sz w:val="18"/>
                <w:szCs w:val="18"/>
                <w:color w:val="auto"/>
              </w:rPr>
              <w:t>January 28,</w:t>
            </w:r>
          </w:p>
        </w:tc>
      </w:tr>
      <w:tr>
        <w:trPr>
          <w:trHeight w:val="241"/>
        </w:trPr>
        <w:tc>
          <w:tcPr>
            <w:tcW w:w="8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r>
      <w:tr>
        <w:trPr>
          <w:trHeight w:val="225"/>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 current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1,399</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r>
      <w:tr>
        <w:trPr>
          <w:trHeight w:val="22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Merchandise credits and gift certificates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773</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payable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383</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Occupancy costs, including rent, utilities and real estate taxes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379</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tax collections and V.A.T. taxes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291</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2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capital additions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246</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30"/>
        </w:trPr>
        <w:tc>
          <w:tcPr>
            <w:tcW w:w="8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other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1,399</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r>
      <w:tr>
        <w:trPr>
          <w:trHeight w:val="223"/>
        </w:trPr>
        <w:tc>
          <w:tcPr>
            <w:tcW w:w="83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4,870</w:t>
            </w:r>
          </w:p>
        </w:tc>
        <w:tc>
          <w:tcPr>
            <w:tcW w:w="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4,346</w:t>
            </w:r>
          </w:p>
        </w:tc>
      </w:tr>
    </w:tbl>
    <w:p>
      <w:pPr>
        <w:spacing w:after="0" w:line="17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All other current liabilities primarily include accruals for insurance, customer rewards liability, expenses payable, reserve for sales returns, professional fees, reserve for taxes, warehouse services, advertising, and other items, each of which is individually less than 5% of current liabilities.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34"/>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The major components of other long-term liabilities are as follows:</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57"/>
        </w:trPr>
        <w:tc>
          <w:tcPr>
            <w:tcW w:w="83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700" w:type="dxa"/>
            <w:vAlign w:val="bottom"/>
            <w:tcBorders>
              <w:bottom w:val="single" w:sz="8" w:color="auto"/>
            </w:tcBorders>
            <w:gridSpan w:val="3"/>
          </w:tcPr>
          <w:p>
            <w:pPr>
              <w:jc w:val="right"/>
              <w:ind w:right="710"/>
              <w:spacing w:after="0"/>
              <w:rPr>
                <w:sz w:val="20"/>
                <w:szCs w:val="20"/>
                <w:color w:val="auto"/>
              </w:rPr>
            </w:pPr>
            <w:r>
              <w:rPr>
                <w:rFonts w:ascii="Times New Roman" w:cs="Times New Roman" w:eastAsia="Times New Roman" w:hAnsi="Times New Roman"/>
                <w:sz w:val="18"/>
                <w:szCs w:val="18"/>
                <w:color w:val="auto"/>
              </w:rPr>
              <w:t>Fiscal Year Ended</w:t>
            </w:r>
          </w:p>
        </w:tc>
      </w:tr>
      <w:tr>
        <w:trPr>
          <w:trHeight w:val="169"/>
        </w:trPr>
        <w:tc>
          <w:tcPr>
            <w:tcW w:w="8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right"/>
              <w:ind w:right="150"/>
              <w:spacing w:after="0" w:line="169" w:lineRule="exact"/>
              <w:rPr>
                <w:sz w:val="20"/>
                <w:szCs w:val="20"/>
                <w:color w:val="auto"/>
              </w:rPr>
            </w:pPr>
            <w:r>
              <w:rPr>
                <w:rFonts w:ascii="Times New Roman" w:cs="Times New Roman" w:eastAsia="Times New Roman" w:hAnsi="Times New Roman"/>
                <w:sz w:val="18"/>
                <w:szCs w:val="18"/>
                <w:b w:val="1"/>
                <w:bCs w:val="1"/>
                <w:color w:val="auto"/>
              </w:rPr>
              <w:t>February 3,</w:t>
            </w:r>
          </w:p>
        </w:tc>
        <w:tc>
          <w:tcPr>
            <w:tcW w:w="240" w:type="dxa"/>
            <w:vAlign w:val="bottom"/>
          </w:tcPr>
          <w:p>
            <w:pPr>
              <w:spacing w:after="0"/>
              <w:rPr>
                <w:sz w:val="14"/>
                <w:szCs w:val="14"/>
                <w:color w:val="auto"/>
              </w:rPr>
            </w:pPr>
          </w:p>
        </w:tc>
        <w:tc>
          <w:tcPr>
            <w:tcW w:w="1240" w:type="dxa"/>
            <w:vAlign w:val="bottom"/>
          </w:tcPr>
          <w:p>
            <w:pPr>
              <w:jc w:val="right"/>
              <w:ind w:right="230"/>
              <w:spacing w:after="0" w:line="169" w:lineRule="exact"/>
              <w:rPr>
                <w:sz w:val="20"/>
                <w:szCs w:val="20"/>
                <w:color w:val="auto"/>
              </w:rPr>
            </w:pPr>
            <w:r>
              <w:rPr>
                <w:rFonts w:ascii="Times New Roman" w:cs="Times New Roman" w:eastAsia="Times New Roman" w:hAnsi="Times New Roman"/>
                <w:sz w:val="18"/>
                <w:szCs w:val="18"/>
                <w:color w:val="auto"/>
              </w:rPr>
              <w:t>January 28,</w:t>
            </w:r>
          </w:p>
        </w:tc>
      </w:tr>
      <w:tr>
        <w:trPr>
          <w:trHeight w:val="241"/>
        </w:trPr>
        <w:tc>
          <w:tcPr>
            <w:tcW w:w="8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r>
      <w:tr>
        <w:trPr>
          <w:trHeight w:val="225"/>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 long-term</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r>
      <w:tr>
        <w:trPr>
          <w:trHeight w:val="22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reserve, long-term</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retirement obligation</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9"/>
        </w:trPr>
        <w:tc>
          <w:tcPr>
            <w:tcW w:w="8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All other long-term liabilities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83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long-term liabilities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924</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N. Contingent Obligations, Contingencies, and Commitments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Contingent Contractual Obligations</w:t>
      </w:r>
    </w:p>
    <w:p>
      <w:pPr>
        <w:spacing w:after="0" w:line="11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TJX is a party to various agreements under which it may be obligated to indemnify the other party with respect to certain losses related to matters including title to assets sold, specified environmental matters or certain income taxes. These obligations are sometimes limited in time or amount. There are no amounts reflected in the Company’s Consolidated Balance Sheets with respect to these contingent obligations.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Legal Contingencies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TJX is subject to certain legal proceedings, lawsuits, disputes and claims that arise from time to time in the ordinary course of its business.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Letters of Credit</w:t>
      </w:r>
    </w:p>
    <w:p>
      <w:pPr>
        <w:spacing w:after="0" w:line="13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TJX had outstanding letters of credit totaling $40 million as of February 3, 2024 and $42 million as of January 28, 2023. Letters of credit are issued by TJX primarily for the purchase of inventory.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O. Supplemental Cash Flow Information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TJX’s cash payments for interest and income taxes and non-cash investing and financing activities are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7"/>
              </w:rPr>
              <w:t>Fiscal Year Ended</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r>
      <w:tr>
        <w:trPr>
          <w:trHeight w:val="169"/>
        </w:trPr>
        <w:tc>
          <w:tcPr>
            <w:tcW w:w="6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rPr>
              <w:t>February 3,</w:t>
            </w:r>
          </w:p>
        </w:tc>
        <w:tc>
          <w:tcPr>
            <w:tcW w:w="240" w:type="dxa"/>
            <w:vAlign w:val="bottom"/>
          </w:tcPr>
          <w:p>
            <w:pPr>
              <w:spacing w:after="0"/>
              <w:rPr>
                <w:sz w:val="14"/>
                <w:szCs w:val="14"/>
                <w:color w:val="auto"/>
              </w:rPr>
            </w:pPr>
          </w:p>
        </w:tc>
        <w:tc>
          <w:tcPr>
            <w:tcW w:w="1200" w:type="dxa"/>
            <w:vAlign w:val="bottom"/>
          </w:tcPr>
          <w:p>
            <w:pPr>
              <w:jc w:val="center"/>
              <w:ind w:right="90"/>
              <w:spacing w:after="0" w:line="169" w:lineRule="exact"/>
              <w:rPr>
                <w:sz w:val="20"/>
                <w:szCs w:val="20"/>
                <w:color w:val="auto"/>
              </w:rPr>
            </w:pPr>
            <w:r>
              <w:rPr>
                <w:rFonts w:ascii="Times New Roman" w:cs="Times New Roman" w:eastAsia="Times New Roman" w:hAnsi="Times New Roman"/>
                <w:sz w:val="18"/>
                <w:szCs w:val="18"/>
                <w:color w:val="auto"/>
                <w:w w:val="98"/>
              </w:rPr>
              <w:t>January 28,</w:t>
            </w:r>
          </w:p>
        </w:tc>
        <w:tc>
          <w:tcPr>
            <w:tcW w:w="240" w:type="dxa"/>
            <w:vAlign w:val="bottom"/>
          </w:tcPr>
          <w:p>
            <w:pPr>
              <w:spacing w:after="0"/>
              <w:rPr>
                <w:sz w:val="14"/>
                <w:szCs w:val="14"/>
                <w:color w:val="auto"/>
              </w:rPr>
            </w:pPr>
          </w:p>
        </w:tc>
        <w:tc>
          <w:tcPr>
            <w:tcW w:w="1240" w:type="dxa"/>
            <w:vAlign w:val="bottom"/>
          </w:tcPr>
          <w:p>
            <w:pPr>
              <w:jc w:val="right"/>
              <w:ind w:right="230"/>
              <w:spacing w:after="0" w:line="169" w:lineRule="exact"/>
              <w:rPr>
                <w:sz w:val="20"/>
                <w:szCs w:val="20"/>
                <w:color w:val="auto"/>
              </w:rPr>
            </w:pPr>
            <w:r>
              <w:rPr>
                <w:rFonts w:ascii="Times New Roman" w:cs="Times New Roman" w:eastAsia="Times New Roman" w:hAnsi="Times New Roman"/>
                <w:sz w:val="18"/>
                <w:szCs w:val="18"/>
                <w:color w:val="auto"/>
              </w:rPr>
              <w:t>January 29,</w:t>
            </w:r>
          </w:p>
        </w:tc>
      </w:tr>
      <w:tr>
        <w:trPr>
          <w:trHeight w:val="241"/>
        </w:trPr>
        <w:tc>
          <w:tcPr>
            <w:tcW w:w="6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2023</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r>
      <w:tr>
        <w:trPr>
          <w:trHeight w:val="225"/>
        </w:trPr>
        <w:tc>
          <w:tcPr>
            <w:tcW w:w="6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(53 weeks)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6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on debt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30"/>
        </w:trPr>
        <w:tc>
          <w:tcPr>
            <w:tcW w:w="6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1,432</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r>
      <w:tr>
        <w:trPr>
          <w:trHeight w:val="230"/>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investing and financing activity:</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6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Dividends payable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68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Property additions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220"/>
          </w:cols>
          <w:pgMar w:left="320" w:top="891" w:right="35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10.12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February 2, 2024</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Scott Goldenberg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TJX Companies, Inc.</w:t>
      </w:r>
    </w:p>
    <w:p>
      <w:pPr>
        <w:spacing w:after="0" w:line="217" w:lineRule="auto"/>
        <w:rPr>
          <w:sz w:val="20"/>
          <w:szCs w:val="20"/>
          <w:color w:val="auto"/>
        </w:rPr>
      </w:pPr>
      <w:r>
        <w:rPr>
          <w:rFonts w:ascii="Times New Roman" w:cs="Times New Roman" w:eastAsia="Times New Roman" w:hAnsi="Times New Roman"/>
          <w:sz w:val="22"/>
          <w:szCs w:val="22"/>
          <w:color w:val="auto"/>
        </w:rPr>
        <w:t>770 Cochituate Road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Framingham, MA 01701</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Re: </w:t>
      </w:r>
      <w:r>
        <w:rPr>
          <w:rFonts w:ascii="Times New Roman" w:cs="Times New Roman" w:eastAsia="Times New Roman" w:hAnsi="Times New Roman"/>
          <w:sz w:val="22"/>
          <w:szCs w:val="22"/>
          <w:u w:val="single" w:color="auto"/>
          <w:color w:val="auto"/>
        </w:rPr>
        <w:t>Letter Agreement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Mr. Goldenberg,</w:t>
      </w:r>
    </w:p>
    <w:p>
      <w:pPr>
        <w:spacing w:after="0" w:line="233"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2"/>
          <w:szCs w:val="22"/>
          <w:color w:val="auto"/>
        </w:rPr>
        <w:t>Reference is made to the employment agreement between you and The TJX Companies, Inc. (“TJX” or “Company”) dated February 2, 2018, as amended (the “Employment Agreement”). Subject to earlier termination as provided therein, your employment with TJX under the Employment Agreement will continue until February 3, 2024. By entering into this letter agreement with TJX (the “Letter Agreement”), you agree to extend your employment with TJX under the terms and conditions of the Employment Agreement, effective as of the date hereof, with the following modifications.</w:t>
      </w:r>
    </w:p>
    <w:p>
      <w:pPr>
        <w:spacing w:after="0" w:line="204" w:lineRule="exact"/>
        <w:rPr>
          <w:sz w:val="20"/>
          <w:szCs w:val="20"/>
          <w:color w:val="auto"/>
        </w:rPr>
      </w:pPr>
    </w:p>
    <w:p>
      <w:pPr>
        <w:ind w:right="40" w:firstLine="648"/>
        <w:spacing w:after="0" w:line="234" w:lineRule="auto"/>
        <w:rPr>
          <w:sz w:val="20"/>
          <w:szCs w:val="20"/>
          <w:color w:val="auto"/>
        </w:rPr>
      </w:pPr>
      <w:r>
        <w:rPr>
          <w:rFonts w:ascii="Times New Roman" w:cs="Times New Roman" w:eastAsia="Times New Roman" w:hAnsi="Times New Roman"/>
          <w:sz w:val="22"/>
          <w:szCs w:val="22"/>
          <w:color w:val="auto"/>
        </w:rPr>
        <w:t>You agree that for purposes of Section 1 of the Employment Agreement, the “End Date” shall be extended until April 25, 2025. You further agree that, unless otherwise determined by TJX, you shall cease to serve as an executive officer of TJX as of February 3, 2024 (the last day of FY24) and that, subsequent to such date, your employment will continue under the Employment Agreement as an Executive Advisor to the Company. You further agree that such extension of employment and change in position shall, for purposes of Section 5(b) of the Employment Agreement, constitute a mutual agreement by you and TJX to continue your employment beyond February 3, 2024.</w:t>
      </w:r>
    </w:p>
    <w:p>
      <w:pPr>
        <w:spacing w:after="0" w:line="208" w:lineRule="exact"/>
        <w:rPr>
          <w:sz w:val="20"/>
          <w:szCs w:val="20"/>
          <w:color w:val="auto"/>
        </w:rPr>
      </w:pPr>
    </w:p>
    <w:p>
      <w:pPr>
        <w:ind w:right="120" w:firstLine="648"/>
        <w:spacing w:after="0" w:line="247" w:lineRule="auto"/>
        <w:rPr>
          <w:sz w:val="20"/>
          <w:szCs w:val="20"/>
          <w:color w:val="auto"/>
        </w:rPr>
      </w:pPr>
      <w:r>
        <w:rPr>
          <w:rFonts w:ascii="Times New Roman" w:cs="Times New Roman" w:eastAsia="Times New Roman" w:hAnsi="Times New Roman"/>
          <w:sz w:val="21"/>
          <w:szCs w:val="21"/>
          <w:color w:val="auto"/>
        </w:rPr>
        <w:t>For purposes of Section 3(a) of the Employment Agreement, effective as of February 4, 2024, your base salary shall be $750,000 per year or such other rate as the Committee (as defined in the Employment Agreement) may determine in its sole discretion after Committee review, including in connection with any mutually agreed adjustments to your employment schedule. For the avoidance of doubt, during the Employment Period you will continue to be (i) eligible to participate in MIP and LRPIP,</w:t>
      </w:r>
    </w:p>
    <w:p>
      <w:pPr>
        <w:spacing w:after="0" w:line="2" w:lineRule="exact"/>
        <w:rPr>
          <w:sz w:val="20"/>
          <w:szCs w:val="20"/>
          <w:color w:val="auto"/>
        </w:rPr>
      </w:pPr>
    </w:p>
    <w:p>
      <w:pPr>
        <w:ind w:right="20" w:firstLine="8"/>
        <w:spacing w:after="0" w:line="230" w:lineRule="auto"/>
        <w:tabs>
          <w:tab w:leader="none" w:pos="318"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eligible for awards under the Stock Incentive Plan, and (iii) eligible to participate in the ESP and receive other fringe benefits, in each case at a level commensurate with your position and responsibilities as determined by the Committee and subject to terms established by the Committee in its sole discretion, including in connection with any mutually agreed adjustments to your employment schedule. You understand that your outstanding award opportunities under LRPIP for the FY23-25 and FY24-26 cycles will be adjusted downward as of February 4, 2024 based on your FY25-27 LRPIP target level established by the Committee.</w:t>
      </w:r>
    </w:p>
    <w:p>
      <w:pPr>
        <w:spacing w:after="0" w:line="209" w:lineRule="exact"/>
        <w:rPr>
          <w:sz w:val="20"/>
          <w:szCs w:val="20"/>
          <w:color w:val="auto"/>
        </w:rPr>
      </w:pPr>
    </w:p>
    <w:p>
      <w:pPr>
        <w:jc w:val="both"/>
        <w:ind w:right="60" w:firstLine="648"/>
        <w:spacing w:after="0" w:line="244" w:lineRule="auto"/>
        <w:rPr>
          <w:sz w:val="20"/>
          <w:szCs w:val="20"/>
          <w:color w:val="auto"/>
        </w:rPr>
      </w:pPr>
      <w:r>
        <w:rPr>
          <w:rFonts w:ascii="Times New Roman" w:cs="Times New Roman" w:eastAsia="Times New Roman" w:hAnsi="Times New Roman"/>
          <w:sz w:val="22"/>
          <w:szCs w:val="22"/>
          <w:color w:val="auto"/>
        </w:rPr>
        <w:t>Finally, for purposes of Section 5(b) of the Employment Agreement, you agree that, unless earlier terminated or except as otherwise mutually agreed by you and TJX prior to the End Date, your employment will terminate on the End Date, and you will be entitled only to those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1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22"/>
          <w:szCs w:val="22"/>
          <w:color w:val="auto"/>
        </w:rPr>
        <w:t>benefits under Section 6(a) (“Voluntary Termination of Employment”) of the Employment Agreement.</w:t>
      </w:r>
    </w:p>
    <w:p>
      <w:pPr>
        <w:spacing w:after="0" w:line="233"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22"/>
          <w:szCs w:val="22"/>
          <w:color w:val="auto"/>
        </w:rPr>
        <w:t>Except as otherwise amended by this Letter Agreement, the Employment Agreement shall continue in full force and effect. You acknowledge and agree that your employment with TJX under the Employment Agreement shall continue from and after the date hereof in accordance with the terms of the Employment Agreement, as amended by this Letter Agreement.</w:t>
      </w:r>
    </w:p>
    <w:p>
      <w:pPr>
        <w:spacing w:after="0" w:line="187" w:lineRule="exact"/>
        <w:rPr>
          <w:sz w:val="20"/>
          <w:szCs w:val="20"/>
          <w:color w:val="auto"/>
        </w:rPr>
      </w:pPr>
    </w:p>
    <w:p>
      <w:pPr>
        <w:jc w:val="both"/>
        <w:ind w:right="160" w:firstLine="648"/>
        <w:spacing w:after="0" w:line="244" w:lineRule="auto"/>
        <w:rPr>
          <w:sz w:val="20"/>
          <w:szCs w:val="20"/>
          <w:color w:val="auto"/>
        </w:rPr>
      </w:pPr>
      <w:r>
        <w:rPr>
          <w:rFonts w:ascii="Times New Roman" w:cs="Times New Roman" w:eastAsia="Times New Roman" w:hAnsi="Times New Roman"/>
          <w:sz w:val="22"/>
          <w:szCs w:val="22"/>
          <w:color w:val="auto"/>
        </w:rPr>
        <w:t>If you agree with the foregoing, please so indicate by signing the enclosed copy of this Letter Agreement in the space indicated below and returning it to the Company, whereupon this Letter Agreement will take effect as of the date hereof. This Letter Agreement shall constitute an agreement under seal.</w:t>
      </w:r>
    </w:p>
    <w:p>
      <w:pPr>
        <w:spacing w:after="0" w:line="200" w:lineRule="exact"/>
        <w:rPr>
          <w:sz w:val="20"/>
          <w:szCs w:val="20"/>
          <w:color w:val="auto"/>
        </w:rPr>
      </w:pPr>
    </w:p>
    <w:p>
      <w:pPr>
        <w:spacing w:after="0" w:line="24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i w:val="1"/>
          <w:iCs w:val="1"/>
          <w:color w:val="auto"/>
        </w:rPr>
        <w:t>[Signature Page Follows]</w:t>
      </w:r>
    </w:p>
    <w:p>
      <w:pPr>
        <w:sectPr>
          <w:pgSz w:w="11900" w:h="16838" w:orient="portrait"/>
          <w:cols w:equalWidth="0" w:num="1">
            <w:col w:w="11000"/>
          </w:cols>
          <w:pgMar w:left="320" w:top="1152"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000"/>
          </w:cols>
          <w:pgMar w:left="320" w:top="1152" w:right="579" w:bottom="1440" w:gutter="0" w:footer="0" w:header="0"/>
          <w:type w:val="continuous"/>
        </w:sectPr>
      </w:pPr>
    </w:p>
    <w:bookmarkStart w:id="83" w:name="page84"/>
    <w:bookmarkEnd w:id="8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color w:val="auto"/>
        </w:rPr>
        <w:t>THE TJX COMPANIES, INC.</w:t>
      </w:r>
    </w:p>
    <w:p>
      <w:pPr>
        <w:spacing w:after="0" w:line="28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color w:val="auto"/>
        </w:rPr>
        <w:t>By: /s/ Ernie Herrman</w:t>
      </w:r>
    </w:p>
    <w:p>
      <w:pPr>
        <w:spacing w:after="0" w:line="3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color w:val="auto"/>
        </w:rPr>
        <w:t>Name: Ernie Herrman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3237230</wp:posOffset>
            </wp:positionH>
            <wp:positionV relativeFrom="paragraph">
              <wp:posOffset>-160020</wp:posOffset>
            </wp:positionV>
            <wp:extent cx="31718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8">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9" w:lineRule="exact"/>
        <w:rPr>
          <w:sz w:val="20"/>
          <w:szCs w:val="20"/>
          <w:color w:val="auto"/>
        </w:rPr>
      </w:pPr>
    </w:p>
    <w:p>
      <w:pPr>
        <w:jc w:val="right"/>
        <w:ind w:right="99"/>
        <w:spacing w:after="0"/>
        <w:rPr>
          <w:sz w:val="20"/>
          <w:szCs w:val="20"/>
          <w:color w:val="auto"/>
        </w:rPr>
      </w:pPr>
      <w:r>
        <w:rPr>
          <w:rFonts w:ascii="Times New Roman" w:cs="Times New Roman" w:eastAsia="Times New Roman" w:hAnsi="Times New Roman"/>
          <w:sz w:val="22"/>
          <w:szCs w:val="22"/>
          <w:color w:val="auto"/>
        </w:rPr>
        <w:t>Title: Chief Executive Officer and President</w:t>
      </w:r>
    </w:p>
    <w:p>
      <w:pPr>
        <w:spacing w:after="0" w:line="26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color w:val="auto"/>
        </w:rPr>
        <w:t>EXECUTIVE:</w:t>
      </w:r>
    </w:p>
    <w:p>
      <w:pPr>
        <w:spacing w:after="0" w:line="2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color w:val="auto"/>
        </w:rPr>
        <w:t>/s/ Scott Goldenberg 2/2/2024</w:t>
      </w:r>
    </w:p>
    <w:p>
      <w:pPr>
        <w:spacing w:after="0" w:line="1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color w:val="auto"/>
        </w:rPr>
        <w:t>Name: Scott Goldenberg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3237230</wp:posOffset>
            </wp:positionH>
            <wp:positionV relativeFrom="paragraph">
              <wp:posOffset>-160020</wp:posOffset>
            </wp:positionV>
            <wp:extent cx="31718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9">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9019"/>
          </w:cols>
          <w:pgMar w:left="1440" w:top="1440" w:right="1440"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10.17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February 2, 2024</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Ken Canestrari</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TJX Companies, Inc.</w:t>
      </w:r>
    </w:p>
    <w:p>
      <w:pPr>
        <w:spacing w:after="0" w:line="217" w:lineRule="auto"/>
        <w:rPr>
          <w:sz w:val="20"/>
          <w:szCs w:val="20"/>
          <w:color w:val="auto"/>
        </w:rPr>
      </w:pPr>
      <w:r>
        <w:rPr>
          <w:rFonts w:ascii="Times New Roman" w:cs="Times New Roman" w:eastAsia="Times New Roman" w:hAnsi="Times New Roman"/>
          <w:sz w:val="22"/>
          <w:szCs w:val="22"/>
          <w:color w:val="auto"/>
        </w:rPr>
        <w:t>770 Cochituate Road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Framingham, MA 01701</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Re: </w:t>
      </w:r>
      <w:r>
        <w:rPr>
          <w:rFonts w:ascii="Times New Roman" w:cs="Times New Roman" w:eastAsia="Times New Roman" w:hAnsi="Times New Roman"/>
          <w:sz w:val="22"/>
          <w:szCs w:val="22"/>
          <w:u w:val="single" w:color="auto"/>
          <w:color w:val="auto"/>
        </w:rPr>
        <w:t>Letter Agreement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Mr. Canestrari,</w:t>
      </w:r>
    </w:p>
    <w:p>
      <w:pPr>
        <w:spacing w:after="0" w:line="233"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2"/>
          <w:szCs w:val="22"/>
          <w:color w:val="auto"/>
        </w:rPr>
        <w:t>Reference is made to the employment agreement between you and The TJX Companies, Inc. (“TJX” or “Company”) dated February 2, 2018, as amended (the “Employment Agreement”). Subject to earlier termination as provided therein, your employment with TJX under the Employment Agreement will continue until February 3, 2024. By entering into this letter agreement with TJX (the “Letter Agreement”), you agree to extend your employment with TJX under the terms and conditions of the Employment Agreement, effective as of the date hereof, with the following modifications:</w:t>
      </w:r>
    </w:p>
    <w:p>
      <w:pPr>
        <w:spacing w:after="0" w:line="204" w:lineRule="exact"/>
        <w:rPr>
          <w:sz w:val="20"/>
          <w:szCs w:val="20"/>
          <w:color w:val="auto"/>
        </w:rPr>
      </w:pPr>
    </w:p>
    <w:p>
      <w:pPr>
        <w:ind w:left="660" w:right="620" w:hanging="328"/>
        <w:spacing w:after="0" w:line="258" w:lineRule="auto"/>
        <w:tabs>
          <w:tab w:leader="none" w:pos="66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 of the Employment Agreement is hereby amended by replacing the third-to-last sentence thereof with the following:</w:t>
      </w:r>
    </w:p>
    <w:p>
      <w:pPr>
        <w:spacing w:after="0" w:line="171" w:lineRule="exact"/>
        <w:rPr>
          <w:rFonts w:ascii="Times New Roman" w:cs="Times New Roman" w:eastAsia="Times New Roman" w:hAnsi="Times New Roman"/>
          <w:sz w:val="22"/>
          <w:szCs w:val="22"/>
          <w:color w:val="auto"/>
        </w:rPr>
      </w:pPr>
    </w:p>
    <w:p>
      <w:pPr>
        <w:ind w:left="660" w:right="760"/>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earlier termination as provided herein, Executive’s employment hereunder shall continue on the terms provided herein until January 30, 2027 (the ‘End Date’).”</w:t>
      </w:r>
    </w:p>
    <w:p>
      <w:pPr>
        <w:spacing w:after="0" w:line="18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last sentence of Section 3(a) of the Employment Agreement is hereby amended to read in its entirety as follows:</w:t>
      </w:r>
    </w:p>
    <w:p>
      <w:pPr>
        <w:spacing w:after="0" w:line="233" w:lineRule="exact"/>
        <w:rPr>
          <w:rFonts w:ascii="Times New Roman" w:cs="Times New Roman" w:eastAsia="Times New Roman" w:hAnsi="Times New Roman"/>
          <w:sz w:val="22"/>
          <w:szCs w:val="22"/>
          <w:color w:val="auto"/>
        </w:rPr>
      </w:pPr>
    </w:p>
    <w:p>
      <w:pPr>
        <w:ind w:left="660" w:right="420"/>
        <w:spacing w:after="0" w:line="28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rate at which Executive’s Base Salary shall be paid shall be $1,000,000 per year or such other rate (not less than $1,000,000 per year) as the Committee may determine after Committee review not less frequently than annually.”</w:t>
      </w:r>
    </w:p>
    <w:p>
      <w:pPr>
        <w:spacing w:after="0" w:line="162" w:lineRule="exact"/>
        <w:rPr>
          <w:sz w:val="20"/>
          <w:szCs w:val="20"/>
          <w:color w:val="auto"/>
        </w:rPr>
      </w:pPr>
    </w:p>
    <w:p>
      <w:pPr>
        <w:ind w:right="240" w:firstLine="648"/>
        <w:spacing w:after="0" w:line="244" w:lineRule="auto"/>
        <w:rPr>
          <w:sz w:val="20"/>
          <w:szCs w:val="20"/>
          <w:color w:val="auto"/>
        </w:rPr>
      </w:pPr>
      <w:r>
        <w:rPr>
          <w:rFonts w:ascii="Times New Roman" w:cs="Times New Roman" w:eastAsia="Times New Roman" w:hAnsi="Times New Roman"/>
          <w:sz w:val="22"/>
          <w:szCs w:val="22"/>
          <w:color w:val="auto"/>
        </w:rPr>
        <w:t>Except as otherwise amended by this Letter Agreement, the Employment Agreement shall continue in full force and effect. You acknowledge and agree that your employment with TJX under the Employment Agreement shall continue from and after the date hereof in accordance with the terms of the Employment Agreement, as amended by this Letter Agreement.</w:t>
      </w:r>
    </w:p>
    <w:p>
      <w:pPr>
        <w:spacing w:after="0" w:line="200" w:lineRule="exact"/>
        <w:rPr>
          <w:sz w:val="20"/>
          <w:szCs w:val="20"/>
          <w:color w:val="auto"/>
        </w:rPr>
      </w:pPr>
    </w:p>
    <w:p>
      <w:pPr>
        <w:jc w:val="both"/>
        <w:ind w:right="400" w:firstLine="648"/>
        <w:spacing w:after="0" w:line="244" w:lineRule="auto"/>
        <w:rPr>
          <w:sz w:val="20"/>
          <w:szCs w:val="20"/>
          <w:color w:val="auto"/>
        </w:rPr>
      </w:pPr>
      <w:r>
        <w:rPr>
          <w:rFonts w:ascii="Times New Roman" w:cs="Times New Roman" w:eastAsia="Times New Roman" w:hAnsi="Times New Roman"/>
          <w:sz w:val="22"/>
          <w:szCs w:val="22"/>
          <w:color w:val="auto"/>
        </w:rPr>
        <w:t>If you agree with the foregoing, please so indicate by signing the enclosed copy of this Letter Agreement in the space indicated below and returning it to the Company, whereupon this Letter Agreement will take effect as of the date hereof. This Letter Agreement shall constitute an agreement under seal.</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17" w:right="339" w:bottom="1440" w:gutter="0" w:footer="0" w:header="0"/>
        </w:sectPr>
      </w:pPr>
    </w:p>
    <w:bookmarkStart w:id="85" w:name="page86"/>
    <w:bookmarkEnd w:id="85"/>
    <w:p>
      <w:pPr>
        <w:spacing w:after="0" w:line="26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color w:val="auto"/>
        </w:rPr>
        <w:t>THE TJX COMPANIES, INC.</w:t>
      </w:r>
    </w:p>
    <w:p>
      <w:pPr>
        <w:spacing w:after="0" w:line="28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color w:val="auto"/>
        </w:rPr>
        <w:t>By: /s/ Ernie Herrman</w:t>
      </w:r>
    </w:p>
    <w:p>
      <w:pPr>
        <w:spacing w:after="0" w:line="3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color w:val="auto"/>
        </w:rPr>
        <w:t>Name: Ernie Herrman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3237230</wp:posOffset>
            </wp:positionH>
            <wp:positionV relativeFrom="paragraph">
              <wp:posOffset>-160020</wp:posOffset>
            </wp:positionV>
            <wp:extent cx="31718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70">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9" w:lineRule="exact"/>
        <w:rPr>
          <w:sz w:val="20"/>
          <w:szCs w:val="20"/>
          <w:color w:val="auto"/>
        </w:rPr>
      </w:pPr>
    </w:p>
    <w:p>
      <w:pPr>
        <w:jc w:val="right"/>
        <w:ind w:right="99"/>
        <w:spacing w:after="0"/>
        <w:rPr>
          <w:sz w:val="20"/>
          <w:szCs w:val="20"/>
          <w:color w:val="auto"/>
        </w:rPr>
      </w:pPr>
      <w:r>
        <w:rPr>
          <w:rFonts w:ascii="Times New Roman" w:cs="Times New Roman" w:eastAsia="Times New Roman" w:hAnsi="Times New Roman"/>
          <w:sz w:val="22"/>
          <w:szCs w:val="22"/>
          <w:color w:val="auto"/>
        </w:rPr>
        <w:t>Title: Chief Executive Officer and President</w:t>
      </w:r>
    </w:p>
    <w:p>
      <w:pPr>
        <w:spacing w:after="0" w:line="26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color w:val="auto"/>
        </w:rPr>
        <w:t>EXECUTIVE:</w:t>
      </w:r>
    </w:p>
    <w:p>
      <w:pPr>
        <w:spacing w:after="0" w:line="2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color w:val="auto"/>
        </w:rPr>
        <w:t>/s/ Ken Canestrari 2/2/2024</w:t>
      </w:r>
    </w:p>
    <w:p>
      <w:pPr>
        <w:spacing w:after="0" w:line="1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color w:val="auto"/>
        </w:rPr>
        <w:t>Name: Ken Canestrari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3237230</wp:posOffset>
            </wp:positionH>
            <wp:positionV relativeFrom="paragraph">
              <wp:posOffset>-160020</wp:posOffset>
            </wp:positionV>
            <wp:extent cx="31718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71">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9019"/>
          </w:cols>
          <w:pgMar w:left="1440" w:top="1440" w:right="1440"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12"/>
        <w:spacing w:after="0"/>
        <w:rPr>
          <w:sz w:val="20"/>
          <w:szCs w:val="20"/>
          <w:color w:val="auto"/>
        </w:rPr>
      </w:pPr>
      <w:r>
        <w:rPr>
          <w:rFonts w:ascii="Arial" w:cs="Arial" w:eastAsia="Arial" w:hAnsi="Arial"/>
          <w:sz w:val="20"/>
          <w:szCs w:val="20"/>
          <w:b w:val="1"/>
          <w:bCs w:val="1"/>
          <w:color w:val="auto"/>
        </w:rPr>
        <w:t>The TJX Companies, Inc.</w:t>
      </w:r>
    </w:p>
    <w:p>
      <w:pPr>
        <w:spacing w:after="0" w:line="94" w:lineRule="exact"/>
        <w:rPr>
          <w:sz w:val="20"/>
          <w:szCs w:val="20"/>
          <w:color w:val="auto"/>
        </w:rPr>
      </w:pPr>
    </w:p>
    <w:p>
      <w:pPr>
        <w:jc w:val="center"/>
        <w:ind w:right="312"/>
        <w:spacing w:after="0"/>
        <w:rPr>
          <w:sz w:val="20"/>
          <w:szCs w:val="20"/>
          <w:color w:val="auto"/>
        </w:rPr>
      </w:pPr>
      <w:r>
        <w:rPr>
          <w:rFonts w:ascii="Arial" w:cs="Arial" w:eastAsia="Arial" w:hAnsi="Arial"/>
          <w:sz w:val="20"/>
          <w:szCs w:val="20"/>
          <w:b w:val="1"/>
          <w:bCs w:val="1"/>
          <w:color w:val="auto"/>
        </w:rPr>
        <w:t>Executive Severance and Change of Control Plan</w:t>
      </w:r>
    </w:p>
    <w:p>
      <w:pPr>
        <w:spacing w:after="0" w:line="81" w:lineRule="exact"/>
        <w:rPr>
          <w:sz w:val="20"/>
          <w:szCs w:val="20"/>
          <w:color w:val="auto"/>
        </w:rPr>
      </w:pPr>
    </w:p>
    <w:p>
      <w:pPr>
        <w:jc w:val="center"/>
        <w:ind w:right="312"/>
        <w:spacing w:after="0"/>
        <w:rPr>
          <w:sz w:val="20"/>
          <w:szCs w:val="20"/>
          <w:color w:val="auto"/>
        </w:rPr>
      </w:pPr>
      <w:r>
        <w:rPr>
          <w:rFonts w:ascii="Arial" w:cs="Arial" w:eastAsia="Arial" w:hAnsi="Arial"/>
          <w:sz w:val="20"/>
          <w:szCs w:val="20"/>
          <w:b w:val="1"/>
          <w:bCs w:val="1"/>
          <w:color w:val="auto"/>
        </w:rPr>
        <w:t>effective September 19, 2022</w:t>
      </w:r>
    </w:p>
    <w:p>
      <w:pPr>
        <w:spacing w:after="0" w:line="339" w:lineRule="exact"/>
        <w:rPr>
          <w:sz w:val="20"/>
          <w:szCs w:val="20"/>
          <w:color w:val="auto"/>
        </w:rPr>
      </w:pPr>
    </w:p>
    <w:p>
      <w:pPr>
        <w:ind w:left="328" w:right="20" w:hanging="328"/>
        <w:spacing w:after="0" w:line="244" w:lineRule="auto"/>
        <w:tabs>
          <w:tab w:leader="none" w:pos="317" w:val="left"/>
        </w:tabs>
        <w:numPr>
          <w:ilvl w:val="0"/>
          <w:numId w:val="26"/>
        </w:numPr>
        <w:rPr>
          <w:rFonts w:ascii="Arial" w:cs="Arial" w:eastAsia="Arial" w:hAnsi="Arial"/>
          <w:sz w:val="20"/>
          <w:szCs w:val="20"/>
          <w:color w:val="auto"/>
        </w:rPr>
      </w:pPr>
      <w:r>
        <w:rPr>
          <w:rFonts w:ascii="Arial" w:cs="Arial" w:eastAsia="Arial" w:hAnsi="Arial"/>
          <w:sz w:val="20"/>
          <w:szCs w:val="20"/>
          <w:u w:val="single" w:color="auto"/>
          <w:color w:val="auto"/>
        </w:rPr>
        <w:t>Effective Date; Introduction</w:t>
      </w:r>
      <w:r>
        <w:rPr>
          <w:rFonts w:ascii="Arial" w:cs="Arial" w:eastAsia="Arial" w:hAnsi="Arial"/>
          <w:sz w:val="20"/>
          <w:szCs w:val="20"/>
          <w:color w:val="auto"/>
        </w:rPr>
        <w:t xml:space="preserve">. The Plan shall be in effect from and after the Effective Date until it is terminated in accordance with </w:t>
      </w:r>
      <w:r>
        <w:rPr>
          <w:rFonts w:ascii="Arial" w:cs="Arial" w:eastAsia="Arial" w:hAnsi="Arial"/>
          <w:sz w:val="20"/>
          <w:szCs w:val="20"/>
          <w:u w:val="single" w:color="auto"/>
          <w:color w:val="auto"/>
        </w:rPr>
        <w:t>Section 9</w:t>
      </w:r>
      <w:r>
        <w:rPr>
          <w:rFonts w:ascii="Arial" w:cs="Arial" w:eastAsia="Arial" w:hAnsi="Arial"/>
          <w:sz w:val="20"/>
          <w:szCs w:val="20"/>
          <w:color w:val="auto"/>
        </w:rPr>
        <w:t xml:space="preserve"> below. The purpose of the Plan is to provide certain benefits upon and following termination of employment, and/or in connection with and following a Change of Control of the Company, to eligible Participants, and to obtain or continue in force for the Employer’s benefit certain binding commitments by such Participants, as set forth in more detail below.</w:t>
      </w:r>
    </w:p>
    <w:p>
      <w:pPr>
        <w:spacing w:after="0" w:line="207" w:lineRule="exact"/>
        <w:rPr>
          <w:rFonts w:ascii="Arial" w:cs="Arial" w:eastAsia="Arial" w:hAnsi="Arial"/>
          <w:sz w:val="20"/>
          <w:szCs w:val="20"/>
          <w:color w:val="auto"/>
        </w:rPr>
      </w:pPr>
    </w:p>
    <w:p>
      <w:pPr>
        <w:ind w:left="328" w:right="20"/>
        <w:spacing w:after="0" w:line="256" w:lineRule="auto"/>
        <w:rPr>
          <w:rFonts w:ascii="Arial" w:cs="Arial" w:eastAsia="Arial" w:hAnsi="Arial"/>
          <w:sz w:val="20"/>
          <w:szCs w:val="20"/>
          <w:color w:val="auto"/>
        </w:rPr>
      </w:pPr>
      <w:r>
        <w:rPr>
          <w:rFonts w:ascii="Arial" w:cs="Arial" w:eastAsia="Arial" w:hAnsi="Arial"/>
          <w:sz w:val="19"/>
          <w:szCs w:val="19"/>
          <w:color w:val="auto"/>
        </w:rPr>
        <w:t xml:space="preserve">For the avoidance of doubt, nothing in the Plan shall be construed as affecting a Participant’s entitlement to any benefits under any tax qualified pension plan of the Employer, and any benefits provided or coverage continued under another Employer plan or program will be subject to the terms of such plan or program, as amended and in effect from time to time. For the further avoidance of doubt, nothing in the Plan shall be construed to result, whether under the Plan or any other agreement, plan or program of the Employer or to which the Employer is a party, or any combination thereof, in any duplication of any benefit. Without limiting the generality of the Administrator’s discretionary authority under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the Administrator will have complete discretion to apply the preceding “non-duplication” provision and the Administrator’s determination as to the application of this </w:t>
      </w:r>
      <w:r>
        <w:rPr>
          <w:rFonts w:ascii="Arial" w:cs="Arial" w:eastAsia="Arial" w:hAnsi="Arial"/>
          <w:sz w:val="19"/>
          <w:szCs w:val="19"/>
          <w:u w:val="single" w:color="auto"/>
          <w:color w:val="auto"/>
        </w:rPr>
        <w:t>Section 1</w:t>
      </w:r>
      <w:r>
        <w:rPr>
          <w:rFonts w:ascii="Arial" w:cs="Arial" w:eastAsia="Arial" w:hAnsi="Arial"/>
          <w:sz w:val="19"/>
          <w:szCs w:val="19"/>
          <w:color w:val="auto"/>
        </w:rPr>
        <w:t xml:space="preserve"> in any case shall be final and binding on all parties.</w:t>
      </w:r>
    </w:p>
    <w:p>
      <w:pPr>
        <w:spacing w:after="0" w:line="201" w:lineRule="exact"/>
        <w:rPr>
          <w:rFonts w:ascii="Arial" w:cs="Arial" w:eastAsia="Arial" w:hAnsi="Arial"/>
          <w:sz w:val="20"/>
          <w:szCs w:val="20"/>
          <w:color w:val="auto"/>
        </w:rPr>
      </w:pPr>
    </w:p>
    <w:p>
      <w:pPr>
        <w:ind w:left="328" w:right="260" w:hanging="328"/>
        <w:spacing w:after="0" w:line="271" w:lineRule="auto"/>
        <w:tabs>
          <w:tab w:leader="none" w:pos="317" w:val="left"/>
        </w:tabs>
        <w:numPr>
          <w:ilvl w:val="0"/>
          <w:numId w:val="26"/>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 xml:space="preserve">. Terms used in the Plan that are not otherwise defined shall have the meanings set forth in </w:t>
      </w:r>
      <w:r>
        <w:rPr>
          <w:rFonts w:ascii="Arial" w:cs="Arial" w:eastAsia="Arial" w:hAnsi="Arial"/>
          <w:sz w:val="20"/>
          <w:szCs w:val="20"/>
          <w:u w:val="single" w:color="auto"/>
          <w:color w:val="auto"/>
        </w:rPr>
        <w:t>Appendix A</w:t>
      </w:r>
      <w:r>
        <w:rPr>
          <w:rFonts w:ascii="Arial" w:cs="Arial" w:eastAsia="Arial" w:hAnsi="Arial"/>
          <w:sz w:val="20"/>
          <w:szCs w:val="20"/>
          <w:color w:val="auto"/>
        </w:rPr>
        <w:t>, the provisions of which are incorporated herein by reference.</w:t>
      </w:r>
    </w:p>
    <w:p>
      <w:pPr>
        <w:spacing w:after="0" w:line="182" w:lineRule="exact"/>
        <w:rPr>
          <w:rFonts w:ascii="Arial" w:cs="Arial" w:eastAsia="Arial" w:hAnsi="Arial"/>
          <w:sz w:val="20"/>
          <w:szCs w:val="20"/>
          <w:color w:val="auto"/>
        </w:rPr>
      </w:pPr>
    </w:p>
    <w:p>
      <w:pPr>
        <w:ind w:left="328" w:right="200" w:hanging="328"/>
        <w:spacing w:after="0" w:line="241" w:lineRule="auto"/>
        <w:tabs>
          <w:tab w:leader="none" w:pos="317" w:val="left"/>
        </w:tabs>
        <w:numPr>
          <w:ilvl w:val="0"/>
          <w:numId w:val="26"/>
        </w:numPr>
        <w:rPr>
          <w:rFonts w:ascii="Arial" w:cs="Arial" w:eastAsia="Arial" w:hAnsi="Arial"/>
          <w:sz w:val="20"/>
          <w:szCs w:val="20"/>
          <w:color w:val="auto"/>
        </w:rPr>
      </w:pPr>
      <w:r>
        <w:rPr>
          <w:rFonts w:ascii="Arial" w:cs="Arial" w:eastAsia="Arial" w:hAnsi="Arial"/>
          <w:sz w:val="20"/>
          <w:szCs w:val="20"/>
          <w:u w:val="single" w:color="auto"/>
          <w:color w:val="auto"/>
        </w:rPr>
        <w:t>Plan Administration</w:t>
      </w:r>
      <w:r>
        <w:rPr>
          <w:rFonts w:ascii="Arial" w:cs="Arial" w:eastAsia="Arial" w:hAnsi="Arial"/>
          <w:sz w:val="20"/>
          <w:szCs w:val="20"/>
          <w:color w:val="auto"/>
        </w:rPr>
        <w:t>. The Plan is intended to be a “welfare plan” as defined in Section 3(1) of ERISA that is described in Sections 201(2), 301(a)(2) and 401(a)(1) of ERISA and an unfunded “top hat” plan that is described in 29 C.F.R. §</w:t>
      </w:r>
    </w:p>
    <w:p>
      <w:pPr>
        <w:spacing w:after="0" w:line="1" w:lineRule="exact"/>
        <w:rPr>
          <w:rFonts w:ascii="Arial" w:cs="Arial" w:eastAsia="Arial" w:hAnsi="Arial"/>
          <w:sz w:val="20"/>
          <w:szCs w:val="20"/>
          <w:color w:val="auto"/>
        </w:rPr>
      </w:pPr>
    </w:p>
    <w:p>
      <w:pPr>
        <w:ind w:left="328" w:right="80"/>
        <w:spacing w:after="0" w:line="239" w:lineRule="auto"/>
        <w:rPr>
          <w:rFonts w:ascii="Arial" w:cs="Arial" w:eastAsia="Arial" w:hAnsi="Arial"/>
          <w:sz w:val="20"/>
          <w:szCs w:val="20"/>
          <w:color w:val="auto"/>
        </w:rPr>
      </w:pPr>
      <w:r>
        <w:rPr>
          <w:rFonts w:ascii="Arial" w:cs="Arial" w:eastAsia="Arial" w:hAnsi="Arial"/>
          <w:sz w:val="20"/>
          <w:szCs w:val="20"/>
          <w:color w:val="auto"/>
        </w:rPr>
        <w:t>2520.104-24 and shall be construed accordingly. The Plan shall be administered by the Administrator. No individual who is a Participant or Eligible Employee shall, or shall have any power or authority hereunder to, exercise any power or make any determination as Administrator that could affect such individual’s rights or interests under the Plan. Subject to the foregoing, the Administrator shall have the discretionary power and authority to: administer all aspects of the Plan; construe and interpret the provisions of the Plan; determine all questions arising in connection with Plan administration, including but not limited to questions regarding eligibility for or the extent of Severance Benefits; adopt such rules for Plan administration as it deems necessary or desirable; and delegate such duties as it deems necessary or desirable (and the term Administrator shall be deemed to include such delegate acting within the scope of the delegation). The Administrator shall discharge its duties and exercise its authority in its absolute discretion, on a group or case-by-case basis, and any reference in the Plan to any determination or other action by the Administrator shall mean the Administrator acting in its absolute discretion. Any determination by the Administrator shall be conclusive and binding on all persons.</w:t>
      </w:r>
    </w:p>
    <w:p>
      <w:pPr>
        <w:spacing w:after="0" w:line="200" w:lineRule="exact"/>
        <w:rPr>
          <w:sz w:val="20"/>
          <w:szCs w:val="20"/>
          <w:color w:val="auto"/>
        </w:rPr>
      </w:pPr>
    </w:p>
    <w:p>
      <w:pPr>
        <w:spacing w:after="0" w:line="317"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08"/>
          </w:cols>
          <w:pgMar w:left="652" w:top="171" w:right="339" w:bottom="1440" w:gutter="0" w:footer="0" w:header="0"/>
        </w:sectPr>
      </w:pPr>
    </w:p>
    <w:bookmarkStart w:id="87" w:name="page88"/>
    <w:bookmarkEnd w:id="87"/>
    <w:p>
      <w:pPr>
        <w:ind w:left="308" w:hanging="308"/>
        <w:spacing w:after="0"/>
        <w:tabs>
          <w:tab w:leader="none" w:pos="308" w:val="left"/>
        </w:tabs>
        <w:numPr>
          <w:ilvl w:val="0"/>
          <w:numId w:val="27"/>
        </w:numPr>
        <w:rPr>
          <w:rFonts w:ascii="Arial" w:cs="Arial" w:eastAsia="Arial" w:hAnsi="Arial"/>
          <w:sz w:val="20"/>
          <w:szCs w:val="20"/>
          <w:color w:val="auto"/>
        </w:rPr>
      </w:pPr>
      <w:r>
        <w:rPr>
          <w:rFonts w:ascii="Arial" w:cs="Arial" w:eastAsia="Arial" w:hAnsi="Arial"/>
          <w:sz w:val="20"/>
          <w:szCs w:val="20"/>
          <w:u w:val="single" w:color="auto"/>
          <w:color w:val="auto"/>
        </w:rPr>
        <w:t>General Release; Separation Agreement; Notice of Resignation or Retirement</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ind w:left="968" w:right="360" w:hanging="320"/>
        <w:spacing w:after="0" w:line="242" w:lineRule="auto"/>
        <w:tabs>
          <w:tab w:leader="none" w:pos="967" w:val="left"/>
        </w:tabs>
        <w:numPr>
          <w:ilvl w:val="1"/>
          <w:numId w:val="27"/>
        </w:numPr>
        <w:rPr>
          <w:rFonts w:ascii="Arial" w:cs="Arial" w:eastAsia="Arial" w:hAnsi="Arial"/>
          <w:sz w:val="20"/>
          <w:szCs w:val="20"/>
          <w:color w:val="auto"/>
        </w:rPr>
      </w:pPr>
      <w:r>
        <w:rPr>
          <w:rFonts w:ascii="Arial" w:cs="Arial" w:eastAsia="Arial" w:hAnsi="Arial"/>
          <w:sz w:val="20"/>
          <w:szCs w:val="20"/>
          <w:color w:val="auto"/>
        </w:rPr>
        <w:t>Any obligation of the Employer to provide Severance Benefits (except for such amounts that are accrued and vested prior to the Date of Termination, as determined by the Administrator), and any vesting or settlement of compensation or benefits in connection with the Participant’s termination of employment for any reason (as determined by the Administrator), are expressly conditioned on the Participant’s execution and delivery to the Company of an effective general release of claims (in a form satisfactory to the Administrator) as to which all applicable rights of revocation shall have expired prior to the sixtieth (60th) calendar day following the Date of Termination.</w:t>
      </w:r>
    </w:p>
    <w:p>
      <w:pPr>
        <w:spacing w:after="0" w:line="212" w:lineRule="exact"/>
        <w:rPr>
          <w:rFonts w:ascii="Arial" w:cs="Arial" w:eastAsia="Arial" w:hAnsi="Arial"/>
          <w:sz w:val="20"/>
          <w:szCs w:val="20"/>
          <w:color w:val="auto"/>
        </w:rPr>
      </w:pPr>
    </w:p>
    <w:p>
      <w:pPr>
        <w:ind w:left="968" w:right="240" w:hanging="320"/>
        <w:spacing w:after="0" w:line="243" w:lineRule="auto"/>
        <w:tabs>
          <w:tab w:leader="none" w:pos="967" w:val="left"/>
        </w:tabs>
        <w:numPr>
          <w:ilvl w:val="1"/>
          <w:numId w:val="27"/>
        </w:numPr>
        <w:rPr>
          <w:rFonts w:ascii="Arial" w:cs="Arial" w:eastAsia="Arial" w:hAnsi="Arial"/>
          <w:sz w:val="20"/>
          <w:szCs w:val="20"/>
          <w:color w:val="auto"/>
        </w:rPr>
      </w:pPr>
      <w:r>
        <w:rPr>
          <w:rFonts w:ascii="Arial" w:cs="Arial" w:eastAsia="Arial" w:hAnsi="Arial"/>
          <w:sz w:val="20"/>
          <w:szCs w:val="20"/>
          <w:color w:val="auto"/>
        </w:rPr>
        <w:t>In addition, as a precondition to the payment of any Severance Benefits (except for such amounts that are accrued and vested prior to the Date of Termination, as determined by the Administrator), the Participant (or, in the event of the Participant’s death, the legal representatives of the Participant’s estate) shall be required to execute, and not revoke, a separation agreement or similar agreement confirming the terms and conditions of such Severance Benefits, including, without limitation, any applicable restrictive covenants, in such form as the Administrator may determine.</w:t>
      </w:r>
    </w:p>
    <w:p>
      <w:pPr>
        <w:spacing w:after="0" w:line="209" w:lineRule="exact"/>
        <w:rPr>
          <w:rFonts w:ascii="Arial" w:cs="Arial" w:eastAsia="Arial" w:hAnsi="Arial"/>
          <w:sz w:val="20"/>
          <w:szCs w:val="20"/>
          <w:color w:val="auto"/>
        </w:rPr>
      </w:pPr>
    </w:p>
    <w:p>
      <w:pPr>
        <w:ind w:left="968" w:hanging="320"/>
        <w:spacing w:after="0" w:line="243" w:lineRule="auto"/>
        <w:tabs>
          <w:tab w:leader="none" w:pos="956" w:val="left"/>
        </w:tabs>
        <w:numPr>
          <w:ilvl w:val="1"/>
          <w:numId w:val="27"/>
        </w:numPr>
        <w:rPr>
          <w:rFonts w:ascii="Arial" w:cs="Arial" w:eastAsia="Arial" w:hAnsi="Arial"/>
          <w:sz w:val="20"/>
          <w:szCs w:val="20"/>
          <w:color w:val="auto"/>
        </w:rPr>
      </w:pPr>
      <w:r>
        <w:rPr>
          <w:rFonts w:ascii="Arial" w:cs="Arial" w:eastAsia="Arial" w:hAnsi="Arial"/>
          <w:sz w:val="20"/>
          <w:szCs w:val="20"/>
          <w:color w:val="auto"/>
        </w:rPr>
        <w:t>A Participant may resign or retire from employment with the Employer by providing no less than four (4) weeks’ written notice to the Company of the Participant’s decision to resign or retire. Any such notice must be mailed to the Company at 770 Cochituate Road, Framingham, Massachusetts 01701, Attention: Chair of the Compensation Committee, or other such address as the Company may designate to the Participant, with a copy to: TJX General Counsel at the same address. The Company may waive the requirement of prior notice at its discretion, in whole or in part, without any further obligation to the Participant.</w:t>
      </w:r>
    </w:p>
    <w:p>
      <w:pPr>
        <w:spacing w:after="0" w:line="209" w:lineRule="exact"/>
        <w:rPr>
          <w:rFonts w:ascii="Arial" w:cs="Arial" w:eastAsia="Arial" w:hAnsi="Arial"/>
          <w:sz w:val="20"/>
          <w:szCs w:val="20"/>
          <w:color w:val="auto"/>
        </w:rPr>
      </w:pPr>
    </w:p>
    <w:p>
      <w:pPr>
        <w:ind w:left="308" w:hanging="308"/>
        <w:spacing w:after="0"/>
        <w:tabs>
          <w:tab w:leader="none" w:pos="308" w:val="left"/>
        </w:tabs>
        <w:numPr>
          <w:ilvl w:val="0"/>
          <w:numId w:val="27"/>
        </w:numPr>
        <w:rPr>
          <w:rFonts w:ascii="Arial" w:cs="Arial" w:eastAsia="Arial" w:hAnsi="Arial"/>
          <w:sz w:val="20"/>
          <w:szCs w:val="20"/>
          <w:color w:val="auto"/>
        </w:rPr>
      </w:pPr>
      <w:r>
        <w:rPr>
          <w:rFonts w:ascii="Arial" w:cs="Arial" w:eastAsia="Arial" w:hAnsi="Arial"/>
          <w:sz w:val="20"/>
          <w:szCs w:val="20"/>
          <w:u w:val="single" w:color="auto"/>
          <w:color w:val="auto"/>
        </w:rPr>
        <w:t>Termination Benefits</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ind w:left="968" w:right="20" w:hanging="320"/>
        <w:spacing w:after="0" w:line="241" w:lineRule="auto"/>
        <w:tabs>
          <w:tab w:leader="none" w:pos="967" w:val="left"/>
        </w:tabs>
        <w:numPr>
          <w:ilvl w:val="1"/>
          <w:numId w:val="27"/>
        </w:numPr>
        <w:rPr>
          <w:rFonts w:ascii="Arial" w:cs="Arial" w:eastAsia="Arial" w:hAnsi="Arial"/>
          <w:sz w:val="20"/>
          <w:szCs w:val="20"/>
          <w:color w:val="auto"/>
        </w:rPr>
      </w:pPr>
      <w:r>
        <w:rPr>
          <w:rFonts w:ascii="Arial" w:cs="Arial" w:eastAsia="Arial" w:hAnsi="Arial"/>
          <w:sz w:val="20"/>
          <w:szCs w:val="20"/>
          <w:i w:val="1"/>
          <w:iCs w:val="1"/>
          <w:color w:val="auto"/>
        </w:rPr>
        <w:t xml:space="preserve">Voluntary termination of employment. </w:t>
      </w:r>
      <w:r>
        <w:rPr>
          <w:rFonts w:ascii="Arial" w:cs="Arial" w:eastAsia="Arial" w:hAnsi="Arial"/>
          <w:sz w:val="20"/>
          <w:szCs w:val="20"/>
          <w:color w:val="auto"/>
        </w:rPr>
        <w:t>In the event of a Participant’s retirement or other voluntary termination of</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employment, the Participant will be eligible to receive the following benefits, in each case in accordance with and subject to the terms of the applicable arrangement and further subject, for the avoidance of doubt and as applicable, to the provisions of the Plan (including, without limitation, </w:t>
      </w:r>
      <w:r>
        <w:rPr>
          <w:rFonts w:ascii="Arial" w:cs="Arial" w:eastAsia="Arial" w:hAnsi="Arial"/>
          <w:sz w:val="20"/>
          <w:szCs w:val="20"/>
          <w:u w:val="single" w:color="auto"/>
          <w:color w:val="auto"/>
        </w:rPr>
        <w:t>Section 4</w:t>
      </w:r>
      <w:r>
        <w:rPr>
          <w:rFonts w:ascii="Arial" w:cs="Arial" w:eastAsia="Arial" w:hAnsi="Arial"/>
          <w:sz w:val="20"/>
          <w:szCs w:val="20"/>
          <w:color w:val="auto"/>
        </w:rPr>
        <w:t>) and to the Participant’s full and continuing compliance with his or her obligations under the Obligations Agreement: (i) earned but unpaid Base Salary and accrued but unpaid vacation pay, in each case as of the Date of Termination; (ii) earned but unpaid amounts under MIP and LRPIP for performance periods that closed prior to the Date of Termination, and any LRPIP amounts to which the Participant may be entitled in connection with a Special Service Retirement (as defined in the Stock Incentive Plan); (iii) any benefits under any outstanding awards under the Stock Incentive Plan, in accordance with and subject to award and plan terms, including any benefits in connection with a Special Service Retirement (as defined in the Stock</w:t>
      </w:r>
    </w:p>
    <w:p>
      <w:pPr>
        <w:spacing w:after="0" w:line="200" w:lineRule="exact"/>
        <w:rPr>
          <w:sz w:val="20"/>
          <w:szCs w:val="20"/>
          <w:color w:val="auto"/>
        </w:rPr>
      </w:pPr>
    </w:p>
    <w:p>
      <w:pPr>
        <w:spacing w:after="0" w:line="313"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88"/>
          </w:cols>
          <w:pgMar w:left="652" w:top="361" w:right="359" w:bottom="1440" w:gutter="0" w:footer="0" w:header="0"/>
        </w:sectPr>
      </w:pPr>
    </w:p>
    <w:bookmarkStart w:id="88" w:name="page89"/>
    <w:bookmarkEnd w:id="88"/>
    <w:p>
      <w:pPr>
        <w:ind w:left="320" w:right="220"/>
        <w:spacing w:after="0" w:line="242" w:lineRule="auto"/>
        <w:rPr>
          <w:sz w:val="20"/>
          <w:szCs w:val="20"/>
          <w:color w:val="auto"/>
        </w:rPr>
      </w:pPr>
      <w:r>
        <w:rPr>
          <w:rFonts w:ascii="Arial" w:cs="Arial" w:eastAsia="Arial" w:hAnsi="Arial"/>
          <w:sz w:val="20"/>
          <w:szCs w:val="20"/>
          <w:color w:val="auto"/>
        </w:rPr>
        <w:t>Incentive Plan); and (iv) any vested benefits under the Company’s deferred compensation plans, including ESP and SERP (if the Participant is eligible), and under tax-qualified retirement and savings plans for Company employees, to the extent applicable. A Participant will not otherwise be entitled to continue participation in any employee benefit or fringe benefit plan following such a termination, except as expressly provided above or as required by law, and a Participant will not be eligible for group health plan coverage continuation, except under COBRA or as required by law. No Severance Benefits, or other compensation or benefits from the Employer, shall be paid upon retirement or other termination of employment.</w:t>
      </w:r>
    </w:p>
    <w:p>
      <w:pPr>
        <w:spacing w:after="0" w:line="213" w:lineRule="exact"/>
        <w:rPr>
          <w:sz w:val="20"/>
          <w:szCs w:val="20"/>
          <w:color w:val="auto"/>
        </w:rPr>
      </w:pPr>
    </w:p>
    <w:p>
      <w:pPr>
        <w:ind w:left="320" w:hanging="320"/>
        <w:spacing w:after="0" w:line="252" w:lineRule="auto"/>
        <w:tabs>
          <w:tab w:leader="none" w:pos="319" w:val="left"/>
        </w:tabs>
        <w:numPr>
          <w:ilvl w:val="0"/>
          <w:numId w:val="28"/>
        </w:numPr>
        <w:rPr>
          <w:rFonts w:ascii="Arial" w:cs="Arial" w:eastAsia="Arial" w:hAnsi="Arial"/>
          <w:sz w:val="19"/>
          <w:szCs w:val="19"/>
          <w:color w:val="auto"/>
        </w:rPr>
      </w:pPr>
      <w:r>
        <w:rPr>
          <w:rFonts w:ascii="Arial" w:cs="Arial" w:eastAsia="Arial" w:hAnsi="Arial"/>
          <w:sz w:val="19"/>
          <w:szCs w:val="19"/>
          <w:i w:val="1"/>
          <w:iCs w:val="1"/>
          <w:color w:val="auto"/>
        </w:rPr>
        <w:t xml:space="preserve">Termination for Cause. </w:t>
      </w:r>
      <w:r>
        <w:rPr>
          <w:rFonts w:ascii="Arial" w:cs="Arial" w:eastAsia="Arial" w:hAnsi="Arial"/>
          <w:sz w:val="19"/>
          <w:szCs w:val="19"/>
          <w:color w:val="auto"/>
        </w:rPr>
        <w:t>In the event of a termination by the Employer of the Participant’s employment for Cause,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the Participant shall not be entitled to any Severance Benefits or any other compensation or benefits from the Employer, other than (i) earned but unpaid Base Salary and accrued but unpaid vacation pay, in each case as of the Date of Termination; (ii) any vested benefits under any outstanding awards under the Stock Incentive Plan; and (iii) any vested benefits under the Company’s deferred compensation plans, including ESP and SERP (if the Participant is eligible), and under tax-qualified retirement and savings plans for Company employees, to the extent applicable, in each case in accordance with and subject to the terms (including, without limitation, any forfeiture terms) of the applicable arrangement and further subject, for the avoidance of doubt and as applicable, to the provisions of the Plan (including, without limitation,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and to the Participant’s full and continuing compliance with his or her obligations under the Obligations Agreement. In addition and notwithstanding anything to the contrary in the Plan or the terms of the applicable plan, program or arrangement, if the Employer should terminate a Participant’s employment for Cause, but not on a basis that includes a breach described in clause (vi) of the definition of Cause, the Participant will retain the right to receive any vested benefit, if any, under the SERP; any vested Employer Credit Account (as such term is defined in the ESP) under the ESP; and any then-vested stock options under the Stock Incentive Plan, in each case determined in accordance with the applicable plan, program or arrangement but disregarding any provision under such plan, program or arrangement that would provide for forfeiture upon a termination for cause (collectively, “Specified Accrued Benefits”); provided, for the avoidance of doubt, that the Participant’s right to receive or retain Specified Accrued Benefits following a termination of employment for any reason is conditioned upon full and continuing compliance with his or her obligations under the Obligations Agreement (and under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of the Plan, if applicable), and that if the Employer should terminate the Participant’s employment for Cause on a basis that included a breach described in clause (vi) of the definition of Cause, the Participant will not be entitled to receive or retain any Specified Accrued Benefits. The Company does not waive any rights it may have for damages or for injunctive relief or any rights it may have with respect to the forfeiture or recovery of compensation under the Obligations Agreement (and under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of the Plan, if applicable), or otherwise under applicable Employer policies or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60"/>
          </w:cols>
          <w:pgMar w:left="1300" w:top="361" w:right="339" w:bottom="1440" w:gutter="0" w:footer="0" w:header="0"/>
        </w:sectPr>
      </w:pPr>
    </w:p>
    <w:bookmarkStart w:id="89" w:name="page90"/>
    <w:bookmarkEnd w:id="89"/>
    <w:p>
      <w:pPr>
        <w:ind w:left="308" w:hanging="308"/>
        <w:spacing w:after="0"/>
        <w:tabs>
          <w:tab w:leader="none" w:pos="308" w:val="left"/>
        </w:tabs>
        <w:numPr>
          <w:ilvl w:val="0"/>
          <w:numId w:val="29"/>
        </w:numPr>
        <w:rPr>
          <w:rFonts w:ascii="Arial" w:cs="Arial" w:eastAsia="Arial" w:hAnsi="Arial"/>
          <w:sz w:val="20"/>
          <w:szCs w:val="20"/>
          <w:color w:val="auto"/>
        </w:rPr>
      </w:pPr>
      <w:r>
        <w:rPr>
          <w:rFonts w:ascii="Arial" w:cs="Arial" w:eastAsia="Arial" w:hAnsi="Arial"/>
          <w:sz w:val="20"/>
          <w:szCs w:val="20"/>
          <w:u w:val="single" w:color="auto"/>
          <w:color w:val="auto"/>
        </w:rPr>
        <w:t>Severance and Change of Control Benefits</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ind w:left="968" w:right="120" w:hanging="320"/>
        <w:spacing w:after="0" w:line="245" w:lineRule="auto"/>
        <w:tabs>
          <w:tab w:leader="none" w:pos="967" w:val="left"/>
        </w:tabs>
        <w:numPr>
          <w:ilvl w:val="1"/>
          <w:numId w:val="29"/>
        </w:numPr>
        <w:rPr>
          <w:rFonts w:ascii="Arial" w:cs="Arial" w:eastAsia="Arial" w:hAnsi="Arial"/>
          <w:sz w:val="20"/>
          <w:szCs w:val="20"/>
          <w:color w:val="auto"/>
        </w:rPr>
      </w:pPr>
      <w:r>
        <w:rPr>
          <w:rFonts w:ascii="Arial" w:cs="Arial" w:eastAsia="Arial" w:hAnsi="Arial"/>
          <w:sz w:val="20"/>
          <w:szCs w:val="20"/>
          <w:i w:val="1"/>
          <w:iCs w:val="1"/>
          <w:color w:val="auto"/>
        </w:rPr>
        <w:t>Qualifying Termination</w:t>
      </w:r>
      <w:r>
        <w:rPr>
          <w:rFonts w:ascii="Arial" w:cs="Arial" w:eastAsia="Arial" w:hAnsi="Arial"/>
          <w:sz w:val="20"/>
          <w:szCs w:val="20"/>
          <w:color w:val="auto"/>
        </w:rPr>
        <w:t>. In the event of a Participant’s Qualifying Termination that is not a CoC Qualifying</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Termination, the Participant (or, in the event of his or her death, his or her estate) shall be eligible for the Severance Benefits set forth on the </w:t>
      </w:r>
      <w:r>
        <w:rPr>
          <w:rFonts w:ascii="Arial" w:cs="Arial" w:eastAsia="Arial" w:hAnsi="Arial"/>
          <w:sz w:val="20"/>
          <w:szCs w:val="20"/>
          <w:u w:val="single" w:color="auto"/>
          <w:color w:val="auto"/>
        </w:rPr>
        <w:t>Appendix C</w:t>
      </w:r>
      <w:r>
        <w:rPr>
          <w:rFonts w:ascii="Arial" w:cs="Arial" w:eastAsia="Arial" w:hAnsi="Arial"/>
          <w:sz w:val="20"/>
          <w:szCs w:val="20"/>
          <w:color w:val="auto"/>
        </w:rPr>
        <w:t xml:space="preserve"> schedule applicable to the Participant, subject in all cases to the terms of the Plan, including, without limitation, </w:t>
      </w:r>
      <w:r>
        <w:rPr>
          <w:rFonts w:ascii="Arial" w:cs="Arial" w:eastAsia="Arial" w:hAnsi="Arial"/>
          <w:sz w:val="20"/>
          <w:szCs w:val="20"/>
          <w:u w:val="single" w:color="auto"/>
          <w:color w:val="auto"/>
        </w:rPr>
        <w:t>Section 4</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8</w:t>
      </w:r>
      <w:r>
        <w:rPr>
          <w:rFonts w:ascii="Arial" w:cs="Arial" w:eastAsia="Arial" w:hAnsi="Arial"/>
          <w:sz w:val="20"/>
          <w:szCs w:val="20"/>
          <w:color w:val="auto"/>
        </w:rPr>
        <w:t>.</w:t>
      </w:r>
    </w:p>
    <w:p>
      <w:pPr>
        <w:spacing w:after="0" w:line="208" w:lineRule="exact"/>
        <w:rPr>
          <w:rFonts w:ascii="Arial" w:cs="Arial" w:eastAsia="Arial" w:hAnsi="Arial"/>
          <w:sz w:val="20"/>
          <w:szCs w:val="20"/>
          <w:color w:val="auto"/>
        </w:rPr>
      </w:pPr>
    </w:p>
    <w:p>
      <w:pPr>
        <w:ind w:left="968" w:hanging="320"/>
        <w:spacing w:after="0"/>
        <w:tabs>
          <w:tab w:leader="none" w:pos="968" w:val="left"/>
        </w:tabs>
        <w:numPr>
          <w:ilvl w:val="1"/>
          <w:numId w:val="29"/>
        </w:numPr>
        <w:rPr>
          <w:rFonts w:ascii="Arial" w:cs="Arial" w:eastAsia="Arial" w:hAnsi="Arial"/>
          <w:sz w:val="20"/>
          <w:szCs w:val="20"/>
          <w:color w:val="auto"/>
        </w:rPr>
      </w:pPr>
      <w:r>
        <w:rPr>
          <w:rFonts w:ascii="Arial" w:cs="Arial" w:eastAsia="Arial" w:hAnsi="Arial"/>
          <w:sz w:val="20"/>
          <w:szCs w:val="20"/>
          <w:i w:val="1"/>
          <w:iCs w:val="1"/>
          <w:color w:val="auto"/>
        </w:rPr>
        <w:t>Change of Control</w:t>
      </w:r>
      <w:r>
        <w:rPr>
          <w:rFonts w:ascii="Arial" w:cs="Arial" w:eastAsia="Arial" w:hAnsi="Arial"/>
          <w:sz w:val="20"/>
          <w:szCs w:val="20"/>
          <w:color w:val="auto"/>
        </w:rPr>
        <w:t>. Upon the occurrence of a Change of Control during the Participant’s Employment Period:</w:t>
      </w:r>
    </w:p>
    <w:p>
      <w:pPr>
        <w:spacing w:after="0" w:line="17" w:lineRule="exact"/>
        <w:rPr>
          <w:rFonts w:ascii="Arial" w:cs="Arial" w:eastAsia="Arial" w:hAnsi="Arial"/>
          <w:sz w:val="20"/>
          <w:szCs w:val="20"/>
          <w:color w:val="auto"/>
        </w:rPr>
      </w:pPr>
    </w:p>
    <w:p>
      <w:pPr>
        <w:ind w:left="1628" w:right="100" w:hanging="508"/>
        <w:spacing w:after="0" w:line="239" w:lineRule="auto"/>
        <w:tabs>
          <w:tab w:leader="none" w:pos="1628" w:val="left"/>
        </w:tabs>
        <w:numPr>
          <w:ilvl w:val="2"/>
          <w:numId w:val="29"/>
        </w:numPr>
        <w:rPr>
          <w:rFonts w:ascii="Arial" w:cs="Arial" w:eastAsia="Arial" w:hAnsi="Arial"/>
          <w:sz w:val="20"/>
          <w:szCs w:val="20"/>
          <w:color w:val="auto"/>
        </w:rPr>
      </w:pPr>
      <w:r>
        <w:rPr>
          <w:rFonts w:ascii="Arial" w:cs="Arial" w:eastAsia="Arial" w:hAnsi="Arial"/>
          <w:sz w:val="20"/>
          <w:szCs w:val="20"/>
          <w:color w:val="auto"/>
        </w:rPr>
        <w:t>Outstanding equity awards granted by the Company, if any, and held by the Participant shall be treated in accordance with and subject to award and plan terms.</w:t>
      </w:r>
    </w:p>
    <w:p>
      <w:pPr>
        <w:ind w:left="1628" w:hanging="552"/>
        <w:spacing w:after="0" w:line="234" w:lineRule="auto"/>
        <w:tabs>
          <w:tab w:leader="none" w:pos="1628" w:val="left"/>
        </w:tabs>
        <w:numPr>
          <w:ilvl w:val="2"/>
          <w:numId w:val="29"/>
        </w:numPr>
        <w:rPr>
          <w:rFonts w:ascii="Arial" w:cs="Arial" w:eastAsia="Arial" w:hAnsi="Arial"/>
          <w:sz w:val="20"/>
          <w:szCs w:val="20"/>
          <w:color w:val="auto"/>
        </w:rPr>
      </w:pPr>
      <w:r>
        <w:rPr>
          <w:rFonts w:ascii="Arial" w:cs="Arial" w:eastAsia="Arial" w:hAnsi="Arial"/>
          <w:sz w:val="20"/>
          <w:szCs w:val="20"/>
          <w:color w:val="auto"/>
        </w:rPr>
        <w:t xml:space="preserve">The agreements by the Participant not to compete with the Employer following termination of employment, under the terms of the Participant’s Obligations Agreement and </w:t>
      </w:r>
      <w:r>
        <w:rPr>
          <w:rFonts w:ascii="Arial" w:cs="Arial" w:eastAsia="Arial" w:hAnsi="Arial"/>
          <w:sz w:val="20"/>
          <w:szCs w:val="20"/>
          <w:u w:val="single" w:color="auto"/>
          <w:color w:val="auto"/>
        </w:rPr>
        <w:t>Section 8</w:t>
      </w:r>
      <w:r>
        <w:rPr>
          <w:rFonts w:ascii="Arial" w:cs="Arial" w:eastAsia="Arial" w:hAnsi="Arial"/>
          <w:sz w:val="20"/>
          <w:szCs w:val="20"/>
          <w:color w:val="auto"/>
        </w:rPr>
        <w:t xml:space="preserve"> of the Plan, shall no longer be effective following a Change of Control.</w:t>
      </w:r>
    </w:p>
    <w:p>
      <w:pPr>
        <w:spacing w:after="0" w:line="2" w:lineRule="exact"/>
        <w:rPr>
          <w:rFonts w:ascii="Arial" w:cs="Arial" w:eastAsia="Arial" w:hAnsi="Arial"/>
          <w:sz w:val="20"/>
          <w:szCs w:val="20"/>
          <w:color w:val="auto"/>
        </w:rPr>
      </w:pPr>
    </w:p>
    <w:p>
      <w:pPr>
        <w:ind w:left="1628" w:right="100" w:hanging="595"/>
        <w:spacing w:after="0" w:line="239" w:lineRule="auto"/>
        <w:tabs>
          <w:tab w:leader="none" w:pos="1628" w:val="left"/>
        </w:tabs>
        <w:numPr>
          <w:ilvl w:val="2"/>
          <w:numId w:val="29"/>
        </w:numPr>
        <w:rPr>
          <w:rFonts w:ascii="Arial" w:cs="Arial" w:eastAsia="Arial" w:hAnsi="Arial"/>
          <w:sz w:val="20"/>
          <w:szCs w:val="20"/>
          <w:color w:val="auto"/>
        </w:rPr>
      </w:pPr>
      <w:r>
        <w:rPr>
          <w:rFonts w:ascii="Arial" w:cs="Arial" w:eastAsia="Arial" w:hAnsi="Arial"/>
          <w:sz w:val="20"/>
          <w:szCs w:val="20"/>
          <w:color w:val="auto"/>
        </w:rPr>
        <w:t>The Company shall pay reasonable legal fees incurred by the Participant in asserting that the termination of his or her employment was a CoC Qualifying Termination or in obtaining any right or benefit to which the Participant is entitled under the Plan following a Change of Control. The Participant is entitled to interest (reasonably determined by the Company) on amounts payable under the Plan that are not paid when due.</w:t>
      </w:r>
    </w:p>
    <w:p>
      <w:pPr>
        <w:spacing w:after="0" w:line="2" w:lineRule="exact"/>
        <w:rPr>
          <w:rFonts w:ascii="Arial" w:cs="Arial" w:eastAsia="Arial" w:hAnsi="Arial"/>
          <w:sz w:val="20"/>
          <w:szCs w:val="20"/>
          <w:color w:val="auto"/>
        </w:rPr>
      </w:pPr>
    </w:p>
    <w:p>
      <w:pPr>
        <w:ind w:left="1628" w:hanging="607"/>
        <w:spacing w:after="0" w:line="237" w:lineRule="auto"/>
        <w:tabs>
          <w:tab w:leader="none" w:pos="1628" w:val="left"/>
        </w:tabs>
        <w:numPr>
          <w:ilvl w:val="2"/>
          <w:numId w:val="29"/>
        </w:numPr>
        <w:rPr>
          <w:rFonts w:ascii="Arial" w:cs="Arial" w:eastAsia="Arial" w:hAnsi="Arial"/>
          <w:sz w:val="20"/>
          <w:szCs w:val="20"/>
          <w:color w:val="auto"/>
        </w:rPr>
      </w:pPr>
      <w:r>
        <w:rPr>
          <w:rFonts w:ascii="Arial" w:cs="Arial" w:eastAsia="Arial" w:hAnsi="Arial"/>
          <w:sz w:val="20"/>
          <w:szCs w:val="20"/>
          <w:color w:val="auto"/>
        </w:rPr>
        <w:t xml:space="preserve">Payments described under </w:t>
      </w:r>
      <w:r>
        <w:rPr>
          <w:rFonts w:ascii="Arial" w:cs="Arial" w:eastAsia="Arial" w:hAnsi="Arial"/>
          <w:sz w:val="20"/>
          <w:szCs w:val="20"/>
          <w:u w:val="single" w:color="auto"/>
          <w:color w:val="auto"/>
        </w:rPr>
        <w:t>Sections 6(b)</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(c)</w:t>
      </w:r>
      <w:r>
        <w:rPr>
          <w:rFonts w:ascii="Arial" w:cs="Arial" w:eastAsia="Arial" w:hAnsi="Arial"/>
          <w:sz w:val="20"/>
          <w:szCs w:val="20"/>
          <w:color w:val="auto"/>
        </w:rPr>
        <w:t xml:space="preserve"> of the Plan are made without regard to Sections 280G or 4999 of the Code, except that if the Participant’s total after-tax payments would be increased by a reduction of payments or benefits under the </w:t>
      </w:r>
      <w:r>
        <w:rPr>
          <w:rFonts w:ascii="Arial" w:cs="Arial" w:eastAsia="Arial" w:hAnsi="Arial"/>
          <w:sz w:val="20"/>
          <w:szCs w:val="20"/>
          <w:u w:val="single" w:color="auto"/>
          <w:color w:val="auto"/>
        </w:rPr>
        <w:t>Appendix D</w:t>
      </w:r>
      <w:r>
        <w:rPr>
          <w:rFonts w:ascii="Arial" w:cs="Arial" w:eastAsia="Arial" w:hAnsi="Arial"/>
          <w:sz w:val="20"/>
          <w:szCs w:val="20"/>
          <w:color w:val="auto"/>
        </w:rPr>
        <w:t xml:space="preserve"> schedule applicable to the Participant and/or under </w:t>
      </w:r>
      <w:r>
        <w:rPr>
          <w:rFonts w:ascii="Arial" w:cs="Arial" w:eastAsia="Arial" w:hAnsi="Arial"/>
          <w:sz w:val="20"/>
          <w:szCs w:val="20"/>
          <w:u w:val="single" w:color="auto"/>
          <w:color w:val="auto"/>
        </w:rPr>
        <w:t>Sections 6(b)</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(c)</w:t>
      </w:r>
      <w:r>
        <w:rPr>
          <w:rFonts w:ascii="Arial" w:cs="Arial" w:eastAsia="Arial" w:hAnsi="Arial"/>
          <w:sz w:val="20"/>
          <w:szCs w:val="20"/>
          <w:color w:val="auto"/>
        </w:rPr>
        <w:t xml:space="preserve"> of the Plan, or by the adjustment to the vesting of any equity-based or other awards that would otherwise accelerate in connection with the Change of Control or a termination of employment in connection with the Change of Control, such reduction and/or adjustment shall be made to the extent necessary to maximize the Participant’s total after-tax payments. After-tax payments shall be determined after reduction for U.S. federal taxes, including the excise tax under Section 4999 of the Code. Any required reduction or adjustment shall be applied in the following order: Severance Benefits payable in cash, vesting of any equity-based awards, and any other payments or benefits. The Company shall engage PricewaterhouseCoopers LLP (or other firm designated by the Committee) to make the calculations described in this section. Overpayments or underpayments, as determined by the accounting firm, shall be paid to the Participant or refunded to the Employer, with interest (determined under Section 280G of the Code), within 30 days of the determination.</w:t>
      </w:r>
    </w:p>
    <w:p>
      <w:pPr>
        <w:spacing w:after="0" w:line="6" w:lineRule="exact"/>
        <w:rPr>
          <w:rFonts w:ascii="Arial" w:cs="Arial" w:eastAsia="Arial" w:hAnsi="Arial"/>
          <w:sz w:val="20"/>
          <w:szCs w:val="20"/>
          <w:color w:val="auto"/>
        </w:rPr>
      </w:pPr>
    </w:p>
    <w:p>
      <w:pPr>
        <w:ind w:left="1628" w:right="300" w:hanging="563"/>
        <w:spacing w:after="0" w:line="253" w:lineRule="auto"/>
        <w:tabs>
          <w:tab w:leader="none" w:pos="1628" w:val="left"/>
        </w:tabs>
        <w:numPr>
          <w:ilvl w:val="2"/>
          <w:numId w:val="29"/>
        </w:numPr>
        <w:rPr>
          <w:rFonts w:ascii="Arial" w:cs="Arial" w:eastAsia="Arial" w:hAnsi="Arial"/>
          <w:sz w:val="20"/>
          <w:szCs w:val="20"/>
          <w:color w:val="auto"/>
        </w:rPr>
      </w:pPr>
      <w:r>
        <w:rPr>
          <w:rFonts w:ascii="Arial" w:cs="Arial" w:eastAsia="Arial" w:hAnsi="Arial"/>
          <w:sz w:val="20"/>
          <w:szCs w:val="20"/>
          <w:color w:val="auto"/>
        </w:rPr>
        <w:t>During the Protection Period, the Employer may terminate the Participant’s employment for Cause only after 30 days’ notice of termination to the Participant,</w:t>
      </w:r>
    </w:p>
    <w:p>
      <w:pPr>
        <w:spacing w:after="0" w:line="200" w:lineRule="exact"/>
        <w:rPr>
          <w:sz w:val="20"/>
          <w:szCs w:val="20"/>
          <w:color w:val="auto"/>
        </w:rPr>
      </w:pPr>
    </w:p>
    <w:p>
      <w:pPr>
        <w:spacing w:after="0" w:line="29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8"/>
          </w:cols>
          <w:pgMar w:left="652" w:top="361" w:right="339" w:bottom="1440" w:gutter="0" w:footer="0" w:header="0"/>
        </w:sectPr>
      </w:pPr>
    </w:p>
    <w:bookmarkStart w:id="90" w:name="page91"/>
    <w:bookmarkEnd w:id="90"/>
    <w:p>
      <w:pPr>
        <w:ind w:left="1628" w:right="80"/>
        <w:spacing w:after="0" w:line="242" w:lineRule="auto"/>
        <w:rPr>
          <w:sz w:val="20"/>
          <w:szCs w:val="20"/>
          <w:color w:val="auto"/>
        </w:rPr>
      </w:pPr>
      <w:r>
        <w:rPr>
          <w:rFonts w:ascii="Arial" w:cs="Arial" w:eastAsia="Arial" w:hAnsi="Arial"/>
          <w:sz w:val="20"/>
          <w:szCs w:val="20"/>
          <w:color w:val="auto"/>
        </w:rPr>
        <w:t>and only if a majority of the members of the Board find that the Participant was guilty of conduct that constitutes “Cause.” The Participant and his or her counsel shall be given reasonable notice and an opportunity to be heard at a meeting of the Board before it makes any such finding. While the determination is pending, the Employer may suspend the Participant and cease payment of Base Salary (consistent with Section 409A requirements or exemptions). If not guilty of conduct that constitutes “Cause” (as determined by a majority of the members of the Board), the Participant will be reinstated and paid any unpaid Base Salary with interest (as reasonably determined by the Company).</w:t>
      </w:r>
    </w:p>
    <w:p>
      <w:pPr>
        <w:spacing w:after="0" w:line="213" w:lineRule="exact"/>
        <w:rPr>
          <w:sz w:val="20"/>
          <w:szCs w:val="20"/>
          <w:color w:val="auto"/>
        </w:rPr>
      </w:pPr>
    </w:p>
    <w:p>
      <w:pPr>
        <w:ind w:left="968" w:right="80" w:hanging="320"/>
        <w:spacing w:after="0" w:line="250" w:lineRule="auto"/>
        <w:tabs>
          <w:tab w:leader="none" w:pos="956" w:val="left"/>
        </w:tabs>
        <w:numPr>
          <w:ilvl w:val="1"/>
          <w:numId w:val="30"/>
        </w:numPr>
        <w:rPr>
          <w:rFonts w:ascii="Arial" w:cs="Arial" w:eastAsia="Arial" w:hAnsi="Arial"/>
          <w:sz w:val="20"/>
          <w:szCs w:val="20"/>
          <w:color w:val="auto"/>
        </w:rPr>
      </w:pPr>
      <w:r>
        <w:rPr>
          <w:rFonts w:ascii="Arial" w:cs="Arial" w:eastAsia="Arial" w:hAnsi="Arial"/>
          <w:sz w:val="20"/>
          <w:szCs w:val="20"/>
          <w:i w:val="1"/>
          <w:iCs w:val="1"/>
          <w:color w:val="auto"/>
        </w:rPr>
        <w:t>CoC Qualifying Termination</w:t>
      </w:r>
      <w:r>
        <w:rPr>
          <w:rFonts w:ascii="Arial" w:cs="Arial" w:eastAsia="Arial" w:hAnsi="Arial"/>
          <w:sz w:val="20"/>
          <w:szCs w:val="20"/>
          <w:color w:val="auto"/>
        </w:rPr>
        <w:t>. In the event of a CoC Qualifying Termination, in addition to the terms described in</w:t>
      </w:r>
      <w:r>
        <w:rPr>
          <w:rFonts w:ascii="Arial" w:cs="Arial" w:eastAsia="Arial" w:hAnsi="Arial"/>
          <w:sz w:val="20"/>
          <w:szCs w:val="20"/>
          <w:i w:val="1"/>
          <w:iCs w:val="1"/>
          <w:color w:val="auto"/>
        </w:rPr>
        <w:t xml:space="preserve"> </w:t>
      </w:r>
      <w:r>
        <w:rPr>
          <w:rFonts w:ascii="Arial" w:cs="Arial" w:eastAsia="Arial" w:hAnsi="Arial"/>
          <w:sz w:val="20"/>
          <w:szCs w:val="20"/>
          <w:u w:val="single" w:color="auto"/>
          <w:color w:val="auto"/>
        </w:rPr>
        <w:t>Section 6(b)</w:t>
      </w:r>
      <w:r>
        <w:rPr>
          <w:rFonts w:ascii="Arial" w:cs="Arial" w:eastAsia="Arial" w:hAnsi="Arial"/>
          <w:sz w:val="20"/>
          <w:szCs w:val="20"/>
          <w:color w:val="auto"/>
        </w:rPr>
        <w:t xml:space="preserve"> above, the Participant (or, in the event of his or her death, his or her estate) shall be entitled to the Severance Benefits set forth on the </w:t>
      </w:r>
      <w:r>
        <w:rPr>
          <w:rFonts w:ascii="Arial" w:cs="Arial" w:eastAsia="Arial" w:hAnsi="Arial"/>
          <w:sz w:val="20"/>
          <w:szCs w:val="20"/>
          <w:u w:val="single" w:color="auto"/>
          <w:color w:val="auto"/>
        </w:rPr>
        <w:t>Appendix D</w:t>
      </w:r>
      <w:r>
        <w:rPr>
          <w:rFonts w:ascii="Arial" w:cs="Arial" w:eastAsia="Arial" w:hAnsi="Arial"/>
          <w:sz w:val="20"/>
          <w:szCs w:val="20"/>
          <w:color w:val="auto"/>
        </w:rPr>
        <w:t xml:space="preserve"> schedule applicable to the Participant, subject in all cases to the terms of the Plan.</w:t>
      </w:r>
    </w:p>
    <w:p>
      <w:pPr>
        <w:spacing w:after="0" w:line="189" w:lineRule="exact"/>
        <w:rPr>
          <w:rFonts w:ascii="Arial" w:cs="Arial" w:eastAsia="Arial" w:hAnsi="Arial"/>
          <w:sz w:val="20"/>
          <w:szCs w:val="20"/>
          <w:color w:val="auto"/>
        </w:rPr>
      </w:pPr>
    </w:p>
    <w:p>
      <w:pPr>
        <w:ind w:left="328" w:right="20" w:hanging="328"/>
        <w:spacing w:after="0" w:line="247" w:lineRule="auto"/>
        <w:tabs>
          <w:tab w:leader="none" w:pos="317" w:val="left"/>
        </w:tabs>
        <w:numPr>
          <w:ilvl w:val="0"/>
          <w:numId w:val="31"/>
        </w:numPr>
        <w:rPr>
          <w:rFonts w:ascii="Arial" w:cs="Arial" w:eastAsia="Arial" w:hAnsi="Arial"/>
          <w:sz w:val="20"/>
          <w:szCs w:val="20"/>
          <w:color w:val="auto"/>
        </w:rPr>
      </w:pPr>
      <w:r>
        <w:rPr>
          <w:rFonts w:ascii="Arial" w:cs="Arial" w:eastAsia="Arial" w:hAnsi="Arial"/>
          <w:sz w:val="20"/>
          <w:szCs w:val="20"/>
          <w:u w:val="single" w:color="auto"/>
          <w:color w:val="auto"/>
        </w:rPr>
        <w:t>Payment of Severance Benefits</w:t>
      </w:r>
      <w:r>
        <w:rPr>
          <w:rFonts w:ascii="Arial" w:cs="Arial" w:eastAsia="Arial" w:hAnsi="Arial"/>
          <w:sz w:val="20"/>
          <w:szCs w:val="20"/>
          <w:color w:val="auto"/>
        </w:rPr>
        <w:t xml:space="preserve">. The Administrator will determine the time and manner of payment of all Severance Benefits, subject, in all events, to the tax withholding and other payment provisions incorporated into the Plan by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10(e)</w:t>
      </w:r>
      <w:r>
        <w:rPr>
          <w:rFonts w:ascii="Arial" w:cs="Arial" w:eastAsia="Arial" w:hAnsi="Arial"/>
          <w:sz w:val="20"/>
          <w:szCs w:val="20"/>
          <w:color w:val="auto"/>
        </w:rPr>
        <w:t>. If a Participant dies before receiving all Severance Benefits to which he or she remained entitled at death, subject to the terms of the applicable plan or arrangement, the Employer will pay the remainder of such Severance Benefits to the deceased Participant’s estate.</w:t>
      </w:r>
    </w:p>
    <w:p>
      <w:pPr>
        <w:spacing w:after="0" w:line="207" w:lineRule="exact"/>
        <w:rPr>
          <w:rFonts w:ascii="Arial" w:cs="Arial" w:eastAsia="Arial" w:hAnsi="Arial"/>
          <w:sz w:val="20"/>
          <w:szCs w:val="20"/>
          <w:color w:val="auto"/>
        </w:rPr>
      </w:pPr>
    </w:p>
    <w:p>
      <w:pPr>
        <w:ind w:left="308" w:hanging="308"/>
        <w:spacing w:after="0"/>
        <w:tabs>
          <w:tab w:leader="none" w:pos="308" w:val="left"/>
        </w:tabs>
        <w:numPr>
          <w:ilvl w:val="0"/>
          <w:numId w:val="31"/>
        </w:numPr>
        <w:rPr>
          <w:rFonts w:ascii="Arial" w:cs="Arial" w:eastAsia="Arial" w:hAnsi="Arial"/>
          <w:sz w:val="20"/>
          <w:szCs w:val="20"/>
          <w:color w:val="auto"/>
        </w:rPr>
      </w:pPr>
      <w:r>
        <w:rPr>
          <w:rFonts w:ascii="Arial" w:cs="Arial" w:eastAsia="Arial" w:hAnsi="Arial"/>
          <w:sz w:val="20"/>
          <w:szCs w:val="20"/>
          <w:u w:val="single" w:color="auto"/>
          <w:color w:val="auto"/>
        </w:rPr>
        <w:t>Restrictive covenants applicable to Severance Benefits</w:t>
      </w:r>
      <w:r>
        <w:rPr>
          <w:rFonts w:ascii="Arial" w:cs="Arial" w:eastAsia="Arial" w:hAnsi="Arial"/>
          <w:sz w:val="20"/>
          <w:szCs w:val="20"/>
          <w:color w:val="auto"/>
        </w:rPr>
        <w:t>.</w:t>
      </w:r>
    </w:p>
    <w:p>
      <w:pPr>
        <w:spacing w:after="0" w:line="17" w:lineRule="exact"/>
        <w:rPr>
          <w:rFonts w:ascii="Arial" w:cs="Arial" w:eastAsia="Arial" w:hAnsi="Arial"/>
          <w:sz w:val="20"/>
          <w:szCs w:val="20"/>
          <w:color w:val="auto"/>
        </w:rPr>
      </w:pPr>
    </w:p>
    <w:p>
      <w:pPr>
        <w:ind w:left="328" w:right="20" w:firstLine="968"/>
        <w:spacing w:after="0" w:line="239" w:lineRule="auto"/>
        <w:tabs>
          <w:tab w:leader="none" w:pos="1597" w:val="left"/>
        </w:tabs>
        <w:numPr>
          <w:ilvl w:val="2"/>
          <w:numId w:val="31"/>
        </w:numPr>
        <w:rPr>
          <w:rFonts w:ascii="Arial" w:cs="Arial" w:eastAsia="Arial" w:hAnsi="Arial"/>
          <w:sz w:val="20"/>
          <w:szCs w:val="20"/>
          <w:color w:val="auto"/>
        </w:rPr>
      </w:pPr>
      <w:r>
        <w:rPr>
          <w:rFonts w:ascii="Arial" w:cs="Arial" w:eastAsia="Arial" w:hAnsi="Arial"/>
          <w:sz w:val="20"/>
          <w:szCs w:val="20"/>
          <w:i w:val="1"/>
          <w:iCs w:val="1"/>
          <w:color w:val="auto"/>
        </w:rPr>
        <w:t>Restrictions under Obligations Agreement</w:t>
      </w:r>
      <w:r>
        <w:rPr>
          <w:rFonts w:ascii="Arial" w:cs="Arial" w:eastAsia="Arial" w:hAnsi="Arial"/>
          <w:sz w:val="20"/>
          <w:szCs w:val="20"/>
          <w:color w:val="auto"/>
        </w:rPr>
        <w:t>. The Participant’s receipt and retention of any Contingent</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Benefits is expressly conditioned upon the Participant’s full and continuing compliance with each of the restrictions set forth in the Participant’s Obligations Agreement, including, without limitation, restrictions related to confidentiality, Employer property, goodwill, non-competition (if applicable), non-solicitation, non-disparagement, and related terms and conditions. For the avoidance of doubt, the terms of the Participant’s Obligations Agreement shall apply in addition to the terms of this </w:t>
      </w:r>
      <w:r>
        <w:rPr>
          <w:rFonts w:ascii="Arial" w:cs="Arial" w:eastAsia="Arial" w:hAnsi="Arial"/>
          <w:sz w:val="20"/>
          <w:szCs w:val="20"/>
          <w:u w:val="single" w:color="auto"/>
          <w:color w:val="auto"/>
        </w:rPr>
        <w:t>Section 8</w:t>
      </w:r>
      <w:r>
        <w:rPr>
          <w:rFonts w:ascii="Arial" w:cs="Arial" w:eastAsia="Arial" w:hAnsi="Arial"/>
          <w:sz w:val="20"/>
          <w:szCs w:val="20"/>
          <w:color w:val="auto"/>
        </w:rPr>
        <w:t>.</w:t>
      </w:r>
    </w:p>
    <w:p>
      <w:pPr>
        <w:spacing w:after="0" w:line="214" w:lineRule="exact"/>
        <w:rPr>
          <w:rFonts w:ascii="Arial" w:cs="Arial" w:eastAsia="Arial" w:hAnsi="Arial"/>
          <w:sz w:val="20"/>
          <w:szCs w:val="20"/>
          <w:color w:val="auto"/>
        </w:rPr>
      </w:pPr>
    </w:p>
    <w:p>
      <w:pPr>
        <w:ind w:left="328" w:firstLine="968"/>
        <w:spacing w:after="0" w:line="256" w:lineRule="auto"/>
        <w:tabs>
          <w:tab w:leader="none" w:pos="1597" w:val="left"/>
        </w:tabs>
        <w:numPr>
          <w:ilvl w:val="2"/>
          <w:numId w:val="31"/>
        </w:numPr>
        <w:rPr>
          <w:rFonts w:ascii="Arial" w:cs="Arial" w:eastAsia="Arial" w:hAnsi="Arial"/>
          <w:sz w:val="19"/>
          <w:szCs w:val="19"/>
          <w:color w:val="auto"/>
        </w:rPr>
      </w:pPr>
      <w:r>
        <w:rPr>
          <w:rFonts w:ascii="Arial" w:cs="Arial" w:eastAsia="Arial" w:hAnsi="Arial"/>
          <w:sz w:val="19"/>
          <w:szCs w:val="19"/>
          <w:i w:val="1"/>
          <w:iCs w:val="1"/>
          <w:color w:val="auto"/>
        </w:rPr>
        <w:t>Noncompetition</w:t>
      </w:r>
      <w:r>
        <w:rPr>
          <w:rFonts w:ascii="Arial" w:cs="Arial" w:eastAsia="Arial" w:hAnsi="Arial"/>
          <w:sz w:val="19"/>
          <w:szCs w:val="19"/>
          <w:color w:val="auto"/>
        </w:rPr>
        <w:t>. During the Employment Period and, following a termination of employment from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Company or the Employer in which the Participant is entitled to any Severance Benefits hereunder (except as provided in </w:t>
      </w:r>
      <w:r>
        <w:rPr>
          <w:rFonts w:ascii="Arial" w:cs="Arial" w:eastAsia="Arial" w:hAnsi="Arial"/>
          <w:sz w:val="19"/>
          <w:szCs w:val="19"/>
          <w:u w:val="single" w:color="auto"/>
          <w:color w:val="auto"/>
        </w:rPr>
        <w:t>Section 6(b)(ii)</w:t>
      </w:r>
      <w:r>
        <w:rPr>
          <w:rFonts w:ascii="Arial" w:cs="Arial" w:eastAsia="Arial" w:hAnsi="Arial"/>
          <w:sz w:val="19"/>
          <w:szCs w:val="19"/>
          <w:color w:val="auto"/>
        </w:rPr>
        <w:t xml:space="preserve"> above), for the duration of the Noncompetition Period (including any extended Noncompetition Period in accordance with the </w:t>
      </w:r>
      <w:r>
        <w:rPr>
          <w:rFonts w:ascii="Arial" w:cs="Arial" w:eastAsia="Arial" w:hAnsi="Arial"/>
          <w:sz w:val="19"/>
          <w:szCs w:val="19"/>
          <w:u w:val="single" w:color="auto"/>
          <w:color w:val="auto"/>
        </w:rPr>
        <w:t>Appendix C</w:t>
      </w:r>
      <w:r>
        <w:rPr>
          <w:rFonts w:ascii="Arial" w:cs="Arial" w:eastAsia="Arial" w:hAnsi="Arial"/>
          <w:sz w:val="19"/>
          <w:szCs w:val="19"/>
          <w:color w:val="auto"/>
        </w:rPr>
        <w:t xml:space="preserve"> schedule applicable to the Participant), the Participant will not, directly or indirectly, whether as owner, partner, investor, consultant, agent, employee, co-venturer or otherwise, compete with the Company or undertake any planning for any business competitive with the Company. Specifically, but without limiting the foregoing, during the Noncompetition Period, the Participant agrees (i) not to engage in any manner in any activity that is directly or indirectly competitive or potentially competitive with the business of the Company as conducted or under</w:t>
      </w:r>
    </w:p>
    <w:p>
      <w:pPr>
        <w:spacing w:after="0" w:line="200" w:lineRule="exact"/>
        <w:rPr>
          <w:sz w:val="20"/>
          <w:szCs w:val="20"/>
          <w:color w:val="auto"/>
        </w:rPr>
      </w:pPr>
    </w:p>
    <w:p>
      <w:pPr>
        <w:spacing w:after="0" w:line="301" w:lineRule="exact"/>
        <w:rPr>
          <w:sz w:val="20"/>
          <w:szCs w:val="20"/>
          <w:color w:val="auto"/>
        </w:rPr>
      </w:pPr>
    </w:p>
    <w:p>
      <w:pPr>
        <w:jc w:val="center"/>
        <w:ind w:right="272"/>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68"/>
          </w:cols>
          <w:pgMar w:left="652" w:top="361" w:right="379" w:bottom="1440" w:gutter="0" w:footer="0" w:header="0"/>
        </w:sectPr>
      </w:pPr>
    </w:p>
    <w:bookmarkStart w:id="91" w:name="page92"/>
    <w:bookmarkEnd w:id="91"/>
    <w:p>
      <w:pPr>
        <w:spacing w:after="0" w:line="241" w:lineRule="auto"/>
        <w:rPr>
          <w:sz w:val="20"/>
          <w:szCs w:val="20"/>
          <w:color w:val="auto"/>
        </w:rPr>
      </w:pPr>
      <w:r>
        <w:rPr>
          <w:rFonts w:ascii="Arial" w:cs="Arial" w:eastAsia="Arial" w:hAnsi="Arial"/>
          <w:sz w:val="20"/>
          <w:szCs w:val="20"/>
          <w:color w:val="auto"/>
        </w:rPr>
        <w:t>consideration at any time during the Participant’s employment in any geographic area in which (A) during the portion of the Noncompetition Period in which the Participant is employed, the Company does business or is actively planning to do business and (B) during the portion of the Noncompetition Period that follows the termination of the Participant’s employment, the Company was doing business or was actively planning to do business as of the Date of Termination, and (ii) not to work or provide services, in any capacity, whether as an employee, independent contractor or otherwise, whether with or without compensation, to any person who is engaged in any business that is competitive with any business of the Company for which the Participant has provided services or with respect to which the Participant possesses Confidential Information that could assist in such competition, as conducted or in planning during the Participant’s employment. The Participant understands that the foregoing shall not prevent his or her passive ownership of one percent (1%) or less of the equity securities of any publicly traded company.</w:t>
      </w:r>
    </w:p>
    <w:p>
      <w:pPr>
        <w:spacing w:after="0" w:line="215" w:lineRule="exact"/>
        <w:rPr>
          <w:sz w:val="20"/>
          <w:szCs w:val="20"/>
          <w:color w:val="auto"/>
        </w:rPr>
      </w:pPr>
    </w:p>
    <w:p>
      <w:pPr>
        <w:ind w:right="60" w:firstLine="968"/>
        <w:spacing w:after="0" w:line="244" w:lineRule="auto"/>
        <w:tabs>
          <w:tab w:leader="none" w:pos="1258" w:val="left"/>
        </w:tabs>
        <w:numPr>
          <w:ilvl w:val="0"/>
          <w:numId w:val="32"/>
        </w:numPr>
        <w:rPr>
          <w:rFonts w:ascii="Arial" w:cs="Arial" w:eastAsia="Arial" w:hAnsi="Arial"/>
          <w:sz w:val="20"/>
          <w:szCs w:val="20"/>
          <w:color w:val="auto"/>
        </w:rPr>
      </w:pPr>
      <w:r>
        <w:rPr>
          <w:rFonts w:ascii="Arial" w:cs="Arial" w:eastAsia="Arial" w:hAnsi="Arial"/>
          <w:sz w:val="20"/>
          <w:szCs w:val="20"/>
          <w:i w:val="1"/>
          <w:iCs w:val="1"/>
          <w:color w:val="auto"/>
        </w:rPr>
        <w:t>Consequences of breach</w:t>
      </w:r>
      <w:r>
        <w:rPr>
          <w:rFonts w:ascii="Arial" w:cs="Arial" w:eastAsia="Arial" w:hAnsi="Arial"/>
          <w:sz w:val="20"/>
          <w:szCs w:val="20"/>
          <w:color w:val="auto"/>
        </w:rPr>
        <w:t>. If, during the Employment Period or at any time following termination of the</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Employment Period, regardless of the reason for such termination, the Participant breaches any provision of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8</w:t>
      </w:r>
      <w:r>
        <w:rPr>
          <w:rFonts w:ascii="Arial" w:cs="Arial" w:eastAsia="Arial" w:hAnsi="Arial"/>
          <w:sz w:val="20"/>
          <w:szCs w:val="20"/>
          <w:color w:val="auto"/>
        </w:rPr>
        <w:t>, the Employer’s obligation, if any, to pay any Contingent Benefits shall immediately cease and the Participant (or, if the Participant shall have died, his or her legal representative) shall immediately forfeit and disgorge to the Company, with interest, any Contingent Benefits theretofore paid to or received by the Participant.</w:t>
      </w:r>
    </w:p>
    <w:p>
      <w:pPr>
        <w:spacing w:after="0" w:line="207" w:lineRule="exact"/>
        <w:rPr>
          <w:rFonts w:ascii="Arial" w:cs="Arial" w:eastAsia="Arial" w:hAnsi="Arial"/>
          <w:sz w:val="20"/>
          <w:szCs w:val="20"/>
          <w:color w:val="auto"/>
        </w:rPr>
      </w:pPr>
    </w:p>
    <w:p>
      <w:pPr>
        <w:ind w:right="40" w:firstLine="968"/>
        <w:spacing w:after="0" w:line="239" w:lineRule="auto"/>
        <w:tabs>
          <w:tab w:leader="none" w:pos="1269" w:val="left"/>
        </w:tabs>
        <w:numPr>
          <w:ilvl w:val="0"/>
          <w:numId w:val="32"/>
        </w:numPr>
        <w:rPr>
          <w:rFonts w:ascii="Arial" w:cs="Arial" w:eastAsia="Arial" w:hAnsi="Arial"/>
          <w:sz w:val="20"/>
          <w:szCs w:val="20"/>
          <w:color w:val="auto"/>
        </w:rPr>
      </w:pPr>
      <w:r>
        <w:rPr>
          <w:rFonts w:ascii="Arial" w:cs="Arial" w:eastAsia="Arial" w:hAnsi="Arial"/>
          <w:sz w:val="20"/>
          <w:szCs w:val="20"/>
          <w:i w:val="1"/>
          <w:iCs w:val="1"/>
          <w:color w:val="auto"/>
        </w:rPr>
        <w:t>Notice and information requirements</w:t>
      </w:r>
      <w:r>
        <w:rPr>
          <w:rFonts w:ascii="Arial" w:cs="Arial" w:eastAsia="Arial" w:hAnsi="Arial"/>
          <w:sz w:val="20"/>
          <w:szCs w:val="20"/>
          <w:color w:val="auto"/>
        </w:rPr>
        <w:t>. In order to ensure the Participant’s compliance with the terms hereof</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during the Noncompetition Period, the Participant shall notify the Administrator in writing of any change in his or her address and of each new job or other business activity in which he or she plans to engage at least four (4) weeks prior to beginning such job or activity. Such notice shall state the name and address of any new employer and the nature of the Participant’s position or business activity. The Participant further agrees to provide the Administrator with any other pertinent information concerning such business activity as the Administrator may reasonably request in order to determine the Participant’s continued compliance with the terms of the Plan. All notices to the Administrator shall be sent via overnight delivery to The TJX Companies, Inc., 770 Cochituate Road, Framingham, MA 01701, Attention: General Counsel, and by email to </w:t>
      </w:r>
      <w:r>
        <w:rPr>
          <w:rFonts w:ascii="Arial" w:cs="Arial" w:eastAsia="Arial" w:hAnsi="Arial"/>
          <w:sz w:val="20"/>
          <w:szCs w:val="20"/>
          <w:u w:val="single" w:color="auto"/>
          <w:color w:val="auto"/>
        </w:rPr>
        <w:t>lawyer@tjx.com</w:t>
      </w:r>
      <w:r>
        <w:rPr>
          <w:rFonts w:ascii="Arial" w:cs="Arial" w:eastAsia="Arial" w:hAnsi="Arial"/>
          <w:sz w:val="20"/>
          <w:szCs w:val="20"/>
          <w:color w:val="auto"/>
        </w:rPr>
        <w:t>, or to such other address as may be designated by an expressly authorized officer of The TJX Companies, Inc. The Participant agrees to notify his or her new employer(s) of his or her obligations under the Plan, and hereby consents to notification by the Company to his or her new employer(s) concerning the obligations under the Plan.</w:t>
      </w:r>
    </w:p>
    <w:p>
      <w:pPr>
        <w:spacing w:after="0" w:line="221" w:lineRule="exact"/>
        <w:rPr>
          <w:rFonts w:ascii="Arial" w:cs="Arial" w:eastAsia="Arial" w:hAnsi="Arial"/>
          <w:sz w:val="20"/>
          <w:szCs w:val="20"/>
          <w:color w:val="auto"/>
        </w:rPr>
      </w:pPr>
    </w:p>
    <w:p>
      <w:pPr>
        <w:ind w:right="60" w:firstLine="968"/>
        <w:spacing w:after="0" w:line="245" w:lineRule="auto"/>
        <w:tabs>
          <w:tab w:leader="none" w:pos="1269" w:val="left"/>
        </w:tabs>
        <w:numPr>
          <w:ilvl w:val="0"/>
          <w:numId w:val="32"/>
        </w:numPr>
        <w:rPr>
          <w:rFonts w:ascii="Arial" w:cs="Arial" w:eastAsia="Arial" w:hAnsi="Arial"/>
          <w:sz w:val="20"/>
          <w:szCs w:val="20"/>
          <w:color w:val="auto"/>
        </w:rPr>
      </w:pPr>
      <w:r>
        <w:rPr>
          <w:rFonts w:ascii="Arial" w:cs="Arial" w:eastAsia="Arial" w:hAnsi="Arial"/>
          <w:sz w:val="20"/>
          <w:szCs w:val="20"/>
          <w:i w:val="1"/>
          <w:iCs w:val="1"/>
          <w:color w:val="auto"/>
        </w:rPr>
        <w:t>Acknowledgments</w:t>
      </w:r>
      <w:r>
        <w:rPr>
          <w:rFonts w:ascii="Arial" w:cs="Arial" w:eastAsia="Arial" w:hAnsi="Arial"/>
          <w:sz w:val="20"/>
          <w:szCs w:val="20"/>
          <w:color w:val="auto"/>
        </w:rPr>
        <w:t>. The Participant (i) has advised the Administrator that the Participant has carefully read</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and considered all the terms and conditions of the Plan, including the restraints imposed on the Participant under this </w:t>
      </w:r>
      <w:r>
        <w:rPr>
          <w:rFonts w:ascii="Arial" w:cs="Arial" w:eastAsia="Arial" w:hAnsi="Arial"/>
          <w:sz w:val="20"/>
          <w:szCs w:val="20"/>
          <w:u w:val="single" w:color="auto"/>
          <w:color w:val="auto"/>
        </w:rPr>
        <w:t>Section 8</w:t>
      </w:r>
      <w:r>
        <w:rPr>
          <w:rFonts w:ascii="Arial" w:cs="Arial" w:eastAsia="Arial" w:hAnsi="Arial"/>
          <w:sz w:val="20"/>
          <w:szCs w:val="20"/>
          <w:color w:val="auto"/>
        </w:rPr>
        <w:t>, and agrees without reservation that each of the restraints contained herein is necessary for the reasonable and proper protection of the customer good will, confidential information and other legitimate business interests of the Employer, that each and every one of those restraints is reasonable in respect to subject matter, length of time, range of activities and geographic area, and that these restraints will not prevent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80"/>
          </w:cols>
          <w:pgMar w:left="980" w:top="361" w:right="339" w:bottom="1440" w:gutter="0" w:footer="0" w:header="0"/>
        </w:sectPr>
      </w:pPr>
    </w:p>
    <w:bookmarkStart w:id="92" w:name="page93"/>
    <w:bookmarkEnd w:id="92"/>
    <w:p>
      <w:pPr>
        <w:ind w:left="328"/>
        <w:spacing w:after="0" w:line="239" w:lineRule="auto"/>
        <w:rPr>
          <w:sz w:val="20"/>
          <w:szCs w:val="20"/>
          <w:color w:val="auto"/>
        </w:rPr>
      </w:pPr>
      <w:r>
        <w:rPr>
          <w:rFonts w:ascii="Arial" w:cs="Arial" w:eastAsia="Arial" w:hAnsi="Arial"/>
          <w:sz w:val="20"/>
          <w:szCs w:val="20"/>
          <w:color w:val="auto"/>
        </w:rPr>
        <w:t xml:space="preserve">from obtaining other suitable employment during the period in which the Participant is bound by them; (ii) agrees that he or she will never assert, or permit to be asserted on his or her behalf, in any forum, any position contrary to the foregoing; (iii) acknowledges and agrees that, were the Participant to breach any of the provisions of this </w:t>
      </w:r>
      <w:r>
        <w:rPr>
          <w:rFonts w:ascii="Arial" w:cs="Arial" w:eastAsia="Arial" w:hAnsi="Arial"/>
          <w:sz w:val="20"/>
          <w:szCs w:val="20"/>
          <w:u w:val="single" w:color="auto"/>
          <w:color w:val="auto"/>
        </w:rPr>
        <w:t>Section 8</w:t>
      </w:r>
      <w:r>
        <w:rPr>
          <w:rFonts w:ascii="Arial" w:cs="Arial" w:eastAsia="Arial" w:hAnsi="Arial"/>
          <w:sz w:val="20"/>
          <w:szCs w:val="20"/>
          <w:color w:val="auto"/>
        </w:rPr>
        <w:t xml:space="preserve">, the harm to the Employer would be irreparable and therefore agrees that, in the event of such a breach or threatened breach, the Company shall, in addition to any other remedies available to it and notwithstanding </w:t>
      </w:r>
      <w:r>
        <w:rPr>
          <w:rFonts w:ascii="Arial" w:cs="Arial" w:eastAsia="Arial" w:hAnsi="Arial"/>
          <w:sz w:val="20"/>
          <w:szCs w:val="20"/>
          <w:u w:val="single" w:color="auto"/>
          <w:color w:val="auto"/>
        </w:rPr>
        <w:t>Section 10(d)</w:t>
      </w:r>
      <w:r>
        <w:rPr>
          <w:rFonts w:ascii="Arial" w:cs="Arial" w:eastAsia="Arial" w:hAnsi="Arial"/>
          <w:sz w:val="20"/>
          <w:szCs w:val="20"/>
          <w:color w:val="auto"/>
        </w:rPr>
        <w:t xml:space="preserve">, have the right to obtain preliminary and permanent injunctive relief against any such breach or threatened breach without having to post bond, and will additionally be entitled to an award of attorney’s fees incurred in connection with securing any relief hereunder; (iv) further agrees that, in the event that any provision of the Plan shall be determined by any court of competent jurisdiction to be unenforceable by reason of its being extended over too great a time, too large a geographic area or too great a range of activities, or for any other reason, such provision shall be deemed to be modified to permit its enforcement to the maximum extent permitted by law; (v) and, finally, so that the Company may enjoy the full benefit of the agreed-upon temporal protections recited herein, agrees that the periods of restrictions set forth in </w:t>
      </w:r>
      <w:r>
        <w:rPr>
          <w:rFonts w:ascii="Arial" w:cs="Arial" w:eastAsia="Arial" w:hAnsi="Arial"/>
          <w:sz w:val="20"/>
          <w:szCs w:val="20"/>
          <w:u w:val="single" w:color="auto"/>
          <w:color w:val="auto"/>
        </w:rPr>
        <w:t>Section 8(b)</w:t>
      </w:r>
      <w:r>
        <w:rPr>
          <w:rFonts w:ascii="Arial" w:cs="Arial" w:eastAsia="Arial" w:hAnsi="Arial"/>
          <w:sz w:val="20"/>
          <w:szCs w:val="20"/>
          <w:color w:val="auto"/>
        </w:rPr>
        <w:t xml:space="preserve"> of the Plan shall be tolled, and shall not run, during any period of time in which the Participant is in violation of any of the terms of this </w:t>
      </w:r>
      <w:r>
        <w:rPr>
          <w:rFonts w:ascii="Arial" w:cs="Arial" w:eastAsia="Arial" w:hAnsi="Arial"/>
          <w:sz w:val="20"/>
          <w:szCs w:val="20"/>
          <w:u w:val="single" w:color="auto"/>
          <w:color w:val="auto"/>
        </w:rPr>
        <w:t>Section 8</w:t>
      </w:r>
      <w:r>
        <w:rPr>
          <w:rFonts w:ascii="Arial" w:cs="Arial" w:eastAsia="Arial" w:hAnsi="Arial"/>
          <w:sz w:val="20"/>
          <w:szCs w:val="20"/>
          <w:color w:val="auto"/>
        </w:rPr>
        <w:t xml:space="preserve"> and that, if the Participant violates any fiduciary duty to the Company or unlawfully takes any Confidential Information, trade secrets or other property belonging to the Company, the Noncompetition Period will extend by the time during which the Participant engages in such violation(s), for up to a total of two (2) years following his or her termination date.</w:t>
      </w:r>
    </w:p>
    <w:p>
      <w:pPr>
        <w:spacing w:after="0" w:line="224" w:lineRule="exact"/>
        <w:rPr>
          <w:sz w:val="20"/>
          <w:szCs w:val="20"/>
          <w:color w:val="auto"/>
        </w:rPr>
      </w:pPr>
    </w:p>
    <w:p>
      <w:pPr>
        <w:ind w:left="328" w:right="60" w:firstLine="968"/>
        <w:spacing w:after="0" w:line="244" w:lineRule="auto"/>
        <w:tabs>
          <w:tab w:leader="none" w:pos="1542" w:val="left"/>
        </w:tabs>
        <w:numPr>
          <w:ilvl w:val="1"/>
          <w:numId w:val="33"/>
        </w:numPr>
        <w:rPr>
          <w:rFonts w:ascii="Arial" w:cs="Arial" w:eastAsia="Arial" w:hAnsi="Arial"/>
          <w:sz w:val="20"/>
          <w:szCs w:val="20"/>
          <w:color w:val="auto"/>
        </w:rPr>
      </w:pPr>
      <w:r>
        <w:rPr>
          <w:rFonts w:ascii="Arial" w:cs="Arial" w:eastAsia="Arial" w:hAnsi="Arial"/>
          <w:sz w:val="20"/>
          <w:szCs w:val="20"/>
          <w:i w:val="1"/>
          <w:iCs w:val="1"/>
          <w:color w:val="auto"/>
        </w:rPr>
        <w:t>Separate covenants</w:t>
      </w:r>
      <w:r>
        <w:rPr>
          <w:rFonts w:ascii="Arial" w:cs="Arial" w:eastAsia="Arial" w:hAnsi="Arial"/>
          <w:sz w:val="20"/>
          <w:szCs w:val="20"/>
          <w:color w:val="auto"/>
        </w:rPr>
        <w:t>. If any of the restrictions in this</w:t>
      </w:r>
      <w:r>
        <w:rPr>
          <w:rFonts w:ascii="Arial" w:cs="Arial" w:eastAsia="Arial" w:hAnsi="Arial"/>
          <w:sz w:val="20"/>
          <w:szCs w:val="20"/>
          <w:i w:val="1"/>
          <w:iCs w:val="1"/>
          <w:color w:val="auto"/>
        </w:rPr>
        <w:t xml:space="preserve"> </w:t>
      </w:r>
      <w:r>
        <w:rPr>
          <w:rFonts w:ascii="Arial" w:cs="Arial" w:eastAsia="Arial" w:hAnsi="Arial"/>
          <w:sz w:val="20"/>
          <w:szCs w:val="20"/>
          <w:u w:val="single" w:color="auto"/>
          <w:color w:val="auto"/>
        </w:rPr>
        <w:t>Section 8</w:t>
      </w:r>
      <w:r>
        <w:rPr>
          <w:rFonts w:ascii="Arial" w:cs="Arial" w:eastAsia="Arial" w:hAnsi="Arial"/>
          <w:sz w:val="20"/>
          <w:szCs w:val="20"/>
          <w:i w:val="1"/>
          <w:iCs w:val="1"/>
          <w:color w:val="auto"/>
        </w:rPr>
        <w:t xml:space="preserve"> </w:t>
      </w:r>
      <w:r>
        <w:rPr>
          <w:rFonts w:ascii="Arial" w:cs="Arial" w:eastAsia="Arial" w:hAnsi="Arial"/>
          <w:sz w:val="20"/>
          <w:szCs w:val="20"/>
          <w:color w:val="auto"/>
        </w:rPr>
        <w:t>is held to be void or ineffective for any</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reason but would be held to be valid and effective if part of its wording were deleted, that restriction shall apply with such deletions as may be necessary to make it valid and effective, and the restrictions contained in each subsection of this </w:t>
      </w:r>
      <w:r>
        <w:rPr>
          <w:rFonts w:ascii="Arial" w:cs="Arial" w:eastAsia="Arial" w:hAnsi="Arial"/>
          <w:sz w:val="20"/>
          <w:szCs w:val="20"/>
          <w:u w:val="single" w:color="auto"/>
          <w:color w:val="auto"/>
        </w:rPr>
        <w:t>Section 8</w:t>
      </w:r>
      <w:r>
        <w:rPr>
          <w:rFonts w:ascii="Arial" w:cs="Arial" w:eastAsia="Arial" w:hAnsi="Arial"/>
          <w:sz w:val="20"/>
          <w:szCs w:val="20"/>
          <w:color w:val="auto"/>
        </w:rPr>
        <w:t xml:space="preserve"> shall be construed as separate and individual restrictions and shall each be capable of being severed without prejudice to the other restrictions or to the remaining provisions.</w:t>
      </w:r>
    </w:p>
    <w:p>
      <w:pPr>
        <w:spacing w:after="0" w:line="207" w:lineRule="exact"/>
        <w:rPr>
          <w:rFonts w:ascii="Arial" w:cs="Arial" w:eastAsia="Arial" w:hAnsi="Arial"/>
          <w:sz w:val="20"/>
          <w:szCs w:val="20"/>
          <w:color w:val="auto"/>
        </w:rPr>
      </w:pPr>
    </w:p>
    <w:p>
      <w:pPr>
        <w:ind w:left="328" w:right="40" w:firstLine="968"/>
        <w:spacing w:after="0" w:line="244" w:lineRule="auto"/>
        <w:tabs>
          <w:tab w:leader="none" w:pos="1597" w:val="left"/>
        </w:tabs>
        <w:numPr>
          <w:ilvl w:val="1"/>
          <w:numId w:val="33"/>
        </w:numPr>
        <w:rPr>
          <w:rFonts w:ascii="Arial" w:cs="Arial" w:eastAsia="Arial" w:hAnsi="Arial"/>
          <w:sz w:val="20"/>
          <w:szCs w:val="20"/>
          <w:color w:val="auto"/>
        </w:rPr>
      </w:pPr>
      <w:r>
        <w:rPr>
          <w:rFonts w:ascii="Arial" w:cs="Arial" w:eastAsia="Arial" w:hAnsi="Arial"/>
          <w:sz w:val="20"/>
          <w:szCs w:val="20"/>
          <w:i w:val="1"/>
          <w:iCs w:val="1"/>
          <w:color w:val="auto"/>
        </w:rPr>
        <w:t>Binding effect; successors and assigns</w:t>
      </w:r>
      <w:r>
        <w:rPr>
          <w:rFonts w:ascii="Arial" w:cs="Arial" w:eastAsia="Arial" w:hAnsi="Arial"/>
          <w:sz w:val="20"/>
          <w:szCs w:val="20"/>
          <w:color w:val="auto"/>
        </w:rPr>
        <w:t>. The Participant expressly consents to be bound by the provisions</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of the Plan for the benefit of the Employer, and any successor or permitted assign to whose employ the Participant may be transferred, without the necessity that any agreement be re-signed at the time of such transfer. The Participant further agrees that no changes in the nature or scope of his or her employment with the Employer will operate to extinguish the terms and conditions set forth in this </w:t>
      </w:r>
      <w:r>
        <w:rPr>
          <w:rFonts w:ascii="Arial" w:cs="Arial" w:eastAsia="Arial" w:hAnsi="Arial"/>
          <w:sz w:val="20"/>
          <w:szCs w:val="20"/>
          <w:u w:val="single" w:color="auto"/>
          <w:color w:val="auto"/>
        </w:rPr>
        <w:t>Section 8</w:t>
      </w:r>
      <w:r>
        <w:rPr>
          <w:rFonts w:ascii="Arial" w:cs="Arial" w:eastAsia="Arial" w:hAnsi="Arial"/>
          <w:sz w:val="20"/>
          <w:szCs w:val="20"/>
          <w:color w:val="auto"/>
        </w:rPr>
        <w:t>.</w:t>
      </w:r>
    </w:p>
    <w:p>
      <w:pPr>
        <w:spacing w:after="0" w:line="207" w:lineRule="exact"/>
        <w:rPr>
          <w:rFonts w:ascii="Arial" w:cs="Arial" w:eastAsia="Arial" w:hAnsi="Arial"/>
          <w:sz w:val="20"/>
          <w:szCs w:val="20"/>
          <w:color w:val="auto"/>
        </w:rPr>
      </w:pPr>
    </w:p>
    <w:p>
      <w:pPr>
        <w:jc w:val="both"/>
        <w:ind w:left="328" w:right="200" w:firstLine="968"/>
        <w:spacing w:after="0" w:line="250" w:lineRule="auto"/>
        <w:tabs>
          <w:tab w:leader="none" w:pos="1597" w:val="left"/>
        </w:tabs>
        <w:numPr>
          <w:ilvl w:val="1"/>
          <w:numId w:val="33"/>
        </w:numPr>
        <w:rPr>
          <w:rFonts w:ascii="Arial" w:cs="Arial" w:eastAsia="Arial" w:hAnsi="Arial"/>
          <w:sz w:val="20"/>
          <w:szCs w:val="20"/>
          <w:color w:val="auto"/>
        </w:rPr>
      </w:pPr>
      <w:r>
        <w:rPr>
          <w:rFonts w:ascii="Arial" w:cs="Arial" w:eastAsia="Arial" w:hAnsi="Arial"/>
          <w:sz w:val="20"/>
          <w:szCs w:val="20"/>
          <w:i w:val="1"/>
          <w:iCs w:val="1"/>
          <w:color w:val="auto"/>
        </w:rPr>
        <w:t>Survival</w:t>
      </w:r>
      <w:r>
        <w:rPr>
          <w:rFonts w:ascii="Arial" w:cs="Arial" w:eastAsia="Arial" w:hAnsi="Arial"/>
          <w:sz w:val="20"/>
          <w:szCs w:val="20"/>
          <w:color w:val="auto"/>
        </w:rPr>
        <w:t>. The provisions of this</w:t>
      </w:r>
      <w:r>
        <w:rPr>
          <w:rFonts w:ascii="Arial" w:cs="Arial" w:eastAsia="Arial" w:hAnsi="Arial"/>
          <w:sz w:val="20"/>
          <w:szCs w:val="20"/>
          <w:i w:val="1"/>
          <w:iCs w:val="1"/>
          <w:color w:val="auto"/>
        </w:rPr>
        <w:t xml:space="preserve"> </w:t>
      </w:r>
      <w:r>
        <w:rPr>
          <w:rFonts w:ascii="Arial" w:cs="Arial" w:eastAsia="Arial" w:hAnsi="Arial"/>
          <w:sz w:val="20"/>
          <w:szCs w:val="20"/>
          <w:u w:val="single" w:color="auto"/>
          <w:color w:val="auto"/>
        </w:rPr>
        <w:t>Section 8</w:t>
      </w:r>
      <w:r>
        <w:rPr>
          <w:rFonts w:ascii="Arial" w:cs="Arial" w:eastAsia="Arial" w:hAnsi="Arial"/>
          <w:sz w:val="20"/>
          <w:szCs w:val="20"/>
          <w:i w:val="1"/>
          <w:iCs w:val="1"/>
          <w:color w:val="auto"/>
        </w:rPr>
        <w:t xml:space="preserve"> </w:t>
      </w:r>
      <w:r>
        <w:rPr>
          <w:rFonts w:ascii="Arial" w:cs="Arial" w:eastAsia="Arial" w:hAnsi="Arial"/>
          <w:sz w:val="20"/>
          <w:szCs w:val="20"/>
          <w:color w:val="auto"/>
        </w:rPr>
        <w:t>shall survive the termination of the Employment Period and the</w:t>
      </w:r>
      <w:r>
        <w:rPr>
          <w:rFonts w:ascii="Arial" w:cs="Arial" w:eastAsia="Arial" w:hAnsi="Arial"/>
          <w:sz w:val="20"/>
          <w:szCs w:val="20"/>
          <w:i w:val="1"/>
          <w:iCs w:val="1"/>
          <w:color w:val="auto"/>
        </w:rPr>
        <w:t xml:space="preserve"> </w:t>
      </w:r>
      <w:r>
        <w:rPr>
          <w:rFonts w:ascii="Arial" w:cs="Arial" w:eastAsia="Arial" w:hAnsi="Arial"/>
          <w:sz w:val="20"/>
          <w:szCs w:val="20"/>
          <w:color w:val="auto"/>
        </w:rPr>
        <w:t>termination of the Plan, regardless of the reason or reasons therefor, and shall be binding on the Participant regardless of any breach by the Employer of any other provision of the Plan and regardless of whether such termination is a Qualifying Termination.</w:t>
      </w:r>
    </w:p>
    <w:p>
      <w:pPr>
        <w:spacing w:after="0" w:line="202" w:lineRule="exact"/>
        <w:rPr>
          <w:rFonts w:ascii="Arial" w:cs="Arial" w:eastAsia="Arial" w:hAnsi="Arial"/>
          <w:sz w:val="20"/>
          <w:szCs w:val="20"/>
          <w:color w:val="auto"/>
        </w:rPr>
      </w:pPr>
    </w:p>
    <w:p>
      <w:pPr>
        <w:ind w:left="328" w:right="120" w:hanging="328"/>
        <w:spacing w:after="0" w:line="248" w:lineRule="auto"/>
        <w:tabs>
          <w:tab w:leader="none" w:pos="317" w:val="left"/>
        </w:tabs>
        <w:numPr>
          <w:ilvl w:val="0"/>
          <w:numId w:val="34"/>
        </w:numPr>
        <w:rPr>
          <w:rFonts w:ascii="Arial" w:cs="Arial" w:eastAsia="Arial" w:hAnsi="Arial"/>
          <w:sz w:val="20"/>
          <w:szCs w:val="20"/>
          <w:color w:val="auto"/>
        </w:rPr>
      </w:pPr>
      <w:r>
        <w:rPr>
          <w:rFonts w:ascii="Arial" w:cs="Arial" w:eastAsia="Arial" w:hAnsi="Arial"/>
          <w:sz w:val="20"/>
          <w:szCs w:val="20"/>
          <w:u w:val="single" w:color="auto"/>
          <w:color w:val="auto"/>
        </w:rPr>
        <w:t>Amendment and Termination</w:t>
      </w:r>
      <w:r>
        <w:rPr>
          <w:rFonts w:ascii="Arial" w:cs="Arial" w:eastAsia="Arial" w:hAnsi="Arial"/>
          <w:sz w:val="20"/>
          <w:szCs w:val="20"/>
          <w:color w:val="auto"/>
        </w:rPr>
        <w:t xml:space="preserve">. The Committee reserves the right, in its sole discretion, to amend, suspend or terminate the Plan at any time, for any reason, prospectively or retroactively, in whole or in part, by written instrument executed by a duly authorized officer of the Company;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08"/>
          </w:cols>
          <w:pgMar w:left="652" w:top="361" w:right="339" w:bottom="1440" w:gutter="0" w:footer="0" w:header="0"/>
        </w:sectPr>
      </w:pPr>
    </w:p>
    <w:bookmarkStart w:id="93" w:name="page94"/>
    <w:bookmarkEnd w:id="93"/>
    <w:p>
      <w:pPr>
        <w:ind w:left="328" w:right="20"/>
        <w:spacing w:after="0" w:line="241" w:lineRule="auto"/>
        <w:rPr>
          <w:sz w:val="20"/>
          <w:szCs w:val="20"/>
          <w:color w:val="auto"/>
        </w:rPr>
      </w:pPr>
      <w:r>
        <w:rPr>
          <w:rFonts w:ascii="Arial" w:cs="Arial" w:eastAsia="Arial" w:hAnsi="Arial"/>
          <w:sz w:val="20"/>
          <w:szCs w:val="20"/>
          <w:color w:val="auto"/>
        </w:rPr>
        <w:t xml:space="preserve">upon or following a Change of Control during a Participant’s Employment Period, no such action shall materially and adversely impair the rights hereunder of the Participant, without his or her express written consent. The amendment power reserved to the Committee in the immediately preceding sentence with respect to the period prior to a Change of Control shall include, but not be limited to, the power to change or eliminate a Participant’s right to receive benefits under the Plan;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benefits payable under the Plan to a Participant who has incurred a Qualifying Termination, and has entered into an effective general release and a separation agreement as described in </w:t>
      </w:r>
      <w:r>
        <w:rPr>
          <w:rFonts w:ascii="Arial" w:cs="Arial" w:eastAsia="Arial" w:hAnsi="Arial"/>
          <w:sz w:val="20"/>
          <w:szCs w:val="20"/>
          <w:u w:val="single" w:color="auto"/>
          <w:color w:val="auto"/>
        </w:rPr>
        <w:t>Section 4,</w:t>
      </w:r>
      <w:r>
        <w:rPr>
          <w:rFonts w:ascii="Arial" w:cs="Arial" w:eastAsia="Arial" w:hAnsi="Arial"/>
          <w:sz w:val="20"/>
          <w:szCs w:val="20"/>
          <w:color w:val="auto"/>
        </w:rPr>
        <w:t xml:space="preserve"> shall not be materially and adversely impaired by such amendment without the Participant’s express written consent. The Administrator further reserves the right to waive any obligation of a Participant under or restriction imposed upon a Participant by the Plan, but no such waiver shall be construed as a waiver of any other provision of the Plan.</w:t>
      </w:r>
    </w:p>
    <w:p>
      <w:pPr>
        <w:spacing w:after="0" w:line="217" w:lineRule="exact"/>
        <w:rPr>
          <w:sz w:val="20"/>
          <w:szCs w:val="20"/>
          <w:color w:val="auto"/>
        </w:rPr>
      </w:pPr>
    </w:p>
    <w:p>
      <w:pPr>
        <w:ind w:left="308" w:hanging="308"/>
        <w:spacing w:after="0"/>
        <w:tabs>
          <w:tab w:leader="none" w:pos="308" w:val="left"/>
        </w:tabs>
        <w:numPr>
          <w:ilvl w:val="0"/>
          <w:numId w:val="35"/>
        </w:numPr>
        <w:rPr>
          <w:rFonts w:ascii="Arial" w:cs="Arial" w:eastAsia="Arial" w:hAnsi="Arial"/>
          <w:sz w:val="20"/>
          <w:szCs w:val="20"/>
          <w:color w:val="auto"/>
        </w:rPr>
      </w:pPr>
      <w:r>
        <w:rPr>
          <w:rFonts w:ascii="Arial" w:cs="Arial" w:eastAsia="Arial" w:hAnsi="Arial"/>
          <w:sz w:val="20"/>
          <w:szCs w:val="20"/>
          <w:u w:val="single" w:color="auto"/>
          <w:color w:val="auto"/>
        </w:rPr>
        <w:t>Miscellaneous.</w:t>
      </w:r>
    </w:p>
    <w:p>
      <w:pPr>
        <w:spacing w:after="0" w:line="242" w:lineRule="exact"/>
        <w:rPr>
          <w:rFonts w:ascii="Arial" w:cs="Arial" w:eastAsia="Arial" w:hAnsi="Arial"/>
          <w:sz w:val="20"/>
          <w:szCs w:val="20"/>
          <w:color w:val="auto"/>
        </w:rPr>
      </w:pPr>
    </w:p>
    <w:p>
      <w:pPr>
        <w:ind w:left="968" w:right="760" w:hanging="320"/>
        <w:spacing w:after="0" w:line="257" w:lineRule="auto"/>
        <w:tabs>
          <w:tab w:leader="none" w:pos="967" w:val="left"/>
        </w:tabs>
        <w:numPr>
          <w:ilvl w:val="1"/>
          <w:numId w:val="35"/>
        </w:numPr>
        <w:rPr>
          <w:rFonts w:ascii="Arial" w:cs="Arial" w:eastAsia="Arial" w:hAnsi="Arial"/>
          <w:sz w:val="20"/>
          <w:szCs w:val="20"/>
          <w:color w:val="auto"/>
        </w:rPr>
      </w:pPr>
      <w:r>
        <w:rPr>
          <w:rFonts w:ascii="Arial" w:cs="Arial" w:eastAsia="Arial" w:hAnsi="Arial"/>
          <w:sz w:val="20"/>
          <w:szCs w:val="20"/>
          <w:i w:val="1"/>
          <w:iCs w:val="1"/>
          <w:color w:val="auto"/>
        </w:rPr>
        <w:t>No Assignment or Alienation</w:t>
      </w:r>
      <w:r>
        <w:rPr>
          <w:rFonts w:ascii="Arial" w:cs="Arial" w:eastAsia="Arial" w:hAnsi="Arial"/>
          <w:sz w:val="20"/>
          <w:szCs w:val="20"/>
          <w:color w:val="auto"/>
        </w:rPr>
        <w:t>. Assignment or alienation of any Severance Benefits will not be permitted or</w:t>
      </w:r>
      <w:r>
        <w:rPr>
          <w:rFonts w:ascii="Arial" w:cs="Arial" w:eastAsia="Arial" w:hAnsi="Arial"/>
          <w:sz w:val="20"/>
          <w:szCs w:val="20"/>
          <w:i w:val="1"/>
          <w:iCs w:val="1"/>
          <w:color w:val="auto"/>
        </w:rPr>
        <w:t xml:space="preserve"> </w:t>
      </w:r>
      <w:r>
        <w:rPr>
          <w:rFonts w:ascii="Arial" w:cs="Arial" w:eastAsia="Arial" w:hAnsi="Arial"/>
          <w:sz w:val="20"/>
          <w:szCs w:val="20"/>
          <w:color w:val="auto"/>
        </w:rPr>
        <w:t>recognized except as required by applicable law.</w:t>
      </w:r>
    </w:p>
    <w:p>
      <w:pPr>
        <w:spacing w:after="0" w:line="195" w:lineRule="exact"/>
        <w:rPr>
          <w:rFonts w:ascii="Arial" w:cs="Arial" w:eastAsia="Arial" w:hAnsi="Arial"/>
          <w:sz w:val="20"/>
          <w:szCs w:val="20"/>
          <w:color w:val="auto"/>
        </w:rPr>
      </w:pPr>
    </w:p>
    <w:p>
      <w:pPr>
        <w:ind w:left="968" w:right="240" w:hanging="320"/>
        <w:spacing w:after="0" w:line="250" w:lineRule="auto"/>
        <w:tabs>
          <w:tab w:leader="none" w:pos="967" w:val="left"/>
        </w:tabs>
        <w:numPr>
          <w:ilvl w:val="1"/>
          <w:numId w:val="35"/>
        </w:numPr>
        <w:rPr>
          <w:rFonts w:ascii="Arial" w:cs="Arial" w:eastAsia="Arial" w:hAnsi="Arial"/>
          <w:sz w:val="20"/>
          <w:szCs w:val="20"/>
          <w:color w:val="auto"/>
        </w:rPr>
      </w:pPr>
      <w:r>
        <w:rPr>
          <w:rFonts w:ascii="Arial" w:cs="Arial" w:eastAsia="Arial" w:hAnsi="Arial"/>
          <w:sz w:val="20"/>
          <w:szCs w:val="20"/>
          <w:i w:val="1"/>
          <w:iCs w:val="1"/>
          <w:color w:val="auto"/>
        </w:rPr>
        <w:t>No Employment Rights</w:t>
      </w:r>
      <w:r>
        <w:rPr>
          <w:rFonts w:ascii="Arial" w:cs="Arial" w:eastAsia="Arial" w:hAnsi="Arial"/>
          <w:sz w:val="20"/>
          <w:szCs w:val="20"/>
          <w:color w:val="auto"/>
        </w:rPr>
        <w:t>. The Plan does not confer employment rights on any Eligible Employee. No Eligible</w:t>
      </w:r>
      <w:r>
        <w:rPr>
          <w:rFonts w:ascii="Arial" w:cs="Arial" w:eastAsia="Arial" w:hAnsi="Arial"/>
          <w:sz w:val="20"/>
          <w:szCs w:val="20"/>
          <w:i w:val="1"/>
          <w:iCs w:val="1"/>
          <w:color w:val="auto"/>
        </w:rPr>
        <w:t xml:space="preserve"> </w:t>
      </w:r>
      <w:r>
        <w:rPr>
          <w:rFonts w:ascii="Arial" w:cs="Arial" w:eastAsia="Arial" w:hAnsi="Arial"/>
          <w:sz w:val="20"/>
          <w:szCs w:val="20"/>
          <w:color w:val="auto"/>
        </w:rPr>
        <w:t>Employee shall be entitled, by reason of the Plan, to remain employed by the Employer and nothing in the Plan restricts the Employer’s right to terminate any Eligible Employee’s employment at any time, with or without Cause, and regardless of whether any Severance Benefits are payable under the Plan.</w:t>
      </w:r>
    </w:p>
    <w:p>
      <w:pPr>
        <w:spacing w:after="0" w:line="202" w:lineRule="exact"/>
        <w:rPr>
          <w:rFonts w:ascii="Arial" w:cs="Arial" w:eastAsia="Arial" w:hAnsi="Arial"/>
          <w:sz w:val="20"/>
          <w:szCs w:val="20"/>
          <w:color w:val="auto"/>
        </w:rPr>
      </w:pPr>
    </w:p>
    <w:p>
      <w:pPr>
        <w:ind w:left="968" w:right="120" w:hanging="320"/>
        <w:spacing w:after="0" w:line="241" w:lineRule="auto"/>
        <w:tabs>
          <w:tab w:leader="none" w:pos="956" w:val="left"/>
        </w:tabs>
        <w:numPr>
          <w:ilvl w:val="1"/>
          <w:numId w:val="35"/>
        </w:numPr>
        <w:rPr>
          <w:rFonts w:ascii="Arial" w:cs="Arial" w:eastAsia="Arial" w:hAnsi="Arial"/>
          <w:sz w:val="20"/>
          <w:szCs w:val="20"/>
          <w:color w:val="auto"/>
        </w:rPr>
      </w:pPr>
      <w:r>
        <w:rPr>
          <w:rFonts w:ascii="Arial" w:cs="Arial" w:eastAsia="Arial" w:hAnsi="Arial"/>
          <w:sz w:val="20"/>
          <w:szCs w:val="20"/>
          <w:i w:val="1"/>
          <w:iCs w:val="1"/>
          <w:color w:val="auto"/>
        </w:rPr>
        <w:t>Funding</w:t>
      </w:r>
      <w:r>
        <w:rPr>
          <w:rFonts w:ascii="Arial" w:cs="Arial" w:eastAsia="Arial" w:hAnsi="Arial"/>
          <w:sz w:val="20"/>
          <w:szCs w:val="20"/>
          <w:color w:val="auto"/>
        </w:rPr>
        <w:t>. Benefits payable under the Plan shall be paid from the general assets of the Employer. No trust fund or</w:t>
      </w:r>
      <w:r>
        <w:rPr>
          <w:rFonts w:ascii="Arial" w:cs="Arial" w:eastAsia="Arial" w:hAnsi="Arial"/>
          <w:sz w:val="20"/>
          <w:szCs w:val="20"/>
          <w:i w:val="1"/>
          <w:iCs w:val="1"/>
          <w:color w:val="auto"/>
        </w:rPr>
        <w:t xml:space="preserve"> </w:t>
      </w:r>
      <w:r>
        <w:rPr>
          <w:rFonts w:ascii="Arial" w:cs="Arial" w:eastAsia="Arial" w:hAnsi="Arial"/>
          <w:sz w:val="20"/>
          <w:szCs w:val="20"/>
          <w:color w:val="auto"/>
        </w:rPr>
        <w:t>other segregated fund shall be required to be established for this purpose.</w:t>
      </w:r>
    </w:p>
    <w:p>
      <w:pPr>
        <w:spacing w:after="0" w:line="1" w:lineRule="exact"/>
        <w:rPr>
          <w:rFonts w:ascii="Arial" w:cs="Arial" w:eastAsia="Arial" w:hAnsi="Arial"/>
          <w:sz w:val="20"/>
          <w:szCs w:val="20"/>
          <w:color w:val="auto"/>
        </w:rPr>
      </w:pPr>
    </w:p>
    <w:p>
      <w:pPr>
        <w:ind w:left="968" w:hanging="320"/>
        <w:spacing w:after="0" w:line="238" w:lineRule="auto"/>
        <w:tabs>
          <w:tab w:leader="none" w:pos="967" w:val="left"/>
        </w:tabs>
        <w:numPr>
          <w:ilvl w:val="1"/>
          <w:numId w:val="35"/>
        </w:numPr>
        <w:rPr>
          <w:rFonts w:ascii="Arial" w:cs="Arial" w:eastAsia="Arial" w:hAnsi="Arial"/>
          <w:sz w:val="20"/>
          <w:szCs w:val="20"/>
          <w:color w:val="auto"/>
        </w:rPr>
      </w:pPr>
      <w:r>
        <w:rPr>
          <w:rFonts w:ascii="Arial" w:cs="Arial" w:eastAsia="Arial" w:hAnsi="Arial"/>
          <w:sz w:val="20"/>
          <w:szCs w:val="20"/>
          <w:i w:val="1"/>
          <w:iCs w:val="1"/>
          <w:color w:val="auto"/>
        </w:rPr>
        <w:t>Claims</w:t>
      </w:r>
      <w:r>
        <w:rPr>
          <w:rFonts w:ascii="Arial" w:cs="Arial" w:eastAsia="Arial" w:hAnsi="Arial"/>
          <w:sz w:val="20"/>
          <w:szCs w:val="20"/>
          <w:color w:val="auto"/>
        </w:rPr>
        <w:t>. All claims for benefits under the Plan shall be made in accordance with procedures prescribed by the</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Administrator with respect to the Plan under Section 503 of ERISA. In the event that there is any remaining claim or dispute arising out of or relating to the Plan following the exhaustion of the Plan’s claims procedures, then such claim or dispute shall (except as otherwise provided in </w:t>
      </w:r>
      <w:r>
        <w:rPr>
          <w:rFonts w:ascii="Arial" w:cs="Arial" w:eastAsia="Arial" w:hAnsi="Arial"/>
          <w:sz w:val="20"/>
          <w:szCs w:val="20"/>
          <w:u w:val="single" w:color="auto"/>
          <w:color w:val="auto"/>
        </w:rPr>
        <w:t>Section 8(e)</w:t>
      </w:r>
      <w:r>
        <w:rPr>
          <w:rFonts w:ascii="Arial" w:cs="Arial" w:eastAsia="Arial" w:hAnsi="Arial"/>
          <w:sz w:val="20"/>
          <w:szCs w:val="20"/>
          <w:color w:val="auto"/>
        </w:rPr>
        <w:t>) be settled exclusively by binding arbitration in Boston, Massachusetts in accordance with the JAMS Employment Arbitration Rules &amp; Procedures applicable at the time of commencement of the arbitration (the “Rules”) by an arbitrator mutually agreed upon by the Participant and the Company or, in the absence of such agreement, by an arbitrator selected according to the Rules. Notwithstanding the foregoing, if either the Company or the Participant shall request, such arbitration shall be conducted by a panel of three arbitrators, one selected by the Company, one selected by the Participant and the third selected by agreement of the first two, or, in the absence of such agreement, in accordance with the Rules. In reviewing a decision of the Administrator, the parties agree that the arbitrator(s) shall apply the same standard of review and deference as would be applied by a federal court reviewing such a decision.</w:t>
      </w:r>
    </w:p>
    <w:p>
      <w:pPr>
        <w:spacing w:after="0" w:line="3" w:lineRule="exact"/>
        <w:rPr>
          <w:rFonts w:ascii="Arial" w:cs="Arial" w:eastAsia="Arial" w:hAnsi="Arial"/>
          <w:sz w:val="20"/>
          <w:szCs w:val="20"/>
          <w:color w:val="auto"/>
        </w:rPr>
      </w:pPr>
    </w:p>
    <w:p>
      <w:pPr>
        <w:ind w:left="968"/>
        <w:spacing w:after="0"/>
        <w:rPr>
          <w:rFonts w:ascii="Arial" w:cs="Arial" w:eastAsia="Arial" w:hAnsi="Arial"/>
          <w:sz w:val="20"/>
          <w:szCs w:val="20"/>
          <w:color w:val="auto"/>
        </w:rPr>
      </w:pPr>
      <w:r>
        <w:rPr>
          <w:rFonts w:ascii="Arial" w:cs="Arial" w:eastAsia="Arial" w:hAnsi="Arial"/>
          <w:sz w:val="20"/>
          <w:szCs w:val="20"/>
          <w:color w:val="auto"/>
        </w:rPr>
        <w:t>Judgment upon</w:t>
      </w:r>
    </w:p>
    <w:p>
      <w:pPr>
        <w:spacing w:after="0" w:line="200" w:lineRule="exact"/>
        <w:rPr>
          <w:sz w:val="20"/>
          <w:szCs w:val="20"/>
          <w:color w:val="auto"/>
        </w:rPr>
      </w:pPr>
    </w:p>
    <w:p>
      <w:pPr>
        <w:spacing w:after="0" w:line="32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08"/>
          </w:cols>
          <w:pgMar w:left="652" w:top="361" w:right="339" w:bottom="1440" w:gutter="0" w:footer="0" w:header="0"/>
        </w:sectPr>
      </w:pPr>
    </w:p>
    <w:bookmarkStart w:id="94" w:name="page95"/>
    <w:bookmarkEnd w:id="94"/>
    <w:p>
      <w:pPr>
        <w:ind w:left="320" w:right="680"/>
        <w:spacing w:after="0" w:line="271" w:lineRule="auto"/>
        <w:rPr>
          <w:sz w:val="20"/>
          <w:szCs w:val="20"/>
          <w:color w:val="auto"/>
        </w:rPr>
      </w:pPr>
      <w:r>
        <w:rPr>
          <w:rFonts w:ascii="Arial" w:cs="Arial" w:eastAsia="Arial" w:hAnsi="Arial"/>
          <w:sz w:val="20"/>
          <w:szCs w:val="20"/>
          <w:color w:val="auto"/>
        </w:rPr>
        <w:t>any award rendered by such arbitrator(s) shall be entered in any court having jurisdiction thereof upon the application of either party.</w:t>
      </w:r>
    </w:p>
    <w:p>
      <w:pPr>
        <w:spacing w:after="0" w:line="183" w:lineRule="exact"/>
        <w:rPr>
          <w:sz w:val="20"/>
          <w:szCs w:val="20"/>
          <w:color w:val="auto"/>
        </w:rPr>
      </w:pPr>
    </w:p>
    <w:p>
      <w:pPr>
        <w:ind w:left="320" w:hanging="320"/>
        <w:spacing w:after="0"/>
        <w:tabs>
          <w:tab w:leader="none" w:pos="320" w:val="left"/>
        </w:tabs>
        <w:numPr>
          <w:ilvl w:val="0"/>
          <w:numId w:val="36"/>
        </w:numPr>
        <w:rPr>
          <w:rFonts w:ascii="Arial" w:cs="Arial" w:eastAsia="Arial" w:hAnsi="Arial"/>
          <w:sz w:val="20"/>
          <w:szCs w:val="20"/>
          <w:color w:val="auto"/>
        </w:rPr>
      </w:pPr>
      <w:r>
        <w:rPr>
          <w:rFonts w:ascii="Arial" w:cs="Arial" w:eastAsia="Arial" w:hAnsi="Arial"/>
          <w:sz w:val="20"/>
          <w:szCs w:val="20"/>
          <w:i w:val="1"/>
          <w:iCs w:val="1"/>
          <w:color w:val="auto"/>
        </w:rPr>
        <w:t>Taxes</w:t>
      </w:r>
      <w:r>
        <w:rPr>
          <w:rFonts w:ascii="Arial" w:cs="Arial" w:eastAsia="Arial" w:hAnsi="Arial"/>
          <w:sz w:val="20"/>
          <w:szCs w:val="20"/>
          <w:color w:val="auto"/>
        </w:rPr>
        <w:t>. The Tax Matters attached hereto as</w:t>
      </w:r>
      <w:r>
        <w:rPr>
          <w:rFonts w:ascii="Arial" w:cs="Arial" w:eastAsia="Arial" w:hAnsi="Arial"/>
          <w:sz w:val="20"/>
          <w:szCs w:val="20"/>
          <w:i w:val="1"/>
          <w:iCs w:val="1"/>
          <w:color w:val="auto"/>
        </w:rPr>
        <w:t xml:space="preserve"> </w:t>
      </w:r>
      <w:r>
        <w:rPr>
          <w:rFonts w:ascii="Arial" w:cs="Arial" w:eastAsia="Arial" w:hAnsi="Arial"/>
          <w:sz w:val="20"/>
          <w:szCs w:val="20"/>
          <w:u w:val="single" w:color="auto"/>
          <w:color w:val="auto"/>
        </w:rPr>
        <w:t>Appendix B</w:t>
      </w:r>
      <w:r>
        <w:rPr>
          <w:rFonts w:ascii="Arial" w:cs="Arial" w:eastAsia="Arial" w:hAnsi="Arial"/>
          <w:sz w:val="20"/>
          <w:szCs w:val="20"/>
          <w:i w:val="1"/>
          <w:iCs w:val="1"/>
          <w:color w:val="auto"/>
        </w:rPr>
        <w:t xml:space="preserve"> </w:t>
      </w:r>
      <w:r>
        <w:rPr>
          <w:rFonts w:ascii="Arial" w:cs="Arial" w:eastAsia="Arial" w:hAnsi="Arial"/>
          <w:sz w:val="20"/>
          <w:szCs w:val="20"/>
          <w:color w:val="auto"/>
        </w:rPr>
        <w:t>are hereby incorporated by reference.</w:t>
      </w:r>
    </w:p>
    <w:p>
      <w:pPr>
        <w:spacing w:after="0" w:line="242" w:lineRule="exact"/>
        <w:rPr>
          <w:rFonts w:ascii="Arial" w:cs="Arial" w:eastAsia="Arial" w:hAnsi="Arial"/>
          <w:sz w:val="20"/>
          <w:szCs w:val="20"/>
          <w:color w:val="auto"/>
        </w:rPr>
      </w:pPr>
    </w:p>
    <w:p>
      <w:pPr>
        <w:ind w:left="320" w:right="100" w:hanging="320"/>
        <w:spacing w:after="0" w:line="252" w:lineRule="auto"/>
        <w:tabs>
          <w:tab w:leader="none" w:pos="318" w:val="left"/>
        </w:tabs>
        <w:numPr>
          <w:ilvl w:val="0"/>
          <w:numId w:val="36"/>
        </w:numPr>
        <w:rPr>
          <w:rFonts w:ascii="Arial" w:cs="Arial" w:eastAsia="Arial" w:hAnsi="Arial"/>
          <w:sz w:val="19"/>
          <w:szCs w:val="19"/>
          <w:color w:val="auto"/>
        </w:rPr>
      </w:pPr>
      <w:r>
        <w:rPr>
          <w:rFonts w:ascii="Arial" w:cs="Arial" w:eastAsia="Arial" w:hAnsi="Arial"/>
          <w:sz w:val="19"/>
          <w:szCs w:val="19"/>
          <w:i w:val="1"/>
          <w:iCs w:val="1"/>
          <w:color w:val="auto"/>
        </w:rPr>
        <w:t>Applicable Law</w:t>
      </w:r>
      <w:r>
        <w:rPr>
          <w:rFonts w:ascii="Arial" w:cs="Arial" w:eastAsia="Arial" w:hAnsi="Arial"/>
          <w:sz w:val="19"/>
          <w:szCs w:val="19"/>
          <w:color w:val="auto"/>
        </w:rPr>
        <w:t>. The Plan shall be governed by and construed in accordance with ERISA, except that matters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under the Plan not preempted by ERISA shall be governed by and construed in accordance with the laws of the Commonwealth of Massachusetts without regard to its conflict-of-laws provisions. Subject to </w:t>
      </w:r>
      <w:r>
        <w:rPr>
          <w:rFonts w:ascii="Arial" w:cs="Arial" w:eastAsia="Arial" w:hAnsi="Arial"/>
          <w:sz w:val="19"/>
          <w:szCs w:val="19"/>
          <w:u w:val="single" w:color="auto"/>
          <w:color w:val="auto"/>
        </w:rPr>
        <w:t>Section 10(d)</w:t>
      </w:r>
      <w:r>
        <w:rPr>
          <w:rFonts w:ascii="Arial" w:cs="Arial" w:eastAsia="Arial" w:hAnsi="Arial"/>
          <w:sz w:val="19"/>
          <w:szCs w:val="19"/>
          <w:color w:val="auto"/>
        </w:rPr>
        <w:t>, each Participant agrees to (i) submit irrevocably and unconditionally to the jurisdiction of the federal and state courts located within the geographic boundaries of the United States District Court for the District of Massachusetts for the purpose of any suit, action or other proceeding arising out of or based upon the Plan; (ii) not commence any suit, action or other proceeding arising out of or based upon the Plan, except in the federal and state courts</w:t>
      </w:r>
    </w:p>
    <w:p>
      <w:pPr>
        <w:spacing w:after="0" w:line="3" w:lineRule="exact"/>
        <w:rPr>
          <w:sz w:val="20"/>
          <w:szCs w:val="20"/>
          <w:color w:val="auto"/>
        </w:rPr>
      </w:pPr>
    </w:p>
    <w:p>
      <w:pPr>
        <w:ind w:left="320"/>
        <w:spacing w:after="0"/>
        <w:rPr>
          <w:sz w:val="20"/>
          <w:szCs w:val="20"/>
          <w:color w:val="auto"/>
        </w:rPr>
      </w:pPr>
      <w:r>
        <w:rPr>
          <w:rFonts w:ascii="Arial" w:cs="Arial" w:eastAsia="Arial" w:hAnsi="Arial"/>
          <w:sz w:val="19"/>
          <w:szCs w:val="19"/>
          <w:color w:val="auto"/>
        </w:rPr>
        <w:t>located within the geographic boundaries of the United States District Court for the District of Massachusetts; and</w:t>
      </w:r>
    </w:p>
    <w:p>
      <w:pPr>
        <w:ind w:left="320"/>
        <w:spacing w:after="0" w:line="242" w:lineRule="auto"/>
        <w:rPr>
          <w:sz w:val="20"/>
          <w:szCs w:val="20"/>
          <w:color w:val="auto"/>
        </w:rPr>
      </w:pPr>
      <w:r>
        <w:rPr>
          <w:rFonts w:ascii="Arial" w:cs="Arial" w:eastAsia="Arial" w:hAnsi="Arial"/>
          <w:sz w:val="20"/>
          <w:szCs w:val="20"/>
          <w:color w:val="auto"/>
        </w:rPr>
        <w:t>(iii) waive, and not assert, by way of motion as a defense or otherwise, in any such suit, action or proceeding, any claim that he or she is not subject personally to the jurisdiction of the above-named courts, that his or her property is exempt or immune from attachment or execution, that the suit, action or proceeding is brought in an inconvenient forum, that the venue of the suit, action or proceeding is improper or that the Plan or the subject matter thereof may not be enforced in or by such court.</w:t>
      </w:r>
    </w:p>
    <w:p>
      <w:pPr>
        <w:spacing w:after="0" w:line="213" w:lineRule="exact"/>
        <w:rPr>
          <w:sz w:val="20"/>
          <w:szCs w:val="20"/>
          <w:color w:val="auto"/>
        </w:rPr>
      </w:pPr>
    </w:p>
    <w:p>
      <w:pPr>
        <w:ind w:left="320" w:hanging="320"/>
        <w:spacing w:after="0"/>
        <w:tabs>
          <w:tab w:leader="none" w:pos="320" w:val="left"/>
        </w:tabs>
        <w:numPr>
          <w:ilvl w:val="0"/>
          <w:numId w:val="37"/>
        </w:numPr>
        <w:rPr>
          <w:rFonts w:ascii="Arial" w:cs="Arial" w:eastAsia="Arial" w:hAnsi="Arial"/>
          <w:sz w:val="20"/>
          <w:szCs w:val="20"/>
          <w:color w:val="auto"/>
        </w:rPr>
      </w:pPr>
      <w:r>
        <w:rPr>
          <w:rFonts w:ascii="Arial" w:cs="Arial" w:eastAsia="Arial" w:hAnsi="Arial"/>
          <w:sz w:val="20"/>
          <w:szCs w:val="20"/>
          <w:i w:val="1"/>
          <w:iCs w:val="1"/>
          <w:color w:val="auto"/>
        </w:rPr>
        <w:t>Plan Year</w:t>
      </w:r>
      <w:r>
        <w:rPr>
          <w:rFonts w:ascii="Arial" w:cs="Arial" w:eastAsia="Arial" w:hAnsi="Arial"/>
          <w:sz w:val="20"/>
          <w:szCs w:val="20"/>
          <w:color w:val="auto"/>
        </w:rPr>
        <w:t>. The plan year is the calendar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240"/>
          </w:cols>
          <w:pgMar w:left="1300" w:top="361" w:right="359" w:bottom="1440" w:gutter="0" w:footer="0" w:header="0"/>
        </w:sectPr>
      </w:pPr>
    </w:p>
    <w:bookmarkStart w:id="95" w:name="page96"/>
    <w:bookmarkEnd w:id="95"/>
    <w:p>
      <w:pPr>
        <w:jc w:val="center"/>
        <w:ind w:right="-19"/>
        <w:spacing w:after="0"/>
        <w:rPr>
          <w:sz w:val="20"/>
          <w:szCs w:val="20"/>
          <w:color w:val="auto"/>
        </w:rPr>
      </w:pPr>
      <w:r>
        <w:rPr>
          <w:rFonts w:ascii="Arial" w:cs="Arial" w:eastAsia="Arial" w:hAnsi="Arial"/>
          <w:sz w:val="20"/>
          <w:szCs w:val="20"/>
          <w:u w:val="single" w:color="auto"/>
          <w:color w:val="auto"/>
        </w:rPr>
        <w:t>APPENDIX A</w:t>
      </w: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Definitions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0"/>
          <w:szCs w:val="20"/>
          <w:color w:val="auto"/>
        </w:rPr>
        <w:t>For purposes of the Plan, the following terms shall have the meanings set forth below:</w:t>
      </w:r>
    </w:p>
    <w:p>
      <w:pPr>
        <w:spacing w:after="0" w:line="243" w:lineRule="exact"/>
        <w:rPr>
          <w:sz w:val="20"/>
          <w:szCs w:val="20"/>
          <w:color w:val="auto"/>
        </w:rPr>
      </w:pPr>
    </w:p>
    <w:p>
      <w:pPr>
        <w:ind w:left="1300" w:hanging="644"/>
        <w:spacing w:after="0" w:line="255" w:lineRule="auto"/>
        <w:tabs>
          <w:tab w:leader="none" w:pos="1299" w:val="left"/>
        </w:tabs>
        <w:numPr>
          <w:ilvl w:val="0"/>
          <w:numId w:val="38"/>
        </w:numPr>
        <w:rPr>
          <w:rFonts w:ascii="Arial" w:cs="Arial" w:eastAsia="Arial" w:hAnsi="Arial"/>
          <w:sz w:val="20"/>
          <w:szCs w:val="20"/>
          <w:color w:val="auto"/>
        </w:rPr>
      </w:pPr>
      <w:r>
        <w:rPr>
          <w:rFonts w:ascii="Arial" w:cs="Arial" w:eastAsia="Arial" w:hAnsi="Arial"/>
          <w:sz w:val="20"/>
          <w:szCs w:val="20"/>
          <w:color w:val="auto"/>
        </w:rPr>
        <w:t>“Administrator”: The Committee and such other persons, including without limitation committees or subcommittees, as the Committee may designate to administer the Plan, in each case to the extent of the powers and duties delegated to them by the Committee hereunder.</w:t>
      </w:r>
    </w:p>
    <w:p>
      <w:pPr>
        <w:spacing w:after="0" w:line="198" w:lineRule="exact"/>
        <w:rPr>
          <w:rFonts w:ascii="Arial" w:cs="Arial" w:eastAsia="Arial" w:hAnsi="Arial"/>
          <w:sz w:val="20"/>
          <w:szCs w:val="20"/>
          <w:color w:val="auto"/>
        </w:rPr>
      </w:pPr>
    </w:p>
    <w:p>
      <w:pPr>
        <w:ind w:left="1300" w:hanging="644"/>
        <w:spacing w:after="0"/>
        <w:tabs>
          <w:tab w:leader="none" w:pos="1300" w:val="left"/>
        </w:tabs>
        <w:numPr>
          <w:ilvl w:val="0"/>
          <w:numId w:val="38"/>
        </w:numPr>
        <w:rPr>
          <w:rFonts w:ascii="Arial" w:cs="Arial" w:eastAsia="Arial" w:hAnsi="Arial"/>
          <w:sz w:val="20"/>
          <w:szCs w:val="20"/>
          <w:color w:val="auto"/>
        </w:rPr>
      </w:pPr>
      <w:r>
        <w:rPr>
          <w:rFonts w:ascii="Arial" w:cs="Arial" w:eastAsia="Arial" w:hAnsi="Arial"/>
          <w:sz w:val="20"/>
          <w:szCs w:val="20"/>
          <w:color w:val="auto"/>
        </w:rPr>
        <w:t>“Base Salary”: As to any Participant, his or her base annual wages, as in effect from time to time.</w:t>
      </w:r>
    </w:p>
    <w:p>
      <w:pPr>
        <w:spacing w:after="0" w:line="242" w:lineRule="exact"/>
        <w:rPr>
          <w:rFonts w:ascii="Arial" w:cs="Arial" w:eastAsia="Arial" w:hAnsi="Arial"/>
          <w:sz w:val="20"/>
          <w:szCs w:val="20"/>
          <w:color w:val="auto"/>
        </w:rPr>
      </w:pPr>
    </w:p>
    <w:p>
      <w:pPr>
        <w:ind w:left="1300" w:hanging="644"/>
        <w:spacing w:after="0"/>
        <w:tabs>
          <w:tab w:leader="none" w:pos="1300" w:val="left"/>
        </w:tabs>
        <w:numPr>
          <w:ilvl w:val="0"/>
          <w:numId w:val="38"/>
        </w:numPr>
        <w:rPr>
          <w:rFonts w:ascii="Arial" w:cs="Arial" w:eastAsia="Arial" w:hAnsi="Arial"/>
          <w:sz w:val="20"/>
          <w:szCs w:val="20"/>
          <w:color w:val="auto"/>
        </w:rPr>
      </w:pPr>
      <w:r>
        <w:rPr>
          <w:rFonts w:ascii="Arial" w:cs="Arial" w:eastAsia="Arial" w:hAnsi="Arial"/>
          <w:sz w:val="20"/>
          <w:szCs w:val="20"/>
          <w:color w:val="auto"/>
        </w:rPr>
        <w:t>“Board”: The board of directors of the Company.</w:t>
      </w:r>
    </w:p>
    <w:p>
      <w:pPr>
        <w:spacing w:after="0" w:line="242" w:lineRule="exact"/>
        <w:rPr>
          <w:rFonts w:ascii="Arial" w:cs="Arial" w:eastAsia="Arial" w:hAnsi="Arial"/>
          <w:sz w:val="20"/>
          <w:szCs w:val="20"/>
          <w:color w:val="auto"/>
        </w:rPr>
      </w:pPr>
    </w:p>
    <w:p>
      <w:pPr>
        <w:ind w:left="1300" w:hanging="644"/>
        <w:spacing w:after="0" w:line="238" w:lineRule="auto"/>
        <w:tabs>
          <w:tab w:leader="none" w:pos="1299" w:val="left"/>
        </w:tabs>
        <w:numPr>
          <w:ilvl w:val="0"/>
          <w:numId w:val="38"/>
        </w:numPr>
        <w:rPr>
          <w:rFonts w:ascii="Arial" w:cs="Arial" w:eastAsia="Arial" w:hAnsi="Arial"/>
          <w:sz w:val="20"/>
          <w:szCs w:val="20"/>
          <w:color w:val="auto"/>
        </w:rPr>
      </w:pPr>
      <w:r>
        <w:rPr>
          <w:rFonts w:ascii="Arial" w:cs="Arial" w:eastAsia="Arial" w:hAnsi="Arial"/>
          <w:sz w:val="20"/>
          <w:szCs w:val="20"/>
          <w:color w:val="auto"/>
        </w:rPr>
        <w:t xml:space="preserve">“Cause”: As to any Participant, for purposes of the Plan and notwithstanding any other agreement between the Employer and the Participant or any other Employer plan or program containing a definition of “cause” or similar provision (however formulated), the occurrence of any of the following, as determined by the Company in its reasonable judgment: (i) material and willful dishonesty (such as, but not limited to, fraud, embezzlement, misappropriation, theft, or bribery) by the Participant in the performance of his or her duties to the Employer; (ii) conviction of a felony (other than a conviction arising solely under a statutory provision imposing criminal liability upon the Participant on a per se basis due to the Employer offices held by the Participant, so long as any act or omission of the Participant with respect to such matter was not taken or omitted in contravention of any applicable written policy or directive of the Board or the Participant’s direct supervisor); (iii) willful neglect of the Participant’s material duties (other than as a result of Disability), which neglect is not cured by the Participant after having been given at least thirty (30) days’ written notice by the Employer that apprises the Participant of the nature of the neglect to be cured, or which neglect, if previously cured, recurs; (iv) material conflict of interest in violation of a written policy or policies of the Employer which continues for sixty (60) days after the Employer gives written notice to the Participant that apprises the Participant of the nature of the conflict and requests the cessation of such conflict; (v) willful misconduct that is a violation of a written policy or policies of the Employer (such as, but not limited to, a written policy or policies regarding substance abuse, harassment, or workplace violence) and which is materially harmful to the reputation or business of the Company; or (vi) a breach of the Participant’s obligations under the Obligations Agreement or under </w:t>
      </w:r>
      <w:r>
        <w:rPr>
          <w:rFonts w:ascii="Arial" w:cs="Arial" w:eastAsia="Arial" w:hAnsi="Arial"/>
          <w:sz w:val="20"/>
          <w:szCs w:val="20"/>
          <w:u w:val="single" w:color="auto"/>
          <w:color w:val="auto"/>
        </w:rPr>
        <w:t>Section 8</w:t>
      </w:r>
      <w:r>
        <w:rPr>
          <w:rFonts w:ascii="Arial" w:cs="Arial" w:eastAsia="Arial" w:hAnsi="Arial"/>
          <w:sz w:val="20"/>
          <w:szCs w:val="20"/>
          <w:color w:val="auto"/>
        </w:rPr>
        <w:t xml:space="preserve">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220"/>
          </w:cols>
          <w:pgMar w:left="320" w:top="658" w:right="359" w:bottom="1440" w:gutter="0" w:footer="0" w:header="0"/>
        </w:sectPr>
      </w:pPr>
    </w:p>
    <w:bookmarkStart w:id="96" w:name="page97"/>
    <w:bookmarkEnd w:id="96"/>
    <w:p>
      <w:pPr>
        <w:ind w:left="644"/>
        <w:spacing w:after="0" w:line="239" w:lineRule="auto"/>
        <w:rPr>
          <w:sz w:val="20"/>
          <w:szCs w:val="20"/>
          <w:color w:val="auto"/>
        </w:rPr>
      </w:pPr>
      <w:r>
        <w:rPr>
          <w:rFonts w:ascii="Arial" w:cs="Arial" w:eastAsia="Arial" w:hAnsi="Arial"/>
          <w:sz w:val="20"/>
          <w:szCs w:val="20"/>
          <w:color w:val="auto"/>
        </w:rPr>
        <w:t xml:space="preserve">For purposes of this definition of Cause, no act or failure to act on the part of a Participant, shall be considered “willful” unless it is done, or omitted to be done, by the Participant in bad faith or without reasonable belief that the Participant’s action or omission was in the best interests of the Company. The Company must act reasonably and in good faith with respect to any termination for Cause. Any determination by the Company of the occurrence of Cause must be based on an appropriate investigation. A termination of employment for Cause shall not take effect unless the Participant is given written notice by the Company of such termination and the notice specifically identifies the basis for such termination. Notwithstanding any other provision of the Plan, if grounds for a termination for Cause existed in connection with any termination of employment for any reason occurring outside of the Protection Period, the Company, subject to the foregoing provisions of this definition of Cause, may elect to treat such termination as a termination for Cause in which case the Participant will not be entitled to receive or retain any Severance Benefits under the Plan, other than, for the avoidance of doubt, any Specified Accrued Benefits or other amounts to which the Participant would remain entitled in accordance with and subject to </w:t>
      </w:r>
      <w:r>
        <w:rPr>
          <w:rFonts w:ascii="Arial" w:cs="Arial" w:eastAsia="Arial" w:hAnsi="Arial"/>
          <w:sz w:val="20"/>
          <w:szCs w:val="20"/>
          <w:u w:val="single" w:color="auto"/>
          <w:color w:val="auto"/>
        </w:rPr>
        <w:t>Section 5(b)</w:t>
      </w:r>
      <w:r>
        <w:rPr>
          <w:rFonts w:ascii="Arial" w:cs="Arial" w:eastAsia="Arial" w:hAnsi="Arial"/>
          <w:sz w:val="20"/>
          <w:szCs w:val="20"/>
          <w:color w:val="auto"/>
        </w:rPr>
        <w:t xml:space="preserve"> of the Plan.</w:t>
      </w:r>
    </w:p>
    <w:p>
      <w:pPr>
        <w:spacing w:after="0" w:line="222" w:lineRule="exact"/>
        <w:rPr>
          <w:sz w:val="20"/>
          <w:szCs w:val="20"/>
          <w:color w:val="auto"/>
        </w:rPr>
      </w:pPr>
    </w:p>
    <w:p>
      <w:pPr>
        <w:ind w:left="644" w:right="340" w:hanging="644"/>
        <w:spacing w:after="0" w:line="271" w:lineRule="auto"/>
        <w:tabs>
          <w:tab w:leader="none" w:pos="643" w:val="left"/>
        </w:tabs>
        <w:numPr>
          <w:ilvl w:val="0"/>
          <w:numId w:val="39"/>
        </w:numPr>
        <w:rPr>
          <w:rFonts w:ascii="Arial" w:cs="Arial" w:eastAsia="Arial" w:hAnsi="Arial"/>
          <w:sz w:val="20"/>
          <w:szCs w:val="20"/>
          <w:color w:val="auto"/>
        </w:rPr>
      </w:pPr>
      <w:r>
        <w:rPr>
          <w:rFonts w:ascii="Arial" w:cs="Arial" w:eastAsia="Arial" w:hAnsi="Arial"/>
          <w:sz w:val="20"/>
          <w:szCs w:val="20"/>
          <w:color w:val="auto"/>
        </w:rPr>
        <w:t>“Change of Control”: As to any Participant, a “change of control” of the Company as defined in the Company’s Stock Incentive Plan or any successor plan.</w:t>
      </w:r>
    </w:p>
    <w:p>
      <w:pPr>
        <w:spacing w:after="0" w:line="182" w:lineRule="exact"/>
        <w:rPr>
          <w:rFonts w:ascii="Arial" w:cs="Arial" w:eastAsia="Arial" w:hAnsi="Arial"/>
          <w:sz w:val="20"/>
          <w:szCs w:val="20"/>
          <w:color w:val="auto"/>
        </w:rPr>
      </w:pPr>
    </w:p>
    <w:p>
      <w:pPr>
        <w:ind w:left="644" w:hanging="644"/>
        <w:spacing w:after="0"/>
        <w:tabs>
          <w:tab w:leader="none" w:pos="644" w:val="left"/>
        </w:tabs>
        <w:numPr>
          <w:ilvl w:val="0"/>
          <w:numId w:val="39"/>
        </w:numPr>
        <w:rPr>
          <w:rFonts w:ascii="Arial" w:cs="Arial" w:eastAsia="Arial" w:hAnsi="Arial"/>
          <w:sz w:val="20"/>
          <w:szCs w:val="20"/>
          <w:color w:val="auto"/>
        </w:rPr>
      </w:pPr>
      <w:r>
        <w:rPr>
          <w:rFonts w:ascii="Arial" w:cs="Arial" w:eastAsia="Arial" w:hAnsi="Arial"/>
          <w:sz w:val="20"/>
          <w:szCs w:val="20"/>
          <w:color w:val="auto"/>
        </w:rPr>
        <w:t>“CoC Qualifying Termination”: As to any Participant, a termination of the Participant’s employment during the</w:t>
      </w:r>
    </w:p>
    <w:p>
      <w:pPr>
        <w:spacing w:after="0" w:line="17" w:lineRule="exact"/>
        <w:rPr>
          <w:rFonts w:ascii="Arial" w:cs="Arial" w:eastAsia="Arial" w:hAnsi="Arial"/>
          <w:sz w:val="20"/>
          <w:szCs w:val="20"/>
          <w:color w:val="auto"/>
        </w:rPr>
      </w:pPr>
    </w:p>
    <w:p>
      <w:pPr>
        <w:ind w:left="644" w:right="320"/>
        <w:spacing w:after="0" w:line="253" w:lineRule="auto"/>
        <w:rPr>
          <w:rFonts w:ascii="Arial" w:cs="Arial" w:eastAsia="Arial" w:hAnsi="Arial"/>
          <w:sz w:val="20"/>
          <w:szCs w:val="20"/>
          <w:color w:val="auto"/>
        </w:rPr>
      </w:pPr>
      <w:r>
        <w:rPr>
          <w:rFonts w:ascii="Arial" w:cs="Arial" w:eastAsia="Arial" w:hAnsi="Arial"/>
          <w:sz w:val="20"/>
          <w:szCs w:val="20"/>
          <w:color w:val="auto"/>
        </w:rPr>
        <w:t>Protection Period for any of the following reasons: (i) by the Company without Cause; (ii) by the Participant for Good Reason; or (iii) by reason of death or Disability.</w:t>
      </w:r>
    </w:p>
    <w:p>
      <w:pPr>
        <w:spacing w:after="0" w:line="185" w:lineRule="exact"/>
        <w:rPr>
          <w:rFonts w:ascii="Arial" w:cs="Arial" w:eastAsia="Arial" w:hAnsi="Arial"/>
          <w:sz w:val="20"/>
          <w:szCs w:val="20"/>
          <w:color w:val="auto"/>
        </w:rPr>
      </w:pPr>
    </w:p>
    <w:p>
      <w:pPr>
        <w:ind w:left="644" w:right="160" w:hanging="644"/>
        <w:spacing w:after="0" w:line="271" w:lineRule="auto"/>
        <w:tabs>
          <w:tab w:leader="none" w:pos="643" w:val="left"/>
        </w:tabs>
        <w:numPr>
          <w:ilvl w:val="0"/>
          <w:numId w:val="39"/>
        </w:numPr>
        <w:rPr>
          <w:rFonts w:ascii="Arial" w:cs="Arial" w:eastAsia="Arial" w:hAnsi="Arial"/>
          <w:sz w:val="20"/>
          <w:szCs w:val="20"/>
          <w:color w:val="auto"/>
        </w:rPr>
      </w:pPr>
      <w:r>
        <w:rPr>
          <w:rFonts w:ascii="Arial" w:cs="Arial" w:eastAsia="Arial" w:hAnsi="Arial"/>
          <w:sz w:val="20"/>
          <w:szCs w:val="20"/>
          <w:color w:val="auto"/>
        </w:rPr>
        <w:t>“Code”: The U.S. Internal Revenue Code of 1986, as from time to time amended and in effect, or any successor statute as from time to time in effect.</w:t>
      </w:r>
    </w:p>
    <w:p>
      <w:pPr>
        <w:spacing w:after="0" w:line="182" w:lineRule="exact"/>
        <w:rPr>
          <w:rFonts w:ascii="Arial" w:cs="Arial" w:eastAsia="Arial" w:hAnsi="Arial"/>
          <w:sz w:val="20"/>
          <w:szCs w:val="20"/>
          <w:color w:val="auto"/>
        </w:rPr>
      </w:pPr>
    </w:p>
    <w:p>
      <w:pPr>
        <w:ind w:left="644" w:hanging="644"/>
        <w:spacing w:after="0"/>
        <w:tabs>
          <w:tab w:leader="none" w:pos="644" w:val="left"/>
        </w:tabs>
        <w:numPr>
          <w:ilvl w:val="0"/>
          <w:numId w:val="39"/>
        </w:numPr>
        <w:rPr>
          <w:rFonts w:ascii="Arial" w:cs="Arial" w:eastAsia="Arial" w:hAnsi="Arial"/>
          <w:sz w:val="20"/>
          <w:szCs w:val="20"/>
          <w:color w:val="auto"/>
        </w:rPr>
      </w:pPr>
      <w:r>
        <w:rPr>
          <w:rFonts w:ascii="Arial" w:cs="Arial" w:eastAsia="Arial" w:hAnsi="Arial"/>
          <w:sz w:val="20"/>
          <w:szCs w:val="20"/>
          <w:color w:val="auto"/>
        </w:rPr>
        <w:t>“Committee”: The Executive Compensation Committee of the Board (or any successor committee).</w:t>
      </w:r>
    </w:p>
    <w:p>
      <w:pPr>
        <w:spacing w:after="0" w:line="242" w:lineRule="exact"/>
        <w:rPr>
          <w:rFonts w:ascii="Arial" w:cs="Arial" w:eastAsia="Arial" w:hAnsi="Arial"/>
          <w:sz w:val="20"/>
          <w:szCs w:val="20"/>
          <w:color w:val="auto"/>
        </w:rPr>
      </w:pPr>
    </w:p>
    <w:p>
      <w:pPr>
        <w:ind w:left="644" w:hanging="644"/>
        <w:spacing w:after="0"/>
        <w:tabs>
          <w:tab w:leader="none" w:pos="644" w:val="left"/>
        </w:tabs>
        <w:numPr>
          <w:ilvl w:val="0"/>
          <w:numId w:val="39"/>
        </w:numPr>
        <w:rPr>
          <w:rFonts w:ascii="Arial" w:cs="Arial" w:eastAsia="Arial" w:hAnsi="Arial"/>
          <w:sz w:val="20"/>
          <w:szCs w:val="20"/>
          <w:color w:val="auto"/>
        </w:rPr>
      </w:pPr>
      <w:r>
        <w:rPr>
          <w:rFonts w:ascii="Arial" w:cs="Arial" w:eastAsia="Arial" w:hAnsi="Arial"/>
          <w:sz w:val="20"/>
          <w:szCs w:val="20"/>
          <w:color w:val="auto"/>
        </w:rPr>
        <w:t>“Company”: The TJX Companies, Inc.</w:t>
      </w:r>
    </w:p>
    <w:p>
      <w:pPr>
        <w:spacing w:after="0" w:line="242" w:lineRule="exact"/>
        <w:rPr>
          <w:rFonts w:ascii="Arial" w:cs="Arial" w:eastAsia="Arial" w:hAnsi="Arial"/>
          <w:sz w:val="20"/>
          <w:szCs w:val="20"/>
          <w:color w:val="auto"/>
        </w:rPr>
      </w:pPr>
    </w:p>
    <w:p>
      <w:pPr>
        <w:ind w:left="644" w:hanging="644"/>
        <w:spacing w:after="0" w:line="258" w:lineRule="auto"/>
        <w:tabs>
          <w:tab w:leader="none" w:pos="631" w:val="left"/>
        </w:tabs>
        <w:numPr>
          <w:ilvl w:val="0"/>
          <w:numId w:val="39"/>
        </w:numPr>
        <w:rPr>
          <w:rFonts w:ascii="Arial" w:cs="Arial" w:eastAsia="Arial" w:hAnsi="Arial"/>
          <w:sz w:val="19"/>
          <w:szCs w:val="19"/>
          <w:color w:val="auto"/>
        </w:rPr>
      </w:pPr>
      <w:r>
        <w:rPr>
          <w:rFonts w:ascii="Arial" w:cs="Arial" w:eastAsia="Arial" w:hAnsi="Arial"/>
          <w:sz w:val="19"/>
          <w:szCs w:val="19"/>
          <w:color w:val="auto"/>
        </w:rPr>
        <w:t>“Confidential Information”: Any and all information of the Company, whether or not in writing, that is not generally known by others with whom the Company competes or does business, or with whom it plans to compete or do business, and any and all information, which, if disclosed, would assist in competition against the Company, including but not limited to: (a) all proprietary information, including but not limited to computer software (including operating systems, applications and program listings), databases, technical data, business and/or marketing plans and arrangements, processes, know-how, information regarding any aspect of intellectual property,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824"/>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0564"/>
          </w:cols>
          <w:pgMar w:left="976" w:top="361" w:right="359" w:bottom="1440" w:gutter="0" w:footer="0" w:header="0"/>
        </w:sectPr>
      </w:pPr>
    </w:p>
    <w:bookmarkStart w:id="97" w:name="page98"/>
    <w:bookmarkEnd w:id="97"/>
    <w:p>
      <w:pPr>
        <w:ind w:left="644" w:right="20"/>
        <w:spacing w:after="0" w:line="252" w:lineRule="auto"/>
        <w:rPr>
          <w:sz w:val="20"/>
          <w:szCs w:val="20"/>
          <w:color w:val="auto"/>
        </w:rPr>
      </w:pPr>
      <w:r>
        <w:rPr>
          <w:rFonts w:ascii="Arial" w:cs="Arial" w:eastAsia="Arial" w:hAnsi="Arial"/>
          <w:sz w:val="19"/>
          <w:szCs w:val="19"/>
          <w:color w:val="auto"/>
        </w:rPr>
        <w:t>other information concerning the products and services of the Company; (b) development, research, market research, testing, marketing and financial activities and strategic plans, including without limitation information regarding any existing or proposed acquisition, strategic alliance or joint venture; (c) the manner in which the Company’s business operates, including but not limited to accounting and business methods, and the Company’s plans for the future, including but not limited to plans for its store brands, products, geographic markets, advertising and promotion; (d) information concerning the Company associates, including but not limited to the methods through which the Company identifies, hires, trains and compensates its associates, and associate compensation (other than the Participant’s own compensation), contact information, performance and conduct;</w:t>
      </w:r>
    </w:p>
    <w:p>
      <w:pPr>
        <w:spacing w:after="0" w:line="5" w:lineRule="exact"/>
        <w:rPr>
          <w:sz w:val="20"/>
          <w:szCs w:val="20"/>
          <w:color w:val="auto"/>
        </w:rPr>
      </w:pPr>
    </w:p>
    <w:p>
      <w:pPr>
        <w:ind w:left="644"/>
        <w:spacing w:after="0" w:line="239" w:lineRule="auto"/>
        <w:rPr>
          <w:sz w:val="20"/>
          <w:szCs w:val="20"/>
          <w:color w:val="auto"/>
        </w:rPr>
      </w:pPr>
      <w:r>
        <w:rPr>
          <w:rFonts w:ascii="Arial" w:cs="Arial" w:eastAsia="Arial" w:hAnsi="Arial"/>
          <w:sz w:val="20"/>
          <w:szCs w:val="20"/>
          <w:color w:val="auto"/>
        </w:rPr>
        <w:t>(e) information concerning the Company vendors and suppliers, including but not limited to the identity and special needs of such vendors and suppliers, the individuals at such vendors and suppliers with whom the Company has dealt and individual contact information, past purchases from such vendors and suppliers (including the amounts and types of goods purchased and the amount, timing and method of payment), plans or negotiations for future purchases, and methods of locating and qualifying vendors and suppliers; (f) the identity and special needs of customers, prospective customers and subcontractors; and (g) information concerning other business partners of the Company and other people and organizations with whom the Company has or has had business relationships and the substance of those relationships.</w:t>
      </w:r>
    </w:p>
    <w:p>
      <w:pPr>
        <w:spacing w:after="0" w:line="215" w:lineRule="exact"/>
        <w:rPr>
          <w:sz w:val="20"/>
          <w:szCs w:val="20"/>
          <w:color w:val="auto"/>
        </w:rPr>
      </w:pPr>
    </w:p>
    <w:p>
      <w:pPr>
        <w:ind w:left="644" w:right="80" w:hanging="644"/>
        <w:spacing w:after="0" w:line="245" w:lineRule="auto"/>
        <w:tabs>
          <w:tab w:leader="none" w:pos="632" w:val="left"/>
        </w:tabs>
        <w:numPr>
          <w:ilvl w:val="0"/>
          <w:numId w:val="40"/>
        </w:numPr>
        <w:rPr>
          <w:rFonts w:ascii="Arial" w:cs="Arial" w:eastAsia="Arial" w:hAnsi="Arial"/>
          <w:sz w:val="20"/>
          <w:szCs w:val="20"/>
          <w:color w:val="auto"/>
        </w:rPr>
      </w:pPr>
      <w:r>
        <w:rPr>
          <w:rFonts w:ascii="Arial" w:cs="Arial" w:eastAsia="Arial" w:hAnsi="Arial"/>
          <w:sz w:val="20"/>
          <w:szCs w:val="20"/>
          <w:color w:val="auto"/>
        </w:rPr>
        <w:t>“Contingent Benefits”: In the case of any Participant: (i) any Special Compensation as defined in the Obligations Agreement (whether or not accrued and vested prior to the Date of Termination); and (ii) any Severance Benefits under the Plan not described in clause (i), excluding such amounts that are accrued and vested prior to the Date of Termination, in each case as determined by the Administrator.</w:t>
      </w:r>
    </w:p>
    <w:p>
      <w:pPr>
        <w:spacing w:after="0" w:line="208" w:lineRule="exact"/>
        <w:rPr>
          <w:rFonts w:ascii="Arial" w:cs="Arial" w:eastAsia="Arial" w:hAnsi="Arial"/>
          <w:sz w:val="20"/>
          <w:szCs w:val="20"/>
          <w:color w:val="auto"/>
        </w:rPr>
      </w:pPr>
    </w:p>
    <w:p>
      <w:pPr>
        <w:ind w:left="644" w:hanging="644"/>
        <w:spacing w:after="0"/>
        <w:tabs>
          <w:tab w:leader="none" w:pos="644" w:val="left"/>
        </w:tabs>
        <w:numPr>
          <w:ilvl w:val="0"/>
          <w:numId w:val="40"/>
        </w:numPr>
        <w:rPr>
          <w:rFonts w:ascii="Arial" w:cs="Arial" w:eastAsia="Arial" w:hAnsi="Arial"/>
          <w:sz w:val="20"/>
          <w:szCs w:val="20"/>
          <w:color w:val="auto"/>
        </w:rPr>
      </w:pPr>
      <w:r>
        <w:rPr>
          <w:rFonts w:ascii="Arial" w:cs="Arial" w:eastAsia="Arial" w:hAnsi="Arial"/>
          <w:sz w:val="20"/>
          <w:szCs w:val="20"/>
          <w:color w:val="auto"/>
        </w:rPr>
        <w:t>“Date of Termination”: The date of termination of a Participant’s employment with the Employer.</w:t>
      </w:r>
    </w:p>
    <w:p>
      <w:pPr>
        <w:spacing w:after="0" w:line="242" w:lineRule="exact"/>
        <w:rPr>
          <w:rFonts w:ascii="Arial" w:cs="Arial" w:eastAsia="Arial" w:hAnsi="Arial"/>
          <w:sz w:val="20"/>
          <w:szCs w:val="20"/>
          <w:color w:val="auto"/>
        </w:rPr>
      </w:pPr>
    </w:p>
    <w:p>
      <w:pPr>
        <w:ind w:left="644" w:hanging="644"/>
        <w:spacing w:after="0"/>
        <w:tabs>
          <w:tab w:leader="none" w:pos="644" w:val="left"/>
        </w:tabs>
        <w:numPr>
          <w:ilvl w:val="0"/>
          <w:numId w:val="40"/>
        </w:numPr>
        <w:rPr>
          <w:rFonts w:ascii="Arial" w:cs="Arial" w:eastAsia="Arial" w:hAnsi="Arial"/>
          <w:sz w:val="20"/>
          <w:szCs w:val="20"/>
          <w:color w:val="auto"/>
        </w:rPr>
      </w:pPr>
      <w:r>
        <w:rPr>
          <w:rFonts w:ascii="Arial" w:cs="Arial" w:eastAsia="Arial" w:hAnsi="Arial"/>
          <w:sz w:val="20"/>
          <w:szCs w:val="20"/>
          <w:color w:val="auto"/>
        </w:rPr>
        <w:t>“Effective Date”: September 19, 2022</w:t>
      </w:r>
    </w:p>
    <w:p>
      <w:pPr>
        <w:spacing w:after="0" w:line="242" w:lineRule="exact"/>
        <w:rPr>
          <w:rFonts w:ascii="Arial" w:cs="Arial" w:eastAsia="Arial" w:hAnsi="Arial"/>
          <w:sz w:val="20"/>
          <w:szCs w:val="20"/>
          <w:color w:val="auto"/>
        </w:rPr>
      </w:pPr>
    </w:p>
    <w:p>
      <w:pPr>
        <w:jc w:val="both"/>
        <w:ind w:left="644" w:right="260" w:hanging="644"/>
        <w:spacing w:after="0" w:line="255" w:lineRule="auto"/>
        <w:tabs>
          <w:tab w:leader="none" w:pos="643" w:val="left"/>
        </w:tabs>
        <w:numPr>
          <w:ilvl w:val="0"/>
          <w:numId w:val="40"/>
        </w:numPr>
        <w:rPr>
          <w:rFonts w:ascii="Arial" w:cs="Arial" w:eastAsia="Arial" w:hAnsi="Arial"/>
          <w:sz w:val="20"/>
          <w:szCs w:val="20"/>
          <w:color w:val="auto"/>
        </w:rPr>
      </w:pPr>
      <w:r>
        <w:rPr>
          <w:rFonts w:ascii="Arial" w:cs="Arial" w:eastAsia="Arial" w:hAnsi="Arial"/>
          <w:sz w:val="20"/>
          <w:szCs w:val="20"/>
          <w:color w:val="auto"/>
        </w:rPr>
        <w:t>“Eligible Employee”: Except as otherwise determined by the Administrator, an individual (i) who is employed by the Employer as a U.S.-based executive officer of the Company or other U.S.-based executive at or above the division president job level and (ii) whose participation in the Plan is approved by the Committee.</w:t>
      </w:r>
    </w:p>
    <w:p>
      <w:pPr>
        <w:spacing w:after="0" w:line="184" w:lineRule="exact"/>
        <w:rPr>
          <w:rFonts w:ascii="Arial" w:cs="Arial" w:eastAsia="Arial" w:hAnsi="Arial"/>
          <w:sz w:val="20"/>
          <w:szCs w:val="20"/>
          <w:color w:val="auto"/>
        </w:rPr>
      </w:pPr>
    </w:p>
    <w:p>
      <w:pPr>
        <w:ind w:left="644" w:right="220" w:hanging="644"/>
        <w:spacing w:after="0" w:line="271" w:lineRule="auto"/>
        <w:tabs>
          <w:tab w:leader="none" w:pos="643" w:val="left"/>
        </w:tabs>
        <w:numPr>
          <w:ilvl w:val="0"/>
          <w:numId w:val="40"/>
        </w:numPr>
        <w:rPr>
          <w:rFonts w:ascii="Arial" w:cs="Arial" w:eastAsia="Arial" w:hAnsi="Arial"/>
          <w:sz w:val="20"/>
          <w:szCs w:val="20"/>
          <w:color w:val="auto"/>
        </w:rPr>
      </w:pPr>
      <w:r>
        <w:rPr>
          <w:rFonts w:ascii="Arial" w:cs="Arial" w:eastAsia="Arial" w:hAnsi="Arial"/>
          <w:sz w:val="20"/>
          <w:szCs w:val="20"/>
          <w:color w:val="auto"/>
        </w:rPr>
        <w:t>“Employment Period”: In the case of any Participant, the period during which the Participant is employed by the Employer.</w:t>
      </w:r>
    </w:p>
    <w:p>
      <w:pPr>
        <w:spacing w:after="0" w:line="182" w:lineRule="exact"/>
        <w:rPr>
          <w:rFonts w:ascii="Arial" w:cs="Arial" w:eastAsia="Arial" w:hAnsi="Arial"/>
          <w:sz w:val="20"/>
          <w:szCs w:val="20"/>
          <w:color w:val="auto"/>
        </w:rPr>
      </w:pPr>
    </w:p>
    <w:p>
      <w:pPr>
        <w:ind w:left="644" w:hanging="644"/>
        <w:spacing w:after="0"/>
        <w:tabs>
          <w:tab w:leader="none" w:pos="644" w:val="left"/>
        </w:tabs>
        <w:numPr>
          <w:ilvl w:val="0"/>
          <w:numId w:val="40"/>
        </w:numPr>
        <w:rPr>
          <w:rFonts w:ascii="Arial" w:cs="Arial" w:eastAsia="Arial" w:hAnsi="Arial"/>
          <w:sz w:val="20"/>
          <w:szCs w:val="20"/>
          <w:color w:val="auto"/>
        </w:rPr>
      </w:pPr>
      <w:r>
        <w:rPr>
          <w:rFonts w:ascii="Arial" w:cs="Arial" w:eastAsia="Arial" w:hAnsi="Arial"/>
          <w:sz w:val="20"/>
          <w:szCs w:val="20"/>
          <w:color w:val="auto"/>
        </w:rPr>
        <w:t>“Employer”: The Company and its Subsidiaries, or any of them, as the context requires.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824"/>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564"/>
          </w:cols>
          <w:pgMar w:left="976" w:top="361" w:right="359" w:bottom="1440" w:gutter="0" w:footer="0" w:header="0"/>
        </w:sectPr>
      </w:pPr>
    </w:p>
    <w:bookmarkStart w:id="98" w:name="page99"/>
    <w:bookmarkEnd w:id="98"/>
    <w:p>
      <w:pPr>
        <w:ind w:left="644" w:hanging="644"/>
        <w:spacing w:after="0"/>
        <w:tabs>
          <w:tab w:leader="none" w:pos="644" w:val="left"/>
        </w:tabs>
        <w:numPr>
          <w:ilvl w:val="0"/>
          <w:numId w:val="41"/>
        </w:numPr>
        <w:rPr>
          <w:rFonts w:ascii="Arial" w:cs="Arial" w:eastAsia="Arial" w:hAnsi="Arial"/>
          <w:sz w:val="20"/>
          <w:szCs w:val="20"/>
          <w:color w:val="auto"/>
        </w:rPr>
      </w:pPr>
      <w:r>
        <w:rPr>
          <w:rFonts w:ascii="Arial" w:cs="Arial" w:eastAsia="Arial" w:hAnsi="Arial"/>
          <w:sz w:val="20"/>
          <w:szCs w:val="20"/>
          <w:color w:val="auto"/>
        </w:rPr>
        <w:t>“ERISA”: The Employee Retirement Income Security Act of 1974, as amended.</w:t>
      </w:r>
    </w:p>
    <w:p>
      <w:pPr>
        <w:spacing w:after="0" w:line="242" w:lineRule="exact"/>
        <w:rPr>
          <w:rFonts w:ascii="Arial" w:cs="Arial" w:eastAsia="Arial" w:hAnsi="Arial"/>
          <w:sz w:val="20"/>
          <w:szCs w:val="20"/>
          <w:color w:val="auto"/>
        </w:rPr>
      </w:pPr>
    </w:p>
    <w:p>
      <w:pPr>
        <w:ind w:left="644" w:hanging="644"/>
        <w:spacing w:after="0"/>
        <w:tabs>
          <w:tab w:leader="none" w:pos="644" w:val="left"/>
        </w:tabs>
        <w:numPr>
          <w:ilvl w:val="0"/>
          <w:numId w:val="41"/>
        </w:numPr>
        <w:rPr>
          <w:rFonts w:ascii="Arial" w:cs="Arial" w:eastAsia="Arial" w:hAnsi="Arial"/>
          <w:sz w:val="20"/>
          <w:szCs w:val="20"/>
          <w:color w:val="auto"/>
        </w:rPr>
      </w:pPr>
      <w:r>
        <w:rPr>
          <w:rFonts w:ascii="Arial" w:cs="Arial" w:eastAsia="Arial" w:hAnsi="Arial"/>
          <w:sz w:val="20"/>
          <w:szCs w:val="20"/>
          <w:color w:val="auto"/>
        </w:rPr>
        <w:t>“ESP”: The Company’s Executive Savings Plan, as it may be amended and including any successor.</w:t>
      </w:r>
    </w:p>
    <w:p>
      <w:pPr>
        <w:spacing w:after="0" w:line="242" w:lineRule="exact"/>
        <w:rPr>
          <w:rFonts w:ascii="Arial" w:cs="Arial" w:eastAsia="Arial" w:hAnsi="Arial"/>
          <w:sz w:val="20"/>
          <w:szCs w:val="20"/>
          <w:color w:val="auto"/>
        </w:rPr>
      </w:pPr>
    </w:p>
    <w:p>
      <w:pPr>
        <w:ind w:left="644" w:right="80" w:hanging="644"/>
        <w:spacing w:after="0" w:line="245" w:lineRule="auto"/>
        <w:tabs>
          <w:tab w:leader="none" w:pos="632" w:val="left"/>
        </w:tabs>
        <w:numPr>
          <w:ilvl w:val="0"/>
          <w:numId w:val="41"/>
        </w:numPr>
        <w:rPr>
          <w:rFonts w:ascii="Arial" w:cs="Arial" w:eastAsia="Arial" w:hAnsi="Arial"/>
          <w:sz w:val="20"/>
          <w:szCs w:val="20"/>
          <w:color w:val="auto"/>
        </w:rPr>
      </w:pPr>
      <w:r>
        <w:rPr>
          <w:rFonts w:ascii="Arial" w:cs="Arial" w:eastAsia="Arial" w:hAnsi="Arial"/>
          <w:sz w:val="20"/>
          <w:szCs w:val="20"/>
          <w:color w:val="auto"/>
        </w:rPr>
        <w:t>“Good Reason”: As to any Participant, a voluntary resignation by such Participant within 120 days after the first occurrence (without the Participant’s written consent) of any of the following events, provided that the Participant gave the Company notice of the event within 60 days of its first occurrence and the situation remained un-remedied after 30 days following the receipt by the Company of such notice:</w:t>
      </w:r>
    </w:p>
    <w:p>
      <w:pPr>
        <w:spacing w:after="0" w:line="208" w:lineRule="exact"/>
        <w:rPr>
          <w:rFonts w:ascii="Arial" w:cs="Arial" w:eastAsia="Arial" w:hAnsi="Arial"/>
          <w:sz w:val="20"/>
          <w:szCs w:val="20"/>
          <w:color w:val="auto"/>
        </w:rPr>
      </w:pPr>
    </w:p>
    <w:p>
      <w:pPr>
        <w:ind w:left="1144" w:right="160" w:hanging="334"/>
        <w:spacing w:after="0" w:line="257" w:lineRule="auto"/>
        <w:tabs>
          <w:tab w:leader="none" w:pos="1132" w:val="left"/>
        </w:tabs>
        <w:numPr>
          <w:ilvl w:val="1"/>
          <w:numId w:val="41"/>
        </w:numPr>
        <w:rPr>
          <w:rFonts w:ascii="Arial" w:cs="Arial" w:eastAsia="Arial" w:hAnsi="Arial"/>
          <w:sz w:val="19"/>
          <w:szCs w:val="19"/>
          <w:color w:val="auto"/>
        </w:rPr>
      </w:pPr>
      <w:r>
        <w:rPr>
          <w:rFonts w:ascii="Arial" w:cs="Arial" w:eastAsia="Arial" w:hAnsi="Arial"/>
          <w:sz w:val="19"/>
          <w:szCs w:val="19"/>
          <w:color w:val="auto"/>
        </w:rPr>
        <w:t>Assignment by the Employer of duties inconsistent with (or other Employer action resulting in a diminishment in) positions, duties, responsibilities, and status with the Employer immediately prior to the Change of Control, or removal of the Participant from or failure to re-elect the Participant to such positions (excluding a termination by the Employer for Cause or by the Participant without Good Reason);</w:t>
      </w:r>
    </w:p>
    <w:p>
      <w:pPr>
        <w:ind w:left="1144" w:right="220" w:hanging="334"/>
        <w:spacing w:after="0" w:line="232" w:lineRule="auto"/>
        <w:tabs>
          <w:tab w:leader="none" w:pos="1132" w:val="left"/>
        </w:tabs>
        <w:numPr>
          <w:ilvl w:val="1"/>
          <w:numId w:val="41"/>
        </w:numPr>
        <w:rPr>
          <w:rFonts w:ascii="Arial" w:cs="Arial" w:eastAsia="Arial" w:hAnsi="Arial"/>
          <w:sz w:val="20"/>
          <w:szCs w:val="20"/>
          <w:color w:val="auto"/>
        </w:rPr>
      </w:pPr>
      <w:r>
        <w:rPr>
          <w:rFonts w:ascii="Arial" w:cs="Arial" w:eastAsia="Arial" w:hAnsi="Arial"/>
          <w:sz w:val="20"/>
          <w:szCs w:val="20"/>
          <w:color w:val="auto"/>
        </w:rPr>
        <w:t>Any reduction in the rate of the Participant’s base salary for a fiscal year (as compared to the rate of base salary paid in the completed fiscal year immediately preceding the Change of Control);</w:t>
      </w:r>
    </w:p>
    <w:p>
      <w:pPr>
        <w:jc w:val="both"/>
        <w:ind w:left="1144" w:right="120" w:hanging="334"/>
        <w:spacing w:after="0" w:line="239" w:lineRule="auto"/>
        <w:tabs>
          <w:tab w:leader="none" w:pos="1132" w:val="left"/>
        </w:tabs>
        <w:numPr>
          <w:ilvl w:val="1"/>
          <w:numId w:val="41"/>
        </w:numPr>
        <w:rPr>
          <w:rFonts w:ascii="Arial" w:cs="Arial" w:eastAsia="Arial" w:hAnsi="Arial"/>
          <w:sz w:val="20"/>
          <w:szCs w:val="20"/>
          <w:color w:val="auto"/>
        </w:rPr>
      </w:pPr>
      <w:r>
        <w:rPr>
          <w:rFonts w:ascii="Arial" w:cs="Arial" w:eastAsia="Arial" w:hAnsi="Arial"/>
          <w:sz w:val="20"/>
          <w:szCs w:val="20"/>
          <w:color w:val="auto"/>
        </w:rPr>
        <w:t>Any reduction in total cash compensation opportunities for a fiscal year, including salary and incentives (as compared to the opportunities available in the completed fiscal year immediately preceding the Change of Control);</w:t>
      </w:r>
    </w:p>
    <w:p>
      <w:pPr>
        <w:spacing w:after="0" w:line="1" w:lineRule="exact"/>
        <w:rPr>
          <w:rFonts w:ascii="Arial" w:cs="Arial" w:eastAsia="Arial" w:hAnsi="Arial"/>
          <w:sz w:val="20"/>
          <w:szCs w:val="20"/>
          <w:color w:val="auto"/>
        </w:rPr>
      </w:pPr>
    </w:p>
    <w:p>
      <w:pPr>
        <w:ind w:left="1144" w:right="60" w:hanging="334"/>
        <w:spacing w:after="0" w:line="235" w:lineRule="auto"/>
        <w:tabs>
          <w:tab w:leader="none" w:pos="1132" w:val="left"/>
        </w:tabs>
        <w:numPr>
          <w:ilvl w:val="1"/>
          <w:numId w:val="41"/>
        </w:numPr>
        <w:rPr>
          <w:rFonts w:ascii="Arial" w:cs="Arial" w:eastAsia="Arial" w:hAnsi="Arial"/>
          <w:sz w:val="20"/>
          <w:szCs w:val="20"/>
          <w:color w:val="auto"/>
        </w:rPr>
      </w:pPr>
      <w:r>
        <w:rPr>
          <w:rFonts w:ascii="Arial" w:cs="Arial" w:eastAsia="Arial" w:hAnsi="Arial"/>
          <w:sz w:val="20"/>
          <w:szCs w:val="20"/>
          <w:color w:val="auto"/>
        </w:rPr>
        <w:t>Failure by the Employer to continue any benefits or perquisites, or any pension, life insurance, medical insurance or disability plan in which the Participant was participating immediately prior to the Change of Control, unless the Employer provides substantially similar benefits to the Participant under another plan or plans;</w:t>
      </w:r>
    </w:p>
    <w:p>
      <w:pPr>
        <w:spacing w:after="0" w:line="3" w:lineRule="exact"/>
        <w:rPr>
          <w:rFonts w:ascii="Arial" w:cs="Arial" w:eastAsia="Arial" w:hAnsi="Arial"/>
          <w:sz w:val="20"/>
          <w:szCs w:val="20"/>
          <w:color w:val="auto"/>
        </w:rPr>
      </w:pPr>
    </w:p>
    <w:p>
      <w:pPr>
        <w:ind w:left="1144" w:hanging="334"/>
        <w:spacing w:after="0" w:line="239" w:lineRule="auto"/>
        <w:tabs>
          <w:tab w:leader="none" w:pos="1132" w:val="left"/>
        </w:tabs>
        <w:numPr>
          <w:ilvl w:val="1"/>
          <w:numId w:val="41"/>
        </w:numPr>
        <w:rPr>
          <w:rFonts w:ascii="Arial" w:cs="Arial" w:eastAsia="Arial" w:hAnsi="Arial"/>
          <w:sz w:val="20"/>
          <w:szCs w:val="20"/>
          <w:color w:val="auto"/>
        </w:rPr>
      </w:pPr>
      <w:r>
        <w:rPr>
          <w:rFonts w:ascii="Arial" w:cs="Arial" w:eastAsia="Arial" w:hAnsi="Arial"/>
          <w:sz w:val="20"/>
          <w:szCs w:val="20"/>
          <w:color w:val="auto"/>
        </w:rPr>
        <w:t>Any Employer action that would adversely affect the Participant’s participation in or materially reduce the Participant’s benefits under any plans referenced in the prior bullet or deprive the Participant of any material fringe benefit enjoyed by the Participant immediately prior to the Change of Control;</w:t>
      </w:r>
    </w:p>
    <w:p>
      <w:pPr>
        <w:spacing w:after="0" w:line="1" w:lineRule="exact"/>
        <w:rPr>
          <w:rFonts w:ascii="Arial" w:cs="Arial" w:eastAsia="Arial" w:hAnsi="Arial"/>
          <w:sz w:val="20"/>
          <w:szCs w:val="20"/>
          <w:color w:val="auto"/>
        </w:rPr>
      </w:pPr>
    </w:p>
    <w:p>
      <w:pPr>
        <w:ind w:left="1144" w:right="100" w:hanging="334"/>
        <w:spacing w:after="0" w:line="239" w:lineRule="auto"/>
        <w:tabs>
          <w:tab w:leader="none" w:pos="1132" w:val="left"/>
        </w:tabs>
        <w:numPr>
          <w:ilvl w:val="1"/>
          <w:numId w:val="41"/>
        </w:numPr>
        <w:rPr>
          <w:rFonts w:ascii="Arial" w:cs="Arial" w:eastAsia="Arial" w:hAnsi="Arial"/>
          <w:sz w:val="20"/>
          <w:szCs w:val="20"/>
          <w:color w:val="auto"/>
        </w:rPr>
      </w:pPr>
      <w:r>
        <w:rPr>
          <w:rFonts w:ascii="Arial" w:cs="Arial" w:eastAsia="Arial" w:hAnsi="Arial"/>
          <w:sz w:val="20"/>
          <w:szCs w:val="20"/>
          <w:color w:val="auto"/>
        </w:rPr>
        <w:t>A termination for Cause during a Protection Period that does not comply with the special rules described in such definition;</w:t>
      </w:r>
    </w:p>
    <w:p>
      <w:pPr>
        <w:ind w:left="1144" w:right="640" w:hanging="334"/>
        <w:spacing w:after="0" w:line="232" w:lineRule="auto"/>
        <w:tabs>
          <w:tab w:leader="none" w:pos="1132" w:val="left"/>
        </w:tabs>
        <w:numPr>
          <w:ilvl w:val="1"/>
          <w:numId w:val="41"/>
        </w:numPr>
        <w:rPr>
          <w:rFonts w:ascii="Arial" w:cs="Arial" w:eastAsia="Arial" w:hAnsi="Arial"/>
          <w:sz w:val="20"/>
          <w:szCs w:val="20"/>
          <w:color w:val="auto"/>
        </w:rPr>
      </w:pPr>
      <w:r>
        <w:rPr>
          <w:rFonts w:ascii="Arial" w:cs="Arial" w:eastAsia="Arial" w:hAnsi="Arial"/>
          <w:sz w:val="20"/>
          <w:szCs w:val="20"/>
          <w:color w:val="auto"/>
        </w:rPr>
        <w:t>The Participant’s relocation of more than 40 miles from his or her business location at the time of the Change of Control; or</w:t>
      </w:r>
    </w:p>
    <w:p>
      <w:pPr>
        <w:ind w:left="1144" w:right="20" w:hanging="334"/>
        <w:spacing w:after="0" w:line="253" w:lineRule="auto"/>
        <w:tabs>
          <w:tab w:leader="none" w:pos="1132" w:val="left"/>
        </w:tabs>
        <w:numPr>
          <w:ilvl w:val="1"/>
          <w:numId w:val="41"/>
        </w:numPr>
        <w:rPr>
          <w:rFonts w:ascii="Arial" w:cs="Arial" w:eastAsia="Arial" w:hAnsi="Arial"/>
          <w:sz w:val="20"/>
          <w:szCs w:val="20"/>
          <w:color w:val="auto"/>
        </w:rPr>
      </w:pPr>
      <w:r>
        <w:rPr>
          <w:rFonts w:ascii="Arial" w:cs="Arial" w:eastAsia="Arial" w:hAnsi="Arial"/>
          <w:sz w:val="20"/>
          <w:szCs w:val="20"/>
          <w:color w:val="auto"/>
        </w:rPr>
        <w:t>The Employer breaches any provision of the Plan or of any offer letter agreement then in effect between the Participant and the Employer.</w:t>
      </w:r>
    </w:p>
    <w:p>
      <w:pPr>
        <w:spacing w:after="0" w:line="199" w:lineRule="exact"/>
        <w:rPr>
          <w:rFonts w:ascii="Arial" w:cs="Arial" w:eastAsia="Arial" w:hAnsi="Arial"/>
          <w:sz w:val="20"/>
          <w:szCs w:val="20"/>
          <w:color w:val="auto"/>
        </w:rPr>
      </w:pPr>
    </w:p>
    <w:p>
      <w:pPr>
        <w:ind w:left="644" w:right="100" w:hanging="644"/>
        <w:spacing w:after="0" w:line="271" w:lineRule="auto"/>
        <w:tabs>
          <w:tab w:leader="none" w:pos="642" w:val="left"/>
        </w:tabs>
        <w:numPr>
          <w:ilvl w:val="0"/>
          <w:numId w:val="41"/>
        </w:numPr>
        <w:rPr>
          <w:rFonts w:ascii="Arial" w:cs="Arial" w:eastAsia="Arial" w:hAnsi="Arial"/>
          <w:sz w:val="20"/>
          <w:szCs w:val="20"/>
          <w:color w:val="auto"/>
        </w:rPr>
      </w:pPr>
      <w:r>
        <w:rPr>
          <w:rFonts w:ascii="Arial" w:cs="Arial" w:eastAsia="Arial" w:hAnsi="Arial"/>
          <w:sz w:val="20"/>
          <w:szCs w:val="20"/>
          <w:color w:val="auto"/>
        </w:rPr>
        <w:t>“LRPIP”: The Company’s Long Range Performance Incentive Plan, as amended from time to time, including any successor.</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824"/>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0544"/>
          </w:cols>
          <w:pgMar w:left="976" w:top="361" w:right="379" w:bottom="1440" w:gutter="0" w:footer="0" w:header="0"/>
        </w:sectPr>
      </w:pPr>
    </w:p>
    <w:bookmarkStart w:id="99" w:name="page100"/>
    <w:bookmarkEnd w:id="99"/>
    <w:p>
      <w:pPr>
        <w:ind w:left="644" w:hanging="644"/>
        <w:spacing w:after="0"/>
        <w:tabs>
          <w:tab w:leader="none" w:pos="644" w:val="left"/>
        </w:tabs>
        <w:numPr>
          <w:ilvl w:val="0"/>
          <w:numId w:val="42"/>
        </w:numPr>
        <w:rPr>
          <w:rFonts w:ascii="Arial" w:cs="Arial" w:eastAsia="Arial" w:hAnsi="Arial"/>
          <w:sz w:val="20"/>
          <w:szCs w:val="20"/>
          <w:color w:val="auto"/>
        </w:rPr>
      </w:pPr>
      <w:r>
        <w:rPr>
          <w:rFonts w:ascii="Arial" w:cs="Arial" w:eastAsia="Arial" w:hAnsi="Arial"/>
          <w:sz w:val="20"/>
          <w:szCs w:val="20"/>
          <w:color w:val="auto"/>
        </w:rPr>
        <w:t>“MIP”: The Company’s Management Incentive Plan, as amended from time to time, including any successor.</w:t>
      </w:r>
    </w:p>
    <w:p>
      <w:pPr>
        <w:spacing w:after="0" w:line="242" w:lineRule="exact"/>
        <w:rPr>
          <w:rFonts w:ascii="Arial" w:cs="Arial" w:eastAsia="Arial" w:hAnsi="Arial"/>
          <w:sz w:val="20"/>
          <w:szCs w:val="20"/>
          <w:color w:val="auto"/>
        </w:rPr>
      </w:pPr>
    </w:p>
    <w:p>
      <w:pPr>
        <w:ind w:left="644" w:right="240" w:hanging="644"/>
        <w:spacing w:after="0" w:line="298" w:lineRule="auto"/>
        <w:tabs>
          <w:tab w:leader="none" w:pos="632" w:val="left"/>
        </w:tabs>
        <w:numPr>
          <w:ilvl w:val="0"/>
          <w:numId w:val="42"/>
        </w:numPr>
        <w:rPr>
          <w:rFonts w:ascii="Arial" w:cs="Arial" w:eastAsia="Arial" w:hAnsi="Arial"/>
          <w:sz w:val="19"/>
          <w:szCs w:val="19"/>
          <w:color w:val="auto"/>
        </w:rPr>
      </w:pPr>
      <w:r>
        <w:rPr>
          <w:rFonts w:ascii="Arial" w:cs="Arial" w:eastAsia="Arial" w:hAnsi="Arial"/>
          <w:sz w:val="19"/>
          <w:szCs w:val="19"/>
          <w:color w:val="auto"/>
        </w:rPr>
        <w:t xml:space="preserve">“Noncompetition Period”: The twelve (12)-month period following the Date of Termination or such longer period specified by the Administrator in accordance with the </w:t>
      </w:r>
      <w:r>
        <w:rPr>
          <w:rFonts w:ascii="Arial" w:cs="Arial" w:eastAsia="Arial" w:hAnsi="Arial"/>
          <w:sz w:val="19"/>
          <w:szCs w:val="19"/>
          <w:u w:val="single" w:color="auto"/>
          <w:color w:val="auto"/>
        </w:rPr>
        <w:t>Appendix C</w:t>
      </w:r>
      <w:r>
        <w:rPr>
          <w:rFonts w:ascii="Arial" w:cs="Arial" w:eastAsia="Arial" w:hAnsi="Arial"/>
          <w:sz w:val="19"/>
          <w:szCs w:val="19"/>
          <w:color w:val="auto"/>
        </w:rPr>
        <w:t xml:space="preserve"> schedule applicable to the Participant.</w:t>
      </w:r>
    </w:p>
    <w:p>
      <w:pPr>
        <w:spacing w:after="0" w:line="159" w:lineRule="exact"/>
        <w:rPr>
          <w:rFonts w:ascii="Arial" w:cs="Arial" w:eastAsia="Arial" w:hAnsi="Arial"/>
          <w:sz w:val="19"/>
          <w:szCs w:val="19"/>
          <w:color w:val="auto"/>
        </w:rPr>
      </w:pPr>
    </w:p>
    <w:p>
      <w:pPr>
        <w:ind w:left="644" w:hanging="644"/>
        <w:spacing w:after="0"/>
        <w:tabs>
          <w:tab w:leader="none" w:pos="644" w:val="left"/>
        </w:tabs>
        <w:numPr>
          <w:ilvl w:val="0"/>
          <w:numId w:val="42"/>
        </w:numPr>
        <w:rPr>
          <w:rFonts w:ascii="Arial" w:cs="Arial" w:eastAsia="Arial" w:hAnsi="Arial"/>
          <w:sz w:val="20"/>
          <w:szCs w:val="20"/>
          <w:color w:val="auto"/>
        </w:rPr>
      </w:pPr>
      <w:r>
        <w:rPr>
          <w:rFonts w:ascii="Arial" w:cs="Arial" w:eastAsia="Arial" w:hAnsi="Arial"/>
          <w:sz w:val="20"/>
          <w:szCs w:val="20"/>
          <w:color w:val="auto"/>
        </w:rPr>
        <w:t>“Obligations Agreement”: The Obligations Agreement entered into between the Participant and the Company.</w:t>
      </w:r>
    </w:p>
    <w:p>
      <w:pPr>
        <w:spacing w:after="0" w:line="229" w:lineRule="exact"/>
        <w:rPr>
          <w:rFonts w:ascii="Arial" w:cs="Arial" w:eastAsia="Arial" w:hAnsi="Arial"/>
          <w:sz w:val="20"/>
          <w:szCs w:val="20"/>
          <w:color w:val="auto"/>
        </w:rPr>
      </w:pPr>
    </w:p>
    <w:p>
      <w:pPr>
        <w:ind w:left="644" w:right="540" w:hanging="644"/>
        <w:spacing w:after="0" w:line="271" w:lineRule="auto"/>
        <w:tabs>
          <w:tab w:leader="none" w:pos="632" w:val="left"/>
        </w:tabs>
        <w:numPr>
          <w:ilvl w:val="0"/>
          <w:numId w:val="42"/>
        </w:numPr>
        <w:rPr>
          <w:rFonts w:ascii="Arial" w:cs="Arial" w:eastAsia="Arial" w:hAnsi="Arial"/>
          <w:sz w:val="20"/>
          <w:szCs w:val="20"/>
          <w:color w:val="auto"/>
        </w:rPr>
      </w:pPr>
      <w:r>
        <w:rPr>
          <w:rFonts w:ascii="Arial" w:cs="Arial" w:eastAsia="Arial" w:hAnsi="Arial"/>
          <w:sz w:val="20"/>
          <w:szCs w:val="20"/>
          <w:color w:val="auto"/>
        </w:rPr>
        <w:t>“Participant”: An Eligible Employee from and after the date he or she has commenced employment with the Employer.</w:t>
      </w:r>
    </w:p>
    <w:p>
      <w:pPr>
        <w:spacing w:after="0" w:line="182" w:lineRule="exact"/>
        <w:rPr>
          <w:rFonts w:ascii="Arial" w:cs="Arial" w:eastAsia="Arial" w:hAnsi="Arial"/>
          <w:sz w:val="20"/>
          <w:szCs w:val="20"/>
          <w:color w:val="auto"/>
        </w:rPr>
      </w:pPr>
    </w:p>
    <w:p>
      <w:pPr>
        <w:ind w:left="644" w:right="340" w:hanging="644"/>
        <w:spacing w:after="0" w:line="271" w:lineRule="auto"/>
        <w:tabs>
          <w:tab w:leader="none" w:pos="632" w:val="left"/>
        </w:tabs>
        <w:numPr>
          <w:ilvl w:val="0"/>
          <w:numId w:val="42"/>
        </w:numPr>
        <w:rPr>
          <w:rFonts w:ascii="Arial" w:cs="Arial" w:eastAsia="Arial" w:hAnsi="Arial"/>
          <w:sz w:val="20"/>
          <w:szCs w:val="20"/>
          <w:color w:val="auto"/>
        </w:rPr>
      </w:pPr>
      <w:r>
        <w:rPr>
          <w:rFonts w:ascii="Arial" w:cs="Arial" w:eastAsia="Arial" w:hAnsi="Arial"/>
          <w:sz w:val="20"/>
          <w:szCs w:val="20"/>
          <w:color w:val="auto"/>
        </w:rPr>
        <w:t>“Plan”: The TJX Companies, Inc. Executive Severance and Change of Control Plan as set forth herein, as the same may be amended and in effect from time to time in accordance with the terms hereof.</w:t>
      </w:r>
    </w:p>
    <w:p>
      <w:pPr>
        <w:spacing w:after="0" w:line="182" w:lineRule="exact"/>
        <w:rPr>
          <w:rFonts w:ascii="Arial" w:cs="Arial" w:eastAsia="Arial" w:hAnsi="Arial"/>
          <w:sz w:val="20"/>
          <w:szCs w:val="20"/>
          <w:color w:val="auto"/>
        </w:rPr>
      </w:pPr>
    </w:p>
    <w:p>
      <w:pPr>
        <w:ind w:left="644" w:right="220" w:hanging="644"/>
        <w:spacing w:after="0" w:line="271" w:lineRule="auto"/>
        <w:tabs>
          <w:tab w:leader="none" w:pos="632" w:val="left"/>
        </w:tabs>
        <w:numPr>
          <w:ilvl w:val="0"/>
          <w:numId w:val="42"/>
        </w:numPr>
        <w:rPr>
          <w:rFonts w:ascii="Arial" w:cs="Arial" w:eastAsia="Arial" w:hAnsi="Arial"/>
          <w:sz w:val="20"/>
          <w:szCs w:val="20"/>
          <w:color w:val="auto"/>
        </w:rPr>
      </w:pPr>
      <w:r>
        <w:rPr>
          <w:rFonts w:ascii="Arial" w:cs="Arial" w:eastAsia="Arial" w:hAnsi="Arial"/>
          <w:sz w:val="20"/>
          <w:szCs w:val="20"/>
          <w:color w:val="auto"/>
        </w:rPr>
        <w:t>“Protection Period”: The period commencing on the date of a Change of Control and continuing for 24 calendar months, until close of business on the last business day of the 24th calendar month.</w:t>
      </w:r>
    </w:p>
    <w:p>
      <w:pPr>
        <w:spacing w:after="0" w:line="183" w:lineRule="exact"/>
        <w:rPr>
          <w:sz w:val="20"/>
          <w:szCs w:val="20"/>
          <w:color w:val="auto"/>
        </w:rPr>
      </w:pPr>
    </w:p>
    <w:p>
      <w:pPr>
        <w:ind w:left="644" w:hanging="644"/>
        <w:spacing w:after="0" w:line="254" w:lineRule="auto"/>
        <w:tabs>
          <w:tab w:leader="none" w:pos="631" w:val="left"/>
        </w:tabs>
        <w:numPr>
          <w:ilvl w:val="0"/>
          <w:numId w:val="43"/>
        </w:numPr>
        <w:rPr>
          <w:rFonts w:ascii="Arial" w:cs="Arial" w:eastAsia="Arial" w:hAnsi="Arial"/>
          <w:sz w:val="19"/>
          <w:szCs w:val="19"/>
          <w:color w:val="auto"/>
        </w:rPr>
      </w:pPr>
      <w:r>
        <w:rPr>
          <w:rFonts w:ascii="Arial" w:cs="Arial" w:eastAsia="Arial" w:hAnsi="Arial"/>
          <w:sz w:val="19"/>
          <w:szCs w:val="19"/>
          <w:color w:val="auto"/>
        </w:rPr>
        <w:t>“Qualifying Termination”: As to any Participant, the termination of the Participant’s employment occurring prior to a Change of Control by reason of (a) the Participant’s death or Disability, (b) termination by the Employer for any reason other than Cause, or (c) termination by the Participant within one hundred twenty (120) days of a requirement by the Employer that the Participant relocate, without his or her prior written consent, more than forty (40) miles from his or her business location (but only if (i) the Participant shall have given to the Administrator notice of intent to terminate within sixty (60) days following notice to the Participant of such required relocation and (ii) the Employer shall have failed, within thirty (30) days thereafter, to withdraw its notice requiring the Participant to relocate (for purposes of the foregoing, the one hundred twenty (120) day period shall commence upon the end of the thirty (30)-day cure period, if the Employer fails to cure within such period)). For purposes of the Plan, the term “Disability” shall have the meaning set forth in the Employer’s long term disability plan.</w:t>
      </w:r>
    </w:p>
    <w:p>
      <w:pPr>
        <w:spacing w:after="0" w:line="198" w:lineRule="exact"/>
        <w:rPr>
          <w:rFonts w:ascii="Arial" w:cs="Arial" w:eastAsia="Arial" w:hAnsi="Arial"/>
          <w:sz w:val="19"/>
          <w:szCs w:val="19"/>
          <w:color w:val="auto"/>
        </w:rPr>
      </w:pPr>
    </w:p>
    <w:p>
      <w:pPr>
        <w:ind w:left="644" w:right="300" w:hanging="644"/>
        <w:spacing w:after="0" w:line="271" w:lineRule="auto"/>
        <w:tabs>
          <w:tab w:leader="none" w:pos="631" w:val="left"/>
        </w:tabs>
        <w:numPr>
          <w:ilvl w:val="0"/>
          <w:numId w:val="43"/>
        </w:numPr>
        <w:rPr>
          <w:rFonts w:ascii="Arial" w:cs="Arial" w:eastAsia="Arial" w:hAnsi="Arial"/>
          <w:sz w:val="20"/>
          <w:szCs w:val="20"/>
          <w:color w:val="auto"/>
        </w:rPr>
      </w:pPr>
      <w:r>
        <w:rPr>
          <w:rFonts w:ascii="Arial" w:cs="Arial" w:eastAsia="Arial" w:hAnsi="Arial"/>
          <w:sz w:val="20"/>
          <w:szCs w:val="20"/>
          <w:color w:val="auto"/>
        </w:rPr>
        <w:t xml:space="preserve">“Release”: The form of general release, as determined by the Administrator, to be executed by a Participant in accordance with </w:t>
      </w:r>
      <w:r>
        <w:rPr>
          <w:rFonts w:ascii="Arial" w:cs="Arial" w:eastAsia="Arial" w:hAnsi="Arial"/>
          <w:sz w:val="20"/>
          <w:szCs w:val="20"/>
          <w:u w:val="single" w:color="auto"/>
          <w:color w:val="auto"/>
        </w:rPr>
        <w:t>Section 4</w:t>
      </w:r>
      <w:r>
        <w:rPr>
          <w:rFonts w:ascii="Arial" w:cs="Arial" w:eastAsia="Arial" w:hAnsi="Arial"/>
          <w:sz w:val="20"/>
          <w:szCs w:val="20"/>
          <w:color w:val="auto"/>
        </w:rPr>
        <w:t xml:space="preserve"> of the Plan.</w:t>
      </w:r>
    </w:p>
    <w:p>
      <w:pPr>
        <w:spacing w:after="0" w:line="182" w:lineRule="exact"/>
        <w:rPr>
          <w:rFonts w:ascii="Arial" w:cs="Arial" w:eastAsia="Arial" w:hAnsi="Arial"/>
          <w:sz w:val="20"/>
          <w:szCs w:val="20"/>
          <w:color w:val="auto"/>
        </w:rPr>
      </w:pPr>
    </w:p>
    <w:p>
      <w:pPr>
        <w:ind w:left="644" w:right="440" w:hanging="644"/>
        <w:spacing w:after="0" w:line="271" w:lineRule="auto"/>
        <w:tabs>
          <w:tab w:leader="none" w:pos="636" w:val="left"/>
        </w:tabs>
        <w:numPr>
          <w:ilvl w:val="0"/>
          <w:numId w:val="43"/>
        </w:numPr>
        <w:rPr>
          <w:rFonts w:ascii="Arial" w:cs="Arial" w:eastAsia="Arial" w:hAnsi="Arial"/>
          <w:sz w:val="20"/>
          <w:szCs w:val="20"/>
          <w:color w:val="auto"/>
        </w:rPr>
      </w:pPr>
      <w:r>
        <w:rPr>
          <w:rFonts w:ascii="Arial" w:cs="Arial" w:eastAsia="Arial" w:hAnsi="Arial"/>
          <w:sz w:val="20"/>
          <w:szCs w:val="20"/>
          <w:color w:val="auto"/>
        </w:rPr>
        <w:t>“SERP”: The Company’s Supplemental Executive Retirement Plan, as it may be amended and including any successor.</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824"/>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0544"/>
          </w:cols>
          <w:pgMar w:left="976" w:top="361" w:right="379" w:bottom="1440" w:gutter="0" w:footer="0" w:header="0"/>
        </w:sectPr>
      </w:pPr>
    </w:p>
    <w:bookmarkStart w:id="100" w:name="page101"/>
    <w:bookmarkEnd w:id="100"/>
    <w:p>
      <w:pPr>
        <w:ind w:left="644" w:hanging="644"/>
        <w:spacing w:after="0"/>
        <w:tabs>
          <w:tab w:leader="none" w:pos="631" w:val="left"/>
        </w:tabs>
        <w:numPr>
          <w:ilvl w:val="0"/>
          <w:numId w:val="44"/>
        </w:numPr>
        <w:rPr>
          <w:rFonts w:ascii="Arial" w:cs="Arial" w:eastAsia="Arial" w:hAnsi="Arial"/>
          <w:sz w:val="20"/>
          <w:szCs w:val="20"/>
          <w:color w:val="auto"/>
        </w:rPr>
      </w:pPr>
      <w:r>
        <w:rPr>
          <w:rFonts w:ascii="Arial" w:cs="Arial" w:eastAsia="Arial" w:hAnsi="Arial"/>
          <w:sz w:val="20"/>
          <w:szCs w:val="20"/>
          <w:color w:val="auto"/>
        </w:rPr>
        <w:t xml:space="preserve">“Severance Benefits”: The benefits payable to or in respect of a Participant upon a Qualifying Termination or a CoC Qualifying Termination, in each case as specified in </w:t>
      </w:r>
      <w:r>
        <w:rPr>
          <w:rFonts w:ascii="Arial" w:cs="Arial" w:eastAsia="Arial" w:hAnsi="Arial"/>
          <w:sz w:val="20"/>
          <w:szCs w:val="20"/>
          <w:u w:val="single" w:color="auto"/>
          <w:color w:val="auto"/>
        </w:rPr>
        <w:t>Section 6</w:t>
      </w:r>
      <w:r>
        <w:rPr>
          <w:rFonts w:ascii="Arial" w:cs="Arial" w:eastAsia="Arial" w:hAnsi="Arial"/>
          <w:sz w:val="20"/>
          <w:szCs w:val="20"/>
          <w:color w:val="auto"/>
        </w:rPr>
        <w:t xml:space="preserve"> of the Plan and any applicable schedule to the Plan. A Participant’s right to receive Severance Benefits under the Plan or to retain any Severance Benefits earlier received shall in each case be subject to the terms of the Plan, including, without limitation, </w:t>
      </w:r>
      <w:r>
        <w:rPr>
          <w:rFonts w:ascii="Arial" w:cs="Arial" w:eastAsia="Arial" w:hAnsi="Arial"/>
          <w:sz w:val="20"/>
          <w:szCs w:val="20"/>
          <w:u w:val="single" w:color="auto"/>
          <w:color w:val="auto"/>
        </w:rPr>
        <w:t>Section 4</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8</w:t>
      </w:r>
      <w:r>
        <w:rPr>
          <w:rFonts w:ascii="Arial" w:cs="Arial" w:eastAsia="Arial" w:hAnsi="Arial"/>
          <w:sz w:val="20"/>
          <w:szCs w:val="20"/>
          <w:color w:val="auto"/>
        </w:rPr>
        <w:t xml:space="preserve"> of the Plan.</w:t>
      </w:r>
    </w:p>
    <w:p>
      <w:pPr>
        <w:spacing w:after="0" w:line="2" w:lineRule="exact"/>
        <w:rPr>
          <w:rFonts w:ascii="Arial" w:cs="Arial" w:eastAsia="Arial" w:hAnsi="Arial"/>
          <w:sz w:val="20"/>
          <w:szCs w:val="20"/>
          <w:color w:val="auto"/>
        </w:rPr>
      </w:pPr>
    </w:p>
    <w:p>
      <w:pPr>
        <w:ind w:left="644" w:right="680" w:hanging="644"/>
        <w:spacing w:after="0" w:line="253" w:lineRule="auto"/>
        <w:tabs>
          <w:tab w:leader="none" w:pos="631" w:val="left"/>
        </w:tabs>
        <w:numPr>
          <w:ilvl w:val="0"/>
          <w:numId w:val="44"/>
        </w:numPr>
        <w:rPr>
          <w:rFonts w:ascii="Arial" w:cs="Arial" w:eastAsia="Arial" w:hAnsi="Arial"/>
          <w:sz w:val="20"/>
          <w:szCs w:val="20"/>
          <w:color w:val="auto"/>
        </w:rPr>
      </w:pPr>
      <w:r>
        <w:rPr>
          <w:rFonts w:ascii="Arial" w:cs="Arial" w:eastAsia="Arial" w:hAnsi="Arial"/>
          <w:sz w:val="20"/>
          <w:szCs w:val="20"/>
          <w:color w:val="auto"/>
        </w:rPr>
        <w:t>“Stock Incentive Plan”: The Company’s Stock Incentive Plan, as amended from time to time, including any successor.</w:t>
      </w:r>
    </w:p>
    <w:p>
      <w:pPr>
        <w:spacing w:after="0" w:line="199" w:lineRule="exact"/>
        <w:rPr>
          <w:rFonts w:ascii="Arial" w:cs="Arial" w:eastAsia="Arial" w:hAnsi="Arial"/>
          <w:sz w:val="20"/>
          <w:szCs w:val="20"/>
          <w:color w:val="auto"/>
        </w:rPr>
      </w:pPr>
    </w:p>
    <w:p>
      <w:pPr>
        <w:ind w:left="644" w:right="840" w:hanging="644"/>
        <w:spacing w:after="0" w:line="271" w:lineRule="auto"/>
        <w:tabs>
          <w:tab w:leader="none" w:pos="639" w:val="left"/>
        </w:tabs>
        <w:numPr>
          <w:ilvl w:val="0"/>
          <w:numId w:val="44"/>
        </w:numPr>
        <w:rPr>
          <w:rFonts w:ascii="Arial" w:cs="Arial" w:eastAsia="Arial" w:hAnsi="Arial"/>
          <w:sz w:val="20"/>
          <w:szCs w:val="20"/>
          <w:color w:val="auto"/>
        </w:rPr>
      </w:pPr>
      <w:r>
        <w:rPr>
          <w:rFonts w:ascii="Arial" w:cs="Arial" w:eastAsia="Arial" w:hAnsi="Arial"/>
          <w:sz w:val="20"/>
          <w:szCs w:val="20"/>
          <w:color w:val="auto"/>
        </w:rPr>
        <w:t>“Subsidiary”: Any corporation in which the Company owns, directly or indirectly, 50% or more of the total combined voting power of all classes of stock.</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824"/>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0564"/>
          </w:cols>
          <w:pgMar w:left="976" w:top="361" w:right="359" w:bottom="1440" w:gutter="0" w:footer="0" w:header="0"/>
        </w:sectPr>
      </w:pPr>
    </w:p>
    <w:bookmarkStart w:id="101" w:name="page102"/>
    <w:bookmarkEnd w:id="101"/>
    <w:p>
      <w:pPr>
        <w:jc w:val="center"/>
        <w:ind w:right="-19"/>
        <w:spacing w:after="0"/>
        <w:rPr>
          <w:sz w:val="20"/>
          <w:szCs w:val="20"/>
          <w:color w:val="auto"/>
        </w:rPr>
      </w:pPr>
      <w:r>
        <w:rPr>
          <w:rFonts w:ascii="Arial" w:cs="Arial" w:eastAsia="Arial" w:hAnsi="Arial"/>
          <w:sz w:val="20"/>
          <w:szCs w:val="20"/>
          <w:u w:val="single" w:color="auto"/>
          <w:color w:val="auto"/>
        </w:rPr>
        <w:t>APPENDIX B</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Tax Matters</w:t>
      </w:r>
    </w:p>
    <w:p>
      <w:pPr>
        <w:spacing w:after="0" w:line="245"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All Severance Benefits are subject to reduction for applicable tax and other legally or contractually required withholdings and are conditioned upon a Participant’s making arrangements satisfactory to the Administrator for full satisfaction of any such tax or other withholdings.</w:t>
      </w:r>
    </w:p>
    <w:p>
      <w:pPr>
        <w:spacing w:after="0" w:line="212" w:lineRule="exact"/>
        <w:rPr>
          <w:sz w:val="20"/>
          <w:szCs w:val="20"/>
          <w:color w:val="auto"/>
        </w:rPr>
      </w:pPr>
    </w:p>
    <w:p>
      <w:pPr>
        <w:ind w:right="120"/>
        <w:spacing w:after="0" w:line="235" w:lineRule="auto"/>
        <w:rPr>
          <w:sz w:val="20"/>
          <w:szCs w:val="20"/>
          <w:color w:val="auto"/>
        </w:rPr>
      </w:pPr>
      <w:r>
        <w:rPr>
          <w:rFonts w:ascii="Arial" w:cs="Arial" w:eastAsia="Arial" w:hAnsi="Arial"/>
          <w:sz w:val="20"/>
          <w:szCs w:val="20"/>
          <w:color w:val="auto"/>
        </w:rPr>
        <w:t>Severance Benefits under the Plan are intended to comply with the applicable requirements of Section 409A of the Code and the Treasury Regulations thereunder (“Section 409A”), or the requirements for exemption from Section 409A, and shall be construed and administered accordingly. Nothing in the Plan is intended to constitute a material modification to any benefit that is “grandfathered” for purposes of determining the applicability of Section 409A. In no event shall the Employer or the Administrator be liable for any tax, penalty, or other loss in connection with any failure or alleged failure to comply with Section 409A or an exemption therefrom. It is intended that no person shall have a “legally binding right” (within the meaning of Section 409A) to Severance Benefits other than an employee who has satisfied all of the Plan’s eligibility requirements. The following provisions will apply to the extent Severance Benefits are non-exempt deferred compensation subject to the requirements of Section 409A (“Deferred Compensation”), as determined by the Administrator, notwithstanding anything in the Plan to the contrary:</w:t>
      </w:r>
    </w:p>
    <w:p>
      <w:pPr>
        <w:spacing w:after="0" w:line="205" w:lineRule="exact"/>
        <w:rPr>
          <w:sz w:val="20"/>
          <w:szCs w:val="20"/>
          <w:color w:val="auto"/>
        </w:rPr>
      </w:pPr>
    </w:p>
    <w:p>
      <w:pPr>
        <w:ind w:left="1300" w:firstLine="4"/>
        <w:spacing w:after="0" w:line="237" w:lineRule="auto"/>
        <w:tabs>
          <w:tab w:leader="none" w:pos="1597" w:val="left"/>
        </w:tabs>
        <w:numPr>
          <w:ilvl w:val="0"/>
          <w:numId w:val="45"/>
        </w:numPr>
        <w:rPr>
          <w:rFonts w:ascii="Arial" w:cs="Arial" w:eastAsia="Arial" w:hAnsi="Arial"/>
          <w:sz w:val="20"/>
          <w:szCs w:val="20"/>
          <w:color w:val="auto"/>
        </w:rPr>
      </w:pPr>
      <w:r>
        <w:rPr>
          <w:rFonts w:ascii="Arial" w:cs="Arial" w:eastAsia="Arial" w:hAnsi="Arial"/>
          <w:sz w:val="20"/>
          <w:szCs w:val="20"/>
          <w:i w:val="1"/>
          <w:iCs w:val="1"/>
          <w:color w:val="auto"/>
        </w:rPr>
        <w:t xml:space="preserve">“Separation from service” required. </w:t>
      </w:r>
      <w:r>
        <w:rPr>
          <w:rFonts w:ascii="Arial" w:cs="Arial" w:eastAsia="Arial" w:hAnsi="Arial"/>
          <w:sz w:val="20"/>
          <w:szCs w:val="20"/>
          <w:color w:val="auto"/>
        </w:rPr>
        <w:t>All references in the Plan to “termination of employment” or similar or</w:t>
      </w:r>
      <w:r>
        <w:rPr>
          <w:rFonts w:ascii="Arial" w:cs="Arial" w:eastAsia="Arial" w:hAnsi="Arial"/>
          <w:sz w:val="20"/>
          <w:szCs w:val="20"/>
          <w:i w:val="1"/>
          <w:iCs w:val="1"/>
          <w:color w:val="auto"/>
        </w:rPr>
        <w:t xml:space="preserve"> </w:t>
      </w:r>
      <w:r>
        <w:rPr>
          <w:rFonts w:ascii="Arial" w:cs="Arial" w:eastAsia="Arial" w:hAnsi="Arial"/>
          <w:sz w:val="20"/>
          <w:szCs w:val="20"/>
          <w:color w:val="auto"/>
        </w:rPr>
        <w:t>correlative phrases shall be construed to require a “separation from service” (within the meaning of Section 409A) from the Employer and from all other corporations and trades or businesses, if any, that would be treated as a “service recipient” with the Employer under Section 409A. Any written election by the Administrator for purposes of determining whether a “separation from service” has occurred under Section 409A (subject to any applicable limitations therein) shall be deemed part of the Plan.</w:t>
      </w:r>
    </w:p>
    <w:p>
      <w:pPr>
        <w:spacing w:after="0" w:line="216" w:lineRule="exact"/>
        <w:rPr>
          <w:rFonts w:ascii="Arial" w:cs="Arial" w:eastAsia="Arial" w:hAnsi="Arial"/>
          <w:sz w:val="20"/>
          <w:szCs w:val="20"/>
          <w:color w:val="auto"/>
        </w:rPr>
      </w:pPr>
    </w:p>
    <w:p>
      <w:pPr>
        <w:ind w:left="1300" w:right="640" w:firstLine="4"/>
        <w:spacing w:after="0" w:line="257" w:lineRule="auto"/>
        <w:tabs>
          <w:tab w:leader="none" w:pos="1597" w:val="left"/>
        </w:tabs>
        <w:numPr>
          <w:ilvl w:val="0"/>
          <w:numId w:val="45"/>
        </w:numPr>
        <w:rPr>
          <w:rFonts w:ascii="Arial" w:cs="Arial" w:eastAsia="Arial" w:hAnsi="Arial"/>
          <w:sz w:val="20"/>
          <w:szCs w:val="20"/>
          <w:color w:val="auto"/>
        </w:rPr>
      </w:pPr>
      <w:r>
        <w:rPr>
          <w:rFonts w:ascii="Arial" w:cs="Arial" w:eastAsia="Arial" w:hAnsi="Arial"/>
          <w:sz w:val="20"/>
          <w:szCs w:val="20"/>
          <w:i w:val="1"/>
          <w:iCs w:val="1"/>
          <w:color w:val="auto"/>
        </w:rPr>
        <w:t xml:space="preserve">Installment payments. </w:t>
      </w:r>
      <w:r>
        <w:rPr>
          <w:rFonts w:ascii="Arial" w:cs="Arial" w:eastAsia="Arial" w:hAnsi="Arial"/>
          <w:sz w:val="20"/>
          <w:szCs w:val="20"/>
          <w:color w:val="auto"/>
        </w:rPr>
        <w:t>Any right to Deferred Compensation that would be paid in a series of installment</w:t>
      </w:r>
      <w:r>
        <w:rPr>
          <w:rFonts w:ascii="Arial" w:cs="Arial" w:eastAsia="Arial" w:hAnsi="Arial"/>
          <w:sz w:val="20"/>
          <w:szCs w:val="20"/>
          <w:i w:val="1"/>
          <w:iCs w:val="1"/>
          <w:color w:val="auto"/>
        </w:rPr>
        <w:t xml:space="preserve"> </w:t>
      </w:r>
      <w:r>
        <w:rPr>
          <w:rFonts w:ascii="Arial" w:cs="Arial" w:eastAsia="Arial" w:hAnsi="Arial"/>
          <w:sz w:val="20"/>
          <w:szCs w:val="20"/>
          <w:color w:val="auto"/>
        </w:rPr>
        <w:t>payments is to be treated as a right to a series of separate payments.</w:t>
      </w:r>
    </w:p>
    <w:p>
      <w:pPr>
        <w:spacing w:after="0" w:line="195" w:lineRule="exact"/>
        <w:rPr>
          <w:rFonts w:ascii="Arial" w:cs="Arial" w:eastAsia="Arial" w:hAnsi="Arial"/>
          <w:sz w:val="20"/>
          <w:szCs w:val="20"/>
          <w:color w:val="auto"/>
        </w:rPr>
      </w:pPr>
    </w:p>
    <w:p>
      <w:pPr>
        <w:ind w:left="1300" w:right="180" w:firstLine="4"/>
        <w:spacing w:after="0" w:line="248" w:lineRule="auto"/>
        <w:tabs>
          <w:tab w:leader="none" w:pos="1586" w:val="left"/>
        </w:tabs>
        <w:numPr>
          <w:ilvl w:val="0"/>
          <w:numId w:val="45"/>
        </w:numPr>
        <w:rPr>
          <w:rFonts w:ascii="Arial" w:cs="Arial" w:eastAsia="Arial" w:hAnsi="Arial"/>
          <w:sz w:val="19"/>
          <w:szCs w:val="19"/>
          <w:color w:val="auto"/>
        </w:rPr>
      </w:pPr>
      <w:r>
        <w:rPr>
          <w:rFonts w:ascii="Arial" w:cs="Arial" w:eastAsia="Arial" w:hAnsi="Arial"/>
          <w:sz w:val="19"/>
          <w:szCs w:val="19"/>
          <w:i w:val="1"/>
          <w:iCs w:val="1"/>
          <w:color w:val="auto"/>
        </w:rPr>
        <w:t xml:space="preserve">Six-month delay for “specified employees”. </w:t>
      </w:r>
      <w:r>
        <w:rPr>
          <w:rFonts w:ascii="Arial" w:cs="Arial" w:eastAsia="Arial" w:hAnsi="Arial"/>
          <w:sz w:val="19"/>
          <w:szCs w:val="19"/>
          <w:color w:val="auto"/>
        </w:rPr>
        <w:t>If a Participant is a “specified employee” at the relevant time (as</w:t>
      </w:r>
      <w:r>
        <w:rPr>
          <w:rFonts w:ascii="Arial" w:cs="Arial" w:eastAsia="Arial" w:hAnsi="Arial"/>
          <w:sz w:val="19"/>
          <w:szCs w:val="19"/>
          <w:i w:val="1"/>
          <w:iCs w:val="1"/>
          <w:color w:val="auto"/>
        </w:rPr>
        <w:t xml:space="preserve"> </w:t>
      </w:r>
      <w:r>
        <w:rPr>
          <w:rFonts w:ascii="Arial" w:cs="Arial" w:eastAsia="Arial" w:hAnsi="Arial"/>
          <w:sz w:val="19"/>
          <w:szCs w:val="19"/>
          <w:color w:val="auto"/>
        </w:rPr>
        <w:t>determined by the Administrator in accordance with Section 409A) (the “Severance Event”), Deferred Compensation that would (but for this sentence) be payable within six months following such Severance Event shall instead be accumulated and paid, without interest, on the date that follows the date of such Severance Event by six (6) months and one day (or, if earlier, the date of the Participant’s death). A “specified employee” means an individual who is determined by the Administrator to be a specified employee within the meaning of Section 409A. Any written election by the Administrator for purposes of determining “specified employee” status under Section 409A (subject to any applicable limitations therein) shall be deemed part of the Plan.</w:t>
      </w:r>
    </w:p>
    <w:p>
      <w:pPr>
        <w:spacing w:after="0" w:line="205" w:lineRule="exact"/>
        <w:rPr>
          <w:rFonts w:ascii="Arial" w:cs="Arial" w:eastAsia="Arial" w:hAnsi="Arial"/>
          <w:sz w:val="19"/>
          <w:szCs w:val="19"/>
          <w:color w:val="auto"/>
        </w:rPr>
      </w:pPr>
    </w:p>
    <w:p>
      <w:pPr>
        <w:jc w:val="both"/>
        <w:ind w:left="1300" w:right="180" w:firstLine="4"/>
        <w:spacing w:after="0"/>
        <w:tabs>
          <w:tab w:leader="none" w:pos="1597" w:val="left"/>
        </w:tabs>
        <w:numPr>
          <w:ilvl w:val="0"/>
          <w:numId w:val="45"/>
        </w:numPr>
        <w:rPr>
          <w:rFonts w:ascii="Arial" w:cs="Arial" w:eastAsia="Arial" w:hAnsi="Arial"/>
          <w:sz w:val="20"/>
          <w:szCs w:val="20"/>
          <w:color w:val="auto"/>
        </w:rPr>
      </w:pPr>
      <w:r>
        <w:rPr>
          <w:rFonts w:ascii="Arial" w:cs="Arial" w:eastAsia="Arial" w:hAnsi="Arial"/>
          <w:sz w:val="20"/>
          <w:szCs w:val="20"/>
          <w:i w:val="1"/>
          <w:iCs w:val="1"/>
          <w:color w:val="auto"/>
        </w:rPr>
        <w:t>Change of Control Payments</w:t>
      </w:r>
      <w:r>
        <w:rPr>
          <w:rFonts w:ascii="Arial" w:cs="Arial" w:eastAsia="Arial" w:hAnsi="Arial"/>
          <w:sz w:val="20"/>
          <w:szCs w:val="20"/>
          <w:color w:val="auto"/>
        </w:rPr>
        <w:t>. Any right to payments in connection with a CoC Qualifying Termination under</w:t>
      </w:r>
      <w:r>
        <w:rPr>
          <w:rFonts w:ascii="Arial" w:cs="Arial" w:eastAsia="Arial" w:hAnsi="Arial"/>
          <w:sz w:val="20"/>
          <w:szCs w:val="20"/>
          <w:i w:val="1"/>
          <w:iCs w:val="1"/>
          <w:color w:val="auto"/>
        </w:rPr>
        <w:t xml:space="preserve"> </w:t>
      </w:r>
      <w:r>
        <w:rPr>
          <w:rFonts w:ascii="Arial" w:cs="Arial" w:eastAsia="Arial" w:hAnsi="Arial"/>
          <w:sz w:val="20"/>
          <w:szCs w:val="20"/>
          <w:u w:val="single" w:color="auto"/>
          <w:color w:val="auto"/>
        </w:rPr>
        <w:t>Appendix D</w:t>
      </w:r>
      <w:r>
        <w:rPr>
          <w:rFonts w:ascii="Arial" w:cs="Arial" w:eastAsia="Arial" w:hAnsi="Arial"/>
          <w:sz w:val="20"/>
          <w:szCs w:val="20"/>
          <w:color w:val="auto"/>
        </w:rPr>
        <w:t xml:space="preserve"> of the Plan assume that the Change of Control is a “change in control event” (within the meaning of Section 409A) and that the termination occurs within two years after the Change of Control. If the Change of Control is not a “change in control event”</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B-1</w:t>
      </w:r>
    </w:p>
    <w:p>
      <w:pPr>
        <w:sectPr>
          <w:pgSz w:w="11900" w:h="16838" w:orient="portrait"/>
          <w:cols w:equalWidth="0" w:num="1">
            <w:col w:w="11220"/>
          </w:cols>
          <w:pgMar w:left="320" w:top="1157" w:right="359" w:bottom="1440" w:gutter="0" w:footer="0" w:header="0"/>
        </w:sectPr>
      </w:pPr>
    </w:p>
    <w:bookmarkStart w:id="102" w:name="page103"/>
    <w:bookmarkEnd w:id="102"/>
    <w:p>
      <w:pPr>
        <w:ind w:left="180"/>
        <w:spacing w:after="0"/>
        <w:rPr>
          <w:sz w:val="20"/>
          <w:szCs w:val="20"/>
          <w:color w:val="auto"/>
        </w:rPr>
      </w:pPr>
      <w:r>
        <w:rPr>
          <w:rFonts w:ascii="Arial" w:cs="Arial" w:eastAsia="Arial" w:hAnsi="Arial"/>
          <w:sz w:val="20"/>
          <w:szCs w:val="20"/>
          <w:color w:val="auto"/>
        </w:rPr>
        <w:t>(within the meaning of Section 409A) or if the CoC Qualifying Termination occurs more than two years after the Change of Control, to the extent required to avoid adverse tax consequences under Section 409A (as determined by the Administrator), payments upon a CoC Qualifying Termination shall be paid, to the extent applicable, in the same manner as they would have been paid in the case of a Qualifying Termination.</w:t>
      </w:r>
    </w:p>
    <w:p>
      <w:pPr>
        <w:spacing w:after="0" w:line="201" w:lineRule="exact"/>
        <w:rPr>
          <w:sz w:val="20"/>
          <w:szCs w:val="20"/>
          <w:color w:val="auto"/>
        </w:rPr>
      </w:pPr>
    </w:p>
    <w:p>
      <w:pPr>
        <w:ind w:left="180" w:right="60" w:firstLine="4"/>
        <w:spacing w:after="0"/>
        <w:tabs>
          <w:tab w:leader="none" w:pos="477" w:val="left"/>
        </w:tabs>
        <w:numPr>
          <w:ilvl w:val="0"/>
          <w:numId w:val="46"/>
        </w:numPr>
        <w:rPr>
          <w:rFonts w:ascii="Arial" w:cs="Arial" w:eastAsia="Arial" w:hAnsi="Arial"/>
          <w:sz w:val="20"/>
          <w:szCs w:val="20"/>
          <w:color w:val="auto"/>
        </w:rPr>
      </w:pPr>
      <w:r>
        <w:rPr>
          <w:rFonts w:ascii="Arial" w:cs="Arial" w:eastAsia="Arial" w:hAnsi="Arial"/>
          <w:sz w:val="20"/>
          <w:szCs w:val="20"/>
          <w:i w:val="1"/>
          <w:iCs w:val="1"/>
          <w:color w:val="auto"/>
        </w:rPr>
        <w:t>Release requirement and timing of payments</w:t>
      </w:r>
      <w:r>
        <w:rPr>
          <w:rFonts w:ascii="Arial" w:cs="Arial" w:eastAsia="Arial" w:hAnsi="Arial"/>
          <w:sz w:val="20"/>
          <w:szCs w:val="20"/>
          <w:color w:val="auto"/>
        </w:rPr>
        <w:t>. If the timing of the payment or commencement of Deferred</w:t>
      </w:r>
      <w:r>
        <w:rPr>
          <w:rFonts w:ascii="Arial" w:cs="Arial" w:eastAsia="Arial" w:hAnsi="Arial"/>
          <w:sz w:val="20"/>
          <w:szCs w:val="20"/>
          <w:i w:val="1"/>
          <w:iCs w:val="1"/>
          <w:color w:val="auto"/>
        </w:rPr>
        <w:t xml:space="preserve"> </w:t>
      </w:r>
      <w:r>
        <w:rPr>
          <w:rFonts w:ascii="Arial" w:cs="Arial" w:eastAsia="Arial" w:hAnsi="Arial"/>
          <w:sz w:val="20"/>
          <w:szCs w:val="20"/>
          <w:color w:val="auto"/>
        </w:rPr>
        <w:t>Compensation is contingent upon the expiration of all applicable rights of revocation with respect to any Release, such Deferred Compensation shall be paid or commence, if at all, within a designated period of not more than 90 days following the Severance Event (or other permissible payment event within the meaning of Section 409A); provided that, if such designated period begins in one calendar year and ends in the next calendar year, such Deferred Compensation shall be paid or commence, if at all, in the next calendar year.</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360"/>
        <w:spacing w:after="0"/>
        <w:rPr>
          <w:sz w:val="20"/>
          <w:szCs w:val="20"/>
          <w:color w:val="auto"/>
        </w:rPr>
      </w:pPr>
      <w:r>
        <w:rPr>
          <w:rFonts w:ascii="Arial" w:cs="Arial" w:eastAsia="Arial" w:hAnsi="Arial"/>
          <w:sz w:val="20"/>
          <w:szCs w:val="20"/>
          <w:color w:val="auto"/>
        </w:rPr>
        <w:t>B-2</w:t>
      </w:r>
    </w:p>
    <w:p>
      <w:pPr>
        <w:sectPr>
          <w:pgSz w:w="11900" w:h="16838" w:orient="portrait"/>
          <w:cols w:equalWidth="0" w:num="1">
            <w:col w:w="10100"/>
          </w:cols>
          <w:pgMar w:left="1440" w:top="1157" w:right="359" w:bottom="1440" w:gutter="0" w:footer="0" w:header="0"/>
        </w:sectPr>
      </w:pPr>
    </w:p>
    <w:bookmarkStart w:id="103" w:name="page104"/>
    <w:bookmarkEnd w:id="103"/>
    <w:p>
      <w:pPr>
        <w:jc w:val="center"/>
        <w:ind w:left="640"/>
        <w:spacing w:after="0"/>
        <w:rPr>
          <w:sz w:val="20"/>
          <w:szCs w:val="20"/>
          <w:color w:val="auto"/>
        </w:rPr>
      </w:pPr>
      <w:r>
        <w:rPr>
          <w:rFonts w:ascii="Arial" w:cs="Arial" w:eastAsia="Arial" w:hAnsi="Arial"/>
          <w:sz w:val="20"/>
          <w:szCs w:val="20"/>
          <w:u w:val="single" w:color="auto"/>
          <w:color w:val="auto"/>
        </w:rPr>
        <w:t>APPENDIX C</w:t>
      </w:r>
    </w:p>
    <w:p>
      <w:pPr>
        <w:spacing w:after="0" w:line="18" w:lineRule="exact"/>
        <w:rPr>
          <w:sz w:val="20"/>
          <w:szCs w:val="20"/>
          <w:color w:val="auto"/>
        </w:rPr>
      </w:pPr>
    </w:p>
    <w:p>
      <w:pPr>
        <w:jc w:val="center"/>
        <w:ind w:left="640"/>
        <w:spacing w:after="0"/>
        <w:rPr>
          <w:sz w:val="20"/>
          <w:szCs w:val="20"/>
          <w:color w:val="auto"/>
        </w:rPr>
      </w:pPr>
      <w:r>
        <w:rPr>
          <w:rFonts w:ascii="Arial" w:cs="Arial" w:eastAsia="Arial" w:hAnsi="Arial"/>
          <w:sz w:val="20"/>
          <w:szCs w:val="20"/>
          <w:color w:val="auto"/>
        </w:rPr>
        <w:t>Schedule 1 – TJX Executive Officers</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20"/>
          <w:szCs w:val="20"/>
          <w:color w:val="auto"/>
        </w:rPr>
        <w:t>Severance Benefits following a Qualifying Termination</w:t>
      </w:r>
    </w:p>
    <w:p>
      <w:pPr>
        <w:spacing w:after="0" w:line="225" w:lineRule="exact"/>
        <w:rPr>
          <w:sz w:val="20"/>
          <w:szCs w:val="20"/>
          <w:color w:val="auto"/>
        </w:rPr>
      </w:pPr>
    </w:p>
    <w:p>
      <w:pPr>
        <w:ind w:right="160"/>
        <w:spacing w:after="0" w:line="283" w:lineRule="auto"/>
        <w:rPr>
          <w:sz w:val="20"/>
          <w:szCs w:val="20"/>
          <w:color w:val="auto"/>
        </w:rPr>
      </w:pPr>
      <w:r>
        <w:rPr>
          <w:rFonts w:ascii="Arial" w:cs="Arial" w:eastAsia="Arial" w:hAnsi="Arial"/>
          <w:sz w:val="16"/>
          <w:szCs w:val="16"/>
          <w:i w:val="1"/>
          <w:iCs w:val="1"/>
          <w:color w:val="auto"/>
        </w:rPr>
        <w:t xml:space="preserve">This Schedule constitutes part of the TJX Executive Severance and Change of Control Plan effective September 19, 2022 and is subject to the terms and conditions set forth therein, including, without limitation, </w:t>
      </w:r>
      <w:r>
        <w:rPr>
          <w:rFonts w:ascii="Arial" w:cs="Arial" w:eastAsia="Arial" w:hAnsi="Arial"/>
          <w:sz w:val="16"/>
          <w:szCs w:val="16"/>
          <w:i w:val="1"/>
          <w:iCs w:val="1"/>
          <w:u w:val="single" w:color="auto"/>
          <w:color w:val="auto"/>
        </w:rPr>
        <w:t>Section 4</w:t>
      </w:r>
      <w:r>
        <w:rPr>
          <w:rFonts w:ascii="Arial" w:cs="Arial" w:eastAsia="Arial" w:hAnsi="Arial"/>
          <w:sz w:val="16"/>
          <w:szCs w:val="16"/>
          <w:i w:val="1"/>
          <w:iCs w:val="1"/>
          <w:color w:val="auto"/>
        </w:rPr>
        <w:t xml:space="preserve"> and </w:t>
      </w:r>
      <w:r>
        <w:rPr>
          <w:rFonts w:ascii="Arial" w:cs="Arial" w:eastAsia="Arial" w:hAnsi="Arial"/>
          <w:sz w:val="16"/>
          <w:szCs w:val="16"/>
          <w:i w:val="1"/>
          <w:iCs w:val="1"/>
          <w:u w:val="single" w:color="auto"/>
          <w:color w:val="auto"/>
        </w:rPr>
        <w:t>Section 8</w:t>
      </w:r>
      <w:r>
        <w:rPr>
          <w:rFonts w:ascii="Arial" w:cs="Arial" w:eastAsia="Arial" w:hAnsi="Arial"/>
          <w:sz w:val="16"/>
          <w:szCs w:val="16"/>
          <w:i w:val="1"/>
          <w:iCs w:val="1"/>
          <w:color w:val="auto"/>
        </w:rPr>
        <w:t xml:space="preserve"> thereof.</w:t>
      </w:r>
    </w:p>
    <w:p>
      <w:pPr>
        <w:spacing w:after="0" w:line="239"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color w:val="auto"/>
        </w:rPr>
        <w:t>Base Salary:</w:t>
      </w:r>
      <w:r>
        <w:rPr>
          <w:sz w:val="20"/>
          <w:szCs w:val="20"/>
          <w:color w:val="auto"/>
        </w:rPr>
        <w:tab/>
      </w:r>
      <w:r>
        <w:rPr>
          <w:rFonts w:ascii="Arial" w:cs="Arial" w:eastAsia="Arial" w:hAnsi="Arial"/>
          <w:sz w:val="16"/>
          <w:szCs w:val="16"/>
          <w:color w:val="auto"/>
        </w:rPr>
        <w:t>Earned but unpaid Base Salary through the Date of Termination.</w:t>
      </w:r>
    </w:p>
    <w:p>
      <w:pPr>
        <w:spacing w:after="0" w:line="302"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color w:val="auto"/>
        </w:rPr>
        <w:t>Vacation pay:</w:t>
      </w:r>
      <w:r>
        <w:rPr>
          <w:sz w:val="20"/>
          <w:szCs w:val="20"/>
          <w:color w:val="auto"/>
        </w:rPr>
        <w:tab/>
      </w:r>
      <w:r>
        <w:rPr>
          <w:rFonts w:ascii="Arial" w:cs="Arial" w:eastAsia="Arial" w:hAnsi="Arial"/>
          <w:sz w:val="16"/>
          <w:szCs w:val="16"/>
          <w:color w:val="auto"/>
        </w:rPr>
        <w:t>Accrued but unpaid vacation pay as of the Date of Termination.</w:t>
      </w:r>
    </w:p>
    <w:p>
      <w:pPr>
        <w:spacing w:after="0" w:line="59"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color w:val="auto"/>
        </w:rPr>
        <w:t>Salary Continuation Period:</w:t>
      </w:r>
      <w:r>
        <w:rPr>
          <w:sz w:val="20"/>
          <w:szCs w:val="20"/>
          <w:color w:val="auto"/>
        </w:rPr>
        <w:tab/>
      </w:r>
      <w:r>
        <w:rPr>
          <w:rFonts w:ascii="Arial" w:cs="Arial" w:eastAsia="Arial" w:hAnsi="Arial"/>
          <w:sz w:val="16"/>
          <w:szCs w:val="16"/>
          <w:color w:val="auto"/>
        </w:rPr>
        <w:t>The period of at least 12 and up to 24 months following the Date of Termination, as specified by the</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Administrator by notice to the Participant in connection with a Qualifying Termination.</w:t>
      </w:r>
    </w:p>
    <w:p>
      <w:pPr>
        <w:spacing w:after="0" w:line="43"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color w:val="auto"/>
        </w:rPr>
        <w:t>Noncompetition Period:</w:t>
      </w:r>
      <w:r>
        <w:rPr>
          <w:sz w:val="20"/>
          <w:szCs w:val="20"/>
          <w:color w:val="auto"/>
        </w:rPr>
        <w:tab/>
      </w:r>
      <w:r>
        <w:rPr>
          <w:rFonts w:ascii="Arial" w:cs="Arial" w:eastAsia="Arial" w:hAnsi="Arial"/>
          <w:sz w:val="16"/>
          <w:szCs w:val="16"/>
          <w:color w:val="auto"/>
        </w:rPr>
        <w:t>The period of at least 12 and up to 24 months following the Date of Termination that is consistent with</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the Salary Continuation Period specified by the Administrator, as described above.</w:t>
      </w:r>
    </w:p>
    <w:p>
      <w:pPr>
        <w:spacing w:after="0" w:line="43"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color w:val="auto"/>
        </w:rPr>
        <w:t>Salary Continuation:</w:t>
      </w:r>
      <w:r>
        <w:rPr>
          <w:sz w:val="20"/>
          <w:szCs w:val="20"/>
          <w:color w:val="auto"/>
        </w:rPr>
        <w:tab/>
      </w:r>
      <w:r>
        <w:rPr>
          <w:rFonts w:ascii="Arial" w:cs="Arial" w:eastAsia="Arial" w:hAnsi="Arial"/>
          <w:sz w:val="16"/>
          <w:szCs w:val="16"/>
          <w:color w:val="auto"/>
        </w:rPr>
        <w:t>Continues during the Salary Continuation Period described above, based on salary rate in effect at</w:t>
      </w:r>
    </w:p>
    <w:p>
      <w:pPr>
        <w:spacing w:after="0" w:line="21" w:lineRule="exact"/>
        <w:rPr>
          <w:sz w:val="20"/>
          <w:szCs w:val="20"/>
          <w:color w:val="auto"/>
        </w:rPr>
      </w:pPr>
    </w:p>
    <w:p>
      <w:pPr>
        <w:ind w:left="3840" w:right="380"/>
        <w:spacing w:after="0" w:line="262" w:lineRule="auto"/>
        <w:rPr>
          <w:sz w:val="20"/>
          <w:szCs w:val="20"/>
          <w:color w:val="auto"/>
        </w:rPr>
      </w:pPr>
      <w:r>
        <w:rPr>
          <w:rFonts w:ascii="Arial" w:cs="Arial" w:eastAsia="Arial" w:hAnsi="Arial"/>
          <w:sz w:val="16"/>
          <w:szCs w:val="16"/>
          <w:color w:val="auto"/>
        </w:rPr>
        <w:t>termination. Rate is reduced by any long-term disability benefits. Paid in accordance with regular payroll practices for Company executives (but not less frequently than monthly).</w:t>
      </w:r>
    </w:p>
    <w:p>
      <w:pPr>
        <w:spacing w:after="0" w:line="1"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color w:val="auto"/>
        </w:rPr>
        <w:t>Additional cash payment:</w:t>
      </w:r>
      <w:r>
        <w:rPr>
          <w:sz w:val="20"/>
          <w:szCs w:val="20"/>
          <w:color w:val="auto"/>
        </w:rPr>
        <w:tab/>
      </w:r>
      <w:r>
        <w:rPr>
          <w:rFonts w:ascii="Arial" w:cs="Arial" w:eastAsia="Arial" w:hAnsi="Arial"/>
          <w:sz w:val="16"/>
          <w:szCs w:val="16"/>
          <w:color w:val="auto"/>
        </w:rPr>
        <w:t>A cash amount equal to the cost of COBRA continuation coverage, on an after-tax basis, during the</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Coverage Period, as determined by the Administrator. The “Coverage Period” begins with the</w:t>
      </w:r>
    </w:p>
    <w:p>
      <w:pPr>
        <w:ind w:left="3840"/>
        <w:spacing w:after="0" w:line="235" w:lineRule="auto"/>
        <w:rPr>
          <w:sz w:val="20"/>
          <w:szCs w:val="20"/>
          <w:color w:val="auto"/>
        </w:rPr>
      </w:pPr>
      <w:r>
        <w:rPr>
          <w:rFonts w:ascii="Arial" w:cs="Arial" w:eastAsia="Arial" w:hAnsi="Arial"/>
          <w:sz w:val="16"/>
          <w:szCs w:val="16"/>
          <w:color w:val="auto"/>
        </w:rPr>
        <w:t>commencement of COBRA continuation coverage and ends at the earliest of (i) the end of the Salary</w:t>
      </w:r>
    </w:p>
    <w:p>
      <w:pPr>
        <w:ind w:left="3840" w:right="40"/>
        <w:spacing w:after="0" w:line="265" w:lineRule="auto"/>
        <w:rPr>
          <w:sz w:val="20"/>
          <w:szCs w:val="20"/>
          <w:color w:val="auto"/>
        </w:rPr>
      </w:pPr>
      <w:r>
        <w:rPr>
          <w:rFonts w:ascii="Arial" w:cs="Arial" w:eastAsia="Arial" w:hAnsi="Arial"/>
          <w:sz w:val="16"/>
          <w:szCs w:val="16"/>
          <w:color w:val="auto"/>
        </w:rPr>
        <w:t>Continuation Period or (ii) termination of COBRA continuation coverage. Paid at the same time and in the same manner as Salary Continuation.</w:t>
      </w:r>
    </w:p>
    <w:p>
      <w:pPr>
        <w:spacing w:after="0" w:line="10"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color w:val="auto"/>
        </w:rPr>
        <w:t>Automobile allowance:</w:t>
      </w:r>
      <w:r>
        <w:rPr>
          <w:sz w:val="20"/>
          <w:szCs w:val="20"/>
          <w:color w:val="auto"/>
        </w:rPr>
        <w:tab/>
      </w:r>
      <w:r>
        <w:rPr>
          <w:rFonts w:ascii="Arial" w:cs="Arial" w:eastAsia="Arial" w:hAnsi="Arial"/>
          <w:sz w:val="16"/>
          <w:szCs w:val="16"/>
          <w:color w:val="auto"/>
        </w:rPr>
        <w:t>If applicable, continues during the Salary Continuation Period. Paid at the same time and in the same</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manner as Salary Continuation.</w:t>
      </w:r>
    </w:p>
    <w:p>
      <w:pPr>
        <w:spacing w:after="0" w:line="43"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color w:val="auto"/>
        </w:rPr>
        <w:t>Earned MIP and LRPIP:</w:t>
      </w:r>
      <w:r>
        <w:rPr>
          <w:sz w:val="20"/>
          <w:szCs w:val="20"/>
          <w:color w:val="auto"/>
        </w:rPr>
        <w:tab/>
      </w:r>
      <w:r>
        <w:rPr>
          <w:rFonts w:ascii="Arial" w:cs="Arial" w:eastAsia="Arial" w:hAnsi="Arial"/>
          <w:sz w:val="16"/>
          <w:szCs w:val="16"/>
          <w:color w:val="auto"/>
        </w:rPr>
        <w:t>Earned but unpaid amounts under MIP and LRPIP for performance periods that closed prior to the</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Date of Termination, and any LRPIP amounts to which the Participant is entitled in connection with</w:t>
      </w:r>
    </w:p>
    <w:p>
      <w:pPr>
        <w:jc w:val="right"/>
        <w:spacing w:after="0" w:line="235" w:lineRule="auto"/>
        <w:rPr>
          <w:sz w:val="20"/>
          <w:szCs w:val="20"/>
          <w:color w:val="auto"/>
        </w:rPr>
      </w:pPr>
      <w:r>
        <w:rPr>
          <w:rFonts w:ascii="Arial" w:cs="Arial" w:eastAsia="Arial" w:hAnsi="Arial"/>
          <w:sz w:val="16"/>
          <w:szCs w:val="16"/>
          <w:color w:val="auto"/>
        </w:rPr>
        <w:t>Special Service Retirement (as defined in the Stock Incentive Plan), in accordance with and subject to</w:t>
      </w:r>
    </w:p>
    <w:p>
      <w:pPr>
        <w:ind w:left="3840"/>
        <w:spacing w:after="0"/>
        <w:rPr>
          <w:sz w:val="20"/>
          <w:szCs w:val="20"/>
          <w:color w:val="auto"/>
        </w:rPr>
      </w:pPr>
      <w:r>
        <w:rPr>
          <w:rFonts w:ascii="Arial" w:cs="Arial" w:eastAsia="Arial" w:hAnsi="Arial"/>
          <w:sz w:val="16"/>
          <w:szCs w:val="16"/>
          <w:color w:val="auto"/>
        </w:rPr>
        <w:t>applicable plan rules.</w:t>
      </w:r>
    </w:p>
    <w:p>
      <w:pPr>
        <w:sectPr>
          <w:pgSz w:w="11900" w:h="16838" w:orient="portrait"/>
          <w:cols w:equalWidth="0" w:num="1">
            <w:col w:w="11140"/>
          </w:cols>
          <w:pgMar w:left="320" w:top="1157" w:right="439" w:bottom="1440" w:gutter="0" w:footer="0" w:header="0"/>
        </w:sectPr>
      </w:pPr>
    </w:p>
    <w:p>
      <w:pPr>
        <w:spacing w:after="0" w:line="43" w:lineRule="exact"/>
        <w:rPr>
          <w:sz w:val="20"/>
          <w:szCs w:val="20"/>
          <w:color w:val="auto"/>
        </w:rPr>
      </w:pPr>
    </w:p>
    <w:p>
      <w:pPr>
        <w:ind w:left="20"/>
        <w:spacing w:after="0"/>
        <w:rPr>
          <w:sz w:val="20"/>
          <w:szCs w:val="20"/>
          <w:color w:val="auto"/>
        </w:rPr>
      </w:pPr>
      <w:r>
        <w:rPr>
          <w:rFonts w:ascii="Arial" w:cs="Arial" w:eastAsia="Arial" w:hAnsi="Arial"/>
          <w:sz w:val="16"/>
          <w:szCs w:val="16"/>
          <w:color w:val="auto"/>
        </w:rPr>
        <w:t>MIP for open fiscal year:</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An amount based on MIP performance for open fiscal year (as if the Participant had continued in office through the end of the fiscal year), prorated between 50% and 100% based on number of days completed during the fiscal year as of the Date of Termination. If termination is due to death or Disability, the amount shall instead be based on the MIP target award most recently granted to the Participant without proration. Paid at the same time other MIP awards are paid for the fiscal year (but not later than the 15th day of the third month following the close of the fiscal year).</w:t>
      </w:r>
    </w:p>
    <w:p>
      <w:pPr>
        <w:spacing w:after="0" w:line="200" w:lineRule="exact"/>
        <w:rPr>
          <w:sz w:val="20"/>
          <w:szCs w:val="20"/>
          <w:color w:val="auto"/>
        </w:rPr>
      </w:pPr>
    </w:p>
    <w:p>
      <w:pPr>
        <w:sectPr>
          <w:pgSz w:w="11900" w:h="16838" w:orient="portrait"/>
          <w:cols w:equalWidth="0" w:num="2">
            <w:col w:w="3120" w:space="720"/>
            <w:col w:w="7300"/>
          </w:cols>
          <w:pgMar w:left="320" w:top="1157"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C.1-1</w:t>
      </w:r>
    </w:p>
    <w:p>
      <w:pPr>
        <w:sectPr>
          <w:pgSz w:w="11900" w:h="16838" w:orient="portrait"/>
          <w:cols w:equalWidth="0" w:num="1">
            <w:col w:w="11140"/>
          </w:cols>
          <w:pgMar w:left="320" w:top="1157" w:right="439" w:bottom="1440" w:gutter="0" w:footer="0" w:header="0"/>
          <w:type w:val="continuous"/>
        </w:sectPr>
      </w:pPr>
    </w:p>
    <w:bookmarkStart w:id="104" w:name="page105"/>
    <w:bookmarkEnd w:id="104"/>
    <w:p>
      <w:pPr>
        <w:spacing w:after="0"/>
        <w:rPr>
          <w:sz w:val="20"/>
          <w:szCs w:val="20"/>
          <w:color w:val="auto"/>
        </w:rPr>
      </w:pPr>
      <w:r>
        <w:rPr>
          <w:rFonts w:ascii="Arial" w:cs="Arial" w:eastAsia="Arial" w:hAnsi="Arial"/>
          <w:sz w:val="16"/>
          <w:szCs w:val="16"/>
          <w:color w:val="auto"/>
        </w:rPr>
        <w:t>Prorated LRPIP for open cycles: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Stock Incentive Plan awards: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Deferred compensation plans: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Long-term disability benefits: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Other benefits:</w:t>
      </w:r>
    </w:p>
    <w:p>
      <w:pPr>
        <w:spacing w:after="0" w:line="20" w:lineRule="exact"/>
        <w:rPr>
          <w:sz w:val="20"/>
          <w:szCs w:val="20"/>
          <w:color w:val="auto"/>
        </w:rPr>
      </w:pPr>
      <w:r>
        <w:rPr>
          <w:sz w:val="20"/>
          <w:szCs w:val="20"/>
          <w:color w:val="auto"/>
        </w:rPr>
        <w:br w:type="column"/>
      </w:r>
    </w:p>
    <w:p>
      <w:pPr>
        <w:spacing w:after="0" w:line="253" w:lineRule="auto"/>
        <w:rPr>
          <w:sz w:val="20"/>
          <w:szCs w:val="20"/>
          <w:color w:val="auto"/>
        </w:rPr>
      </w:pPr>
      <w:r>
        <w:rPr>
          <w:rFonts w:ascii="Arial" w:cs="Arial" w:eastAsia="Arial" w:hAnsi="Arial"/>
          <w:sz w:val="16"/>
          <w:szCs w:val="16"/>
          <w:color w:val="auto"/>
        </w:rPr>
        <w:t>An amount based on LRPIP performance for open cycles, prorated based on full months completed during the cycle as of the Date of Termination. Paid at the same time as other LRPIP awards are paid for the cycle (but not later than the 15th day of the third month following the close of the last fiscal year in the cycle).</w:t>
      </w:r>
    </w:p>
    <w:p>
      <w:pPr>
        <w:spacing w:after="0" w:line="21"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Treated in accordance with and subject to award and plan terms, including any benefits in connection with Special Service Retirement (as defined in the Stock Incentive Plan).</w:t>
      </w:r>
    </w:p>
    <w:p>
      <w:pPr>
        <w:spacing w:after="0" w:line="1" w:lineRule="exact"/>
        <w:rPr>
          <w:sz w:val="20"/>
          <w:szCs w:val="20"/>
          <w:color w:val="auto"/>
        </w:rPr>
      </w:pPr>
    </w:p>
    <w:p>
      <w:pPr>
        <w:ind w:right="340"/>
        <w:spacing w:after="0" w:line="257" w:lineRule="auto"/>
        <w:rPr>
          <w:sz w:val="20"/>
          <w:szCs w:val="20"/>
          <w:color w:val="auto"/>
        </w:rPr>
      </w:pPr>
      <w:r>
        <w:rPr>
          <w:rFonts w:ascii="Arial" w:cs="Arial" w:eastAsia="Arial" w:hAnsi="Arial"/>
          <w:sz w:val="16"/>
          <w:szCs w:val="16"/>
          <w:color w:val="auto"/>
        </w:rPr>
        <w:t>Vested benefits, if any, provided in accordance with and subject to plan terms. Includes ESP and SERP (if Participant is eligible), and tax-qualified retirement and savings plans for Company employees, to the extent applicable.</w:t>
      </w:r>
    </w:p>
    <w:p>
      <w:pPr>
        <w:spacing w:after="0" w:line="16" w:lineRule="exact"/>
        <w:rPr>
          <w:sz w:val="20"/>
          <w:szCs w:val="20"/>
          <w:color w:val="auto"/>
        </w:rPr>
      </w:pPr>
    </w:p>
    <w:p>
      <w:pPr>
        <w:ind w:right="320"/>
        <w:spacing w:after="0" w:line="281" w:lineRule="auto"/>
        <w:rPr>
          <w:sz w:val="20"/>
          <w:szCs w:val="20"/>
          <w:color w:val="auto"/>
        </w:rPr>
      </w:pPr>
      <w:r>
        <w:rPr>
          <w:rFonts w:ascii="Arial" w:cs="Arial" w:eastAsia="Arial" w:hAnsi="Arial"/>
          <w:sz w:val="16"/>
          <w:szCs w:val="16"/>
          <w:color w:val="auto"/>
        </w:rPr>
        <w:t>If applicable, provided under the long-term disability plan of the Company in accordance with and subject to plan terms.</w:t>
      </w:r>
    </w:p>
    <w:p>
      <w:pPr>
        <w:spacing w:after="0" w:line="1" w:lineRule="exact"/>
        <w:rPr>
          <w:sz w:val="20"/>
          <w:szCs w:val="20"/>
          <w:color w:val="auto"/>
        </w:rPr>
      </w:pPr>
    </w:p>
    <w:p>
      <w:pPr>
        <w:ind w:right="620"/>
        <w:spacing w:after="0" w:line="286" w:lineRule="auto"/>
        <w:rPr>
          <w:sz w:val="20"/>
          <w:szCs w:val="20"/>
          <w:color w:val="auto"/>
        </w:rPr>
      </w:pPr>
      <w:r>
        <w:rPr>
          <w:rFonts w:ascii="Arial" w:cs="Arial" w:eastAsia="Arial" w:hAnsi="Arial"/>
          <w:sz w:val="16"/>
          <w:szCs w:val="16"/>
          <w:color w:val="auto"/>
        </w:rPr>
        <w:t>Not entitled to continue participation in any employee benefit or fringe benefit plan, except as expressly provided above or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C.1-2</w:t>
      </w:r>
    </w:p>
    <w:p>
      <w:pPr>
        <w:sectPr>
          <w:pgSz w:w="11900" w:h="16838" w:orient="portrait"/>
          <w:cols w:equalWidth="0" w:num="2">
            <w:col w:w="3100" w:space="720"/>
            <w:col w:w="7260"/>
          </w:cols>
          <w:pgMar w:left="340" w:top="1205" w:right="479" w:bottom="1440" w:gutter="0" w:footer="0" w:header="0"/>
        </w:sectPr>
      </w:pPr>
    </w:p>
    <w:bookmarkStart w:id="105" w:name="page106"/>
    <w:bookmarkEnd w:id="105"/>
    <w:p>
      <w:pPr>
        <w:jc w:val="center"/>
        <w:ind w:right="-19"/>
        <w:spacing w:after="0"/>
        <w:rPr>
          <w:sz w:val="20"/>
          <w:szCs w:val="20"/>
          <w:color w:val="auto"/>
        </w:rPr>
      </w:pPr>
      <w:r>
        <w:rPr>
          <w:rFonts w:ascii="Arial" w:cs="Arial" w:eastAsia="Arial" w:hAnsi="Arial"/>
          <w:sz w:val="20"/>
          <w:szCs w:val="20"/>
          <w:u w:val="single" w:color="auto"/>
          <w:color w:val="auto"/>
        </w:rPr>
        <w:t>APPENDIX D</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Schedule</w:t>
      </w:r>
    </w:p>
    <w:p>
      <w:pPr>
        <w:jc w:val="center"/>
        <w:ind w:right="-19"/>
        <w:spacing w:after="0"/>
        <w:rPr>
          <w:sz w:val="20"/>
          <w:szCs w:val="20"/>
          <w:color w:val="auto"/>
        </w:rPr>
      </w:pPr>
      <w:r>
        <w:rPr>
          <w:rFonts w:ascii="Arial" w:cs="Arial" w:eastAsia="Arial" w:hAnsi="Arial"/>
          <w:sz w:val="20"/>
          <w:szCs w:val="20"/>
          <w:color w:val="auto"/>
        </w:rPr>
        <w:t>Severance Benefits following a CoC Qualifying Termination</w:t>
      </w:r>
    </w:p>
    <w:p>
      <w:pPr>
        <w:spacing w:after="0" w:line="207" w:lineRule="exact"/>
        <w:rPr>
          <w:sz w:val="20"/>
          <w:szCs w:val="20"/>
          <w:color w:val="auto"/>
        </w:rPr>
      </w:pPr>
    </w:p>
    <w:p>
      <w:pPr>
        <w:ind w:right="240"/>
        <w:spacing w:after="0" w:line="283" w:lineRule="auto"/>
        <w:rPr>
          <w:sz w:val="20"/>
          <w:szCs w:val="20"/>
          <w:color w:val="auto"/>
        </w:rPr>
      </w:pPr>
      <w:r>
        <w:rPr>
          <w:rFonts w:ascii="Arial" w:cs="Arial" w:eastAsia="Arial" w:hAnsi="Arial"/>
          <w:sz w:val="16"/>
          <w:szCs w:val="16"/>
          <w:i w:val="1"/>
          <w:iCs w:val="1"/>
          <w:color w:val="auto"/>
        </w:rPr>
        <w:t>This Schedule constitutes part of the TJX Executive Severance and Change of Control Plan effective September 19, 2022 and is subject to the terms and conditions set forth therein.</w:t>
      </w:r>
    </w:p>
    <w:p>
      <w:pPr>
        <w:sectPr>
          <w:pgSz w:w="11900" w:h="16838" w:orient="portrait"/>
          <w:cols w:equalWidth="0" w:num="1">
            <w:col w:w="11220"/>
          </w:cols>
          <w:pgMar w:left="320" w:top="1157" w:right="359" w:bottom="1440" w:gutter="0" w:footer="0" w:header="0"/>
        </w:sectPr>
      </w:pPr>
    </w:p>
    <w:p>
      <w:pPr>
        <w:spacing w:after="0" w:line="2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Base Salary:</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jc w:val="center"/>
        <w:ind w:right="2700"/>
        <w:spacing w:after="0"/>
        <w:rPr>
          <w:sz w:val="20"/>
          <w:szCs w:val="20"/>
          <w:color w:val="auto"/>
        </w:rPr>
      </w:pPr>
      <w:r>
        <w:rPr>
          <w:rFonts w:ascii="Arial" w:cs="Arial" w:eastAsia="Arial" w:hAnsi="Arial"/>
          <w:sz w:val="16"/>
          <w:szCs w:val="16"/>
          <w:color w:val="auto"/>
        </w:rPr>
        <w:t>Earned but unpaid Base Salary through the Date of Termination.</w:t>
      </w:r>
    </w:p>
    <w:p>
      <w:pPr>
        <w:spacing w:after="0" w:line="200" w:lineRule="exact"/>
        <w:rPr>
          <w:sz w:val="20"/>
          <w:szCs w:val="20"/>
          <w:color w:val="auto"/>
        </w:rPr>
      </w:pPr>
    </w:p>
    <w:p>
      <w:pPr>
        <w:sectPr>
          <w:pgSz w:w="11900" w:h="16838" w:orient="portrait"/>
          <w:cols w:equalWidth="0" w:num="2">
            <w:col w:w="3200" w:space="720"/>
            <w:col w:w="7300"/>
          </w:cols>
          <w:pgMar w:left="320" w:top="1157" w:right="359" w:bottom="1440" w:gutter="0" w:footer="0" w:header="0"/>
          <w:type w:val="continuous"/>
        </w:sectPr>
      </w:pPr>
    </w:p>
    <w:p>
      <w:pPr>
        <w:spacing w:after="0" w:line="102" w:lineRule="exact"/>
        <w:rPr>
          <w:sz w:val="20"/>
          <w:szCs w:val="20"/>
          <w:color w:val="auto"/>
        </w:rPr>
      </w:pPr>
    </w:p>
    <w:p>
      <w:pPr>
        <w:ind w:left="20"/>
        <w:spacing w:after="0"/>
        <w:rPr>
          <w:sz w:val="20"/>
          <w:szCs w:val="20"/>
          <w:color w:val="auto"/>
        </w:rPr>
      </w:pPr>
      <w:r>
        <w:rPr>
          <w:rFonts w:ascii="Arial" w:cs="Arial" w:eastAsia="Arial" w:hAnsi="Arial"/>
          <w:sz w:val="16"/>
          <w:szCs w:val="16"/>
          <w:color w:val="auto"/>
        </w:rPr>
        <w:t>Vacation pay:</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jc w:val="center"/>
        <w:ind w:right="2800"/>
        <w:spacing w:after="0"/>
        <w:rPr>
          <w:sz w:val="20"/>
          <w:szCs w:val="20"/>
          <w:color w:val="auto"/>
        </w:rPr>
      </w:pPr>
      <w:r>
        <w:rPr>
          <w:rFonts w:ascii="Arial" w:cs="Arial" w:eastAsia="Arial" w:hAnsi="Arial"/>
          <w:sz w:val="16"/>
          <w:szCs w:val="16"/>
          <w:color w:val="auto"/>
        </w:rPr>
        <w:t>Accrued but unpaid vacation pay as of the Date of Termination.</w:t>
      </w:r>
    </w:p>
    <w:p>
      <w:pPr>
        <w:spacing w:after="0" w:line="59" w:lineRule="exact"/>
        <w:rPr>
          <w:sz w:val="20"/>
          <w:szCs w:val="20"/>
          <w:color w:val="auto"/>
        </w:rPr>
      </w:pPr>
    </w:p>
    <w:p>
      <w:pPr>
        <w:sectPr>
          <w:pgSz w:w="11900" w:h="16838" w:orient="portrait"/>
          <w:cols w:equalWidth="0" w:num="2">
            <w:col w:w="3200" w:space="720"/>
            <w:col w:w="7300"/>
          </w:cols>
          <w:pgMar w:left="320" w:top="1157" w:right="35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Cash severance: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An amount equal to:</w:t>
      </w:r>
    </w:p>
    <w:p>
      <w:pPr>
        <w:spacing w:after="0" w:line="26" w:lineRule="exact"/>
        <w:rPr>
          <w:sz w:val="20"/>
          <w:szCs w:val="20"/>
          <w:color w:val="auto"/>
        </w:rPr>
      </w:pPr>
    </w:p>
    <w:p>
      <w:pPr>
        <w:sectPr>
          <w:pgSz w:w="11900" w:h="16838" w:orient="portrait"/>
          <w:cols w:equalWidth="0" w:num="2">
            <w:col w:w="3200" w:space="720"/>
            <w:col w:w="7300"/>
          </w:cols>
          <w:pgMar w:left="320" w:top="1157" w:right="359" w:bottom="1440" w:gutter="0" w:footer="0" w:header="0"/>
          <w:type w:val="continuous"/>
        </w:sectPr>
      </w:pPr>
    </w:p>
    <w:p>
      <w:pPr>
        <w:ind w:left="4400"/>
        <w:spacing w:after="0"/>
        <w:tabs>
          <w:tab w:leader="none" w:pos="4620" w:val="left"/>
        </w:tabs>
        <w:rPr>
          <w:sz w:val="20"/>
          <w:szCs w:val="20"/>
          <w:color w:val="auto"/>
        </w:rPr>
      </w:pPr>
      <w:r>
        <w:rPr>
          <w:rFonts w:ascii="Arial" w:cs="Arial" w:eastAsia="Arial" w:hAnsi="Arial"/>
          <w:sz w:val="16"/>
          <w:szCs w:val="16"/>
          <w:color w:val="auto"/>
        </w:rPr>
        <w:t>•</w:t>
        <w:tab/>
        <w:t>Two times Base Salary, plus</w:t>
      </w:r>
    </w:p>
    <w:p>
      <w:pPr>
        <w:jc w:val="both"/>
        <w:ind w:left="4640" w:hanging="242"/>
        <w:spacing w:after="0" w:line="237" w:lineRule="auto"/>
        <w:tabs>
          <w:tab w:leader="none" w:pos="4620" w:val="left"/>
        </w:tabs>
        <w:rPr>
          <w:sz w:val="20"/>
          <w:szCs w:val="20"/>
          <w:color w:val="auto"/>
        </w:rPr>
      </w:pPr>
      <w:r>
        <w:rPr>
          <w:rFonts w:ascii="Arial" w:cs="Arial" w:eastAsia="Arial" w:hAnsi="Arial"/>
          <w:sz w:val="16"/>
          <w:szCs w:val="16"/>
          <w:color w:val="auto"/>
        </w:rPr>
        <w:t>•</w:t>
        <w:tab/>
        <w:t>Two times the target award opportunity most recently granted to the Participant prior to the Change of Control under MIP, plus</w:t>
      </w:r>
    </w:p>
    <w:p>
      <w:pPr>
        <w:spacing w:after="0" w:line="1" w:lineRule="exact"/>
        <w:rPr>
          <w:sz w:val="20"/>
          <w:szCs w:val="20"/>
          <w:color w:val="auto"/>
        </w:rPr>
      </w:pPr>
    </w:p>
    <w:p>
      <w:pPr>
        <w:jc w:val="both"/>
        <w:ind w:left="4640" w:hanging="242"/>
        <w:spacing w:after="0" w:line="242" w:lineRule="auto"/>
        <w:tabs>
          <w:tab w:leader="none" w:pos="4620" w:val="left"/>
        </w:tabs>
        <w:rPr>
          <w:sz w:val="20"/>
          <w:szCs w:val="20"/>
          <w:color w:val="auto"/>
        </w:rPr>
      </w:pPr>
      <w:r>
        <w:rPr>
          <w:rFonts w:ascii="Arial" w:cs="Arial" w:eastAsia="Arial" w:hAnsi="Arial"/>
          <w:sz w:val="16"/>
          <w:szCs w:val="16"/>
          <w:color w:val="auto"/>
        </w:rPr>
        <w:t>•</w:t>
        <w:tab/>
        <w:t>For any MIP performance period that begins before and ends after the Date of Termination, an amount based on the target award opportunity under MIP for such fiscal year, prorated between 50% and 100% based on number of days completed during the fiscal year as of the Date of Termination, plus</w:t>
      </w:r>
    </w:p>
    <w:p>
      <w:pPr>
        <w:jc w:val="both"/>
        <w:ind w:left="4640" w:hanging="242"/>
        <w:spacing w:after="0" w:line="246" w:lineRule="auto"/>
        <w:tabs>
          <w:tab w:leader="none" w:pos="4620" w:val="left"/>
        </w:tabs>
        <w:rPr>
          <w:sz w:val="20"/>
          <w:szCs w:val="20"/>
          <w:color w:val="auto"/>
        </w:rPr>
      </w:pPr>
      <w:r>
        <w:rPr>
          <w:rFonts w:ascii="Arial" w:cs="Arial" w:eastAsia="Arial" w:hAnsi="Arial"/>
          <w:sz w:val="16"/>
          <w:szCs w:val="16"/>
          <w:color w:val="auto"/>
        </w:rPr>
        <w:t>•</w:t>
        <w:tab/>
        <w:t>For each LRPIP cycle that begins before and ends after the Date of Termination, an amount based on the target award opportunity under LRPIP for such cycle, plus</w:t>
      </w:r>
    </w:p>
    <w:p>
      <w:pPr>
        <w:spacing w:after="0" w:line="1" w:lineRule="exact"/>
        <w:rPr>
          <w:sz w:val="20"/>
          <w:szCs w:val="20"/>
          <w:color w:val="auto"/>
        </w:rPr>
      </w:pPr>
    </w:p>
    <w:p>
      <w:pPr>
        <w:ind w:left="4400"/>
        <w:spacing w:after="0"/>
        <w:tabs>
          <w:tab w:leader="none" w:pos="4660" w:val="left"/>
        </w:tabs>
        <w:rPr>
          <w:sz w:val="20"/>
          <w:szCs w:val="20"/>
          <w:color w:val="auto"/>
        </w:rPr>
      </w:pPr>
      <w:r>
        <w:rPr>
          <w:rFonts w:ascii="Arial" w:cs="Arial" w:eastAsia="Arial" w:hAnsi="Arial"/>
          <w:sz w:val="16"/>
          <w:szCs w:val="16"/>
          <w:color w:val="auto"/>
        </w:rPr>
        <w:t>•</w:t>
        <w:tab/>
        <w:t>If applicable, an amount equal to two years’ of auto allowance at the rate in effect prior to</w:t>
      </w:r>
    </w:p>
    <w:p>
      <w:pPr>
        <w:spacing w:after="0" w:line="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20" w:type="dxa"/>
            <w:vAlign w:val="bottom"/>
            <w:gridSpan w:val="3"/>
          </w:tcPr>
          <w:p>
            <w:pPr>
              <w:ind w:left="620"/>
              <w:spacing w:after="0"/>
              <w:rPr>
                <w:sz w:val="20"/>
                <w:szCs w:val="20"/>
                <w:color w:val="auto"/>
              </w:rPr>
            </w:pPr>
            <w:r>
              <w:rPr>
                <w:rFonts w:ascii="Arial" w:cs="Arial" w:eastAsia="Arial" w:hAnsi="Arial"/>
                <w:sz w:val="16"/>
                <w:szCs w:val="16"/>
                <w:color w:val="auto"/>
              </w:rPr>
              <w:t>the Change of Control.</w:t>
            </w:r>
          </w:p>
        </w:tc>
      </w:tr>
      <w:tr>
        <w:trPr>
          <w:trHeight w:val="377"/>
        </w:trPr>
        <w:tc>
          <w:tcPr>
            <w:tcW w:w="3900" w:type="dxa"/>
            <w:vAlign w:val="bottom"/>
          </w:tcPr>
          <w:p>
            <w:pPr>
              <w:spacing w:after="0"/>
              <w:rPr>
                <w:sz w:val="24"/>
                <w:szCs w:val="24"/>
                <w:color w:val="auto"/>
              </w:rPr>
            </w:pPr>
          </w:p>
        </w:tc>
        <w:tc>
          <w:tcPr>
            <w:tcW w:w="7320" w:type="dxa"/>
            <w:vAlign w:val="bottom"/>
            <w:gridSpan w:val="4"/>
          </w:tcPr>
          <w:p>
            <w:pPr>
              <w:spacing w:after="0"/>
              <w:rPr>
                <w:sz w:val="20"/>
                <w:szCs w:val="20"/>
                <w:color w:val="auto"/>
              </w:rPr>
            </w:pPr>
            <w:r>
              <w:rPr>
                <w:rFonts w:ascii="Arial" w:cs="Arial" w:eastAsia="Arial" w:hAnsi="Arial"/>
                <w:sz w:val="16"/>
                <w:szCs w:val="16"/>
                <w:color w:val="auto"/>
              </w:rPr>
              <w:t>Base Salary (and target MIP, if expressed as a percentage of Base Salary) is determined by reference</w:t>
            </w:r>
          </w:p>
        </w:tc>
      </w:tr>
      <w:tr>
        <w:trPr>
          <w:trHeight w:val="189"/>
        </w:trPr>
        <w:tc>
          <w:tcPr>
            <w:tcW w:w="3900" w:type="dxa"/>
            <w:vAlign w:val="bottom"/>
          </w:tcPr>
          <w:p>
            <w:pPr>
              <w:spacing w:after="0"/>
              <w:rPr>
                <w:sz w:val="16"/>
                <w:szCs w:val="16"/>
                <w:color w:val="auto"/>
              </w:rPr>
            </w:pPr>
          </w:p>
        </w:tc>
        <w:tc>
          <w:tcPr>
            <w:tcW w:w="7320" w:type="dxa"/>
            <w:vAlign w:val="bottom"/>
            <w:gridSpan w:val="4"/>
          </w:tcPr>
          <w:p>
            <w:pPr>
              <w:spacing w:after="0"/>
              <w:rPr>
                <w:sz w:val="20"/>
                <w:szCs w:val="20"/>
                <w:color w:val="auto"/>
              </w:rPr>
            </w:pPr>
            <w:r>
              <w:rPr>
                <w:rFonts w:ascii="Arial" w:cs="Arial" w:eastAsia="Arial" w:hAnsi="Arial"/>
                <w:sz w:val="16"/>
                <w:szCs w:val="16"/>
                <w:color w:val="auto"/>
              </w:rPr>
              <w:t>to the Base Salary rate in effect immediately prior to the Date of Termination or the Change of Control,</w:t>
            </w:r>
          </w:p>
        </w:tc>
      </w:tr>
      <w:tr>
        <w:trPr>
          <w:trHeight w:val="189"/>
        </w:trPr>
        <w:tc>
          <w:tcPr>
            <w:tcW w:w="3900" w:type="dxa"/>
            <w:vAlign w:val="bottom"/>
          </w:tcPr>
          <w:p>
            <w:pPr>
              <w:spacing w:after="0"/>
              <w:rPr>
                <w:sz w:val="16"/>
                <w:szCs w:val="16"/>
                <w:color w:val="auto"/>
              </w:rPr>
            </w:pPr>
          </w:p>
        </w:tc>
        <w:tc>
          <w:tcPr>
            <w:tcW w:w="7320" w:type="dxa"/>
            <w:vAlign w:val="bottom"/>
            <w:gridSpan w:val="4"/>
          </w:tcPr>
          <w:p>
            <w:pPr>
              <w:spacing w:after="0"/>
              <w:rPr>
                <w:sz w:val="20"/>
                <w:szCs w:val="20"/>
                <w:color w:val="auto"/>
              </w:rPr>
            </w:pPr>
            <w:r>
              <w:rPr>
                <w:rFonts w:ascii="Arial" w:cs="Arial" w:eastAsia="Arial" w:hAnsi="Arial"/>
                <w:sz w:val="16"/>
                <w:szCs w:val="16"/>
                <w:color w:val="auto"/>
              </w:rPr>
              <w:t>whichever is higher. Base Salary rate is reduced by any long-term disability benefits. Paid in a lump</w:t>
            </w:r>
          </w:p>
        </w:tc>
      </w:tr>
      <w:tr>
        <w:trPr>
          <w:trHeight w:val="176"/>
        </w:trPr>
        <w:tc>
          <w:tcPr>
            <w:tcW w:w="3900" w:type="dxa"/>
            <w:vAlign w:val="bottom"/>
          </w:tcPr>
          <w:p>
            <w:pPr>
              <w:spacing w:after="0"/>
              <w:rPr>
                <w:sz w:val="15"/>
                <w:szCs w:val="15"/>
                <w:color w:val="auto"/>
              </w:rPr>
            </w:pPr>
          </w:p>
        </w:tc>
        <w:tc>
          <w:tcPr>
            <w:tcW w:w="7320" w:type="dxa"/>
            <w:vAlign w:val="bottom"/>
            <w:gridSpan w:val="4"/>
          </w:tcPr>
          <w:p>
            <w:pPr>
              <w:spacing w:after="0" w:line="176" w:lineRule="exact"/>
              <w:rPr>
                <w:sz w:val="20"/>
                <w:szCs w:val="20"/>
                <w:color w:val="auto"/>
              </w:rPr>
            </w:pPr>
            <w:r>
              <w:rPr>
                <w:rFonts w:ascii="Arial" w:cs="Arial" w:eastAsia="Arial" w:hAnsi="Arial"/>
                <w:sz w:val="16"/>
                <w:szCs w:val="16"/>
                <w:color w:val="auto"/>
              </w:rPr>
              <w:t>sum within 30 days following termination, unless subject to the six-month delay described in Appendix</w:t>
            </w:r>
          </w:p>
        </w:tc>
      </w:tr>
      <w:tr>
        <w:trPr>
          <w:trHeight w:val="169"/>
        </w:trPr>
        <w:tc>
          <w:tcPr>
            <w:tcW w:w="3900" w:type="dxa"/>
            <w:vAlign w:val="bottom"/>
          </w:tcPr>
          <w:p>
            <w:pPr>
              <w:spacing w:after="0"/>
              <w:rPr>
                <w:sz w:val="14"/>
                <w:szCs w:val="14"/>
                <w:color w:val="auto"/>
              </w:rPr>
            </w:pPr>
          </w:p>
        </w:tc>
        <w:tc>
          <w:tcPr>
            <w:tcW w:w="6620" w:type="dxa"/>
            <w:vAlign w:val="bottom"/>
            <w:gridSpan w:val="2"/>
          </w:tcPr>
          <w:p>
            <w:pPr>
              <w:spacing w:after="0" w:line="169" w:lineRule="exact"/>
              <w:rPr>
                <w:sz w:val="20"/>
                <w:szCs w:val="20"/>
                <w:color w:val="auto"/>
              </w:rPr>
            </w:pPr>
            <w:r>
              <w:rPr>
                <w:rFonts w:ascii="Arial" w:cs="Arial" w:eastAsia="Arial" w:hAnsi="Arial"/>
                <w:sz w:val="16"/>
                <w:szCs w:val="16"/>
                <w:color w:val="auto"/>
              </w:rPr>
              <w:t>B.</w:t>
            </w:r>
          </w:p>
        </w:tc>
        <w:tc>
          <w:tcPr>
            <w:tcW w:w="6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3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20" w:type="dxa"/>
            <w:vAlign w:val="bottom"/>
            <w:gridSpan w:val="3"/>
          </w:tcPr>
          <w:p>
            <w:pPr>
              <w:spacing w:after="0" w:line="20" w:lineRule="exact"/>
              <w:rPr>
                <w:sz w:val="1"/>
                <w:szCs w:val="1"/>
                <w:color w:val="auto"/>
              </w:rPr>
            </w:pPr>
          </w:p>
        </w:tc>
      </w:tr>
      <w:tr>
        <w:trPr>
          <w:trHeight w:val="479"/>
        </w:trPr>
        <w:tc>
          <w:tcPr>
            <w:tcW w:w="3900" w:type="dxa"/>
            <w:vAlign w:val="bottom"/>
          </w:tcPr>
          <w:p>
            <w:pPr>
              <w:spacing w:after="0"/>
              <w:rPr>
                <w:sz w:val="20"/>
                <w:szCs w:val="20"/>
                <w:color w:val="auto"/>
              </w:rPr>
            </w:pPr>
            <w:r>
              <w:rPr>
                <w:rFonts w:ascii="Arial" w:cs="Arial" w:eastAsia="Arial" w:hAnsi="Arial"/>
                <w:sz w:val="16"/>
                <w:szCs w:val="16"/>
                <w:color w:val="auto"/>
              </w:rPr>
              <w:t>Life and medical Insurance:</w:t>
            </w:r>
          </w:p>
        </w:tc>
        <w:tc>
          <w:tcPr>
            <w:tcW w:w="7320" w:type="dxa"/>
            <w:vAlign w:val="bottom"/>
            <w:gridSpan w:val="4"/>
          </w:tcPr>
          <w:p>
            <w:pPr>
              <w:spacing w:after="0"/>
              <w:rPr>
                <w:sz w:val="20"/>
                <w:szCs w:val="20"/>
                <w:color w:val="auto"/>
              </w:rPr>
            </w:pPr>
            <w:r>
              <w:rPr>
                <w:rFonts w:ascii="Arial" w:cs="Arial" w:eastAsia="Arial" w:hAnsi="Arial"/>
                <w:sz w:val="16"/>
                <w:szCs w:val="16"/>
                <w:color w:val="auto"/>
              </w:rPr>
              <w:t>Two years of continued life and medical insurance coverage for the Participant and his or her family</w:t>
            </w:r>
          </w:p>
        </w:tc>
      </w:tr>
      <w:tr>
        <w:trPr>
          <w:trHeight w:val="189"/>
        </w:trPr>
        <w:tc>
          <w:tcPr>
            <w:tcW w:w="3900" w:type="dxa"/>
            <w:vAlign w:val="bottom"/>
          </w:tcPr>
          <w:p>
            <w:pPr>
              <w:spacing w:after="0"/>
              <w:rPr>
                <w:sz w:val="16"/>
                <w:szCs w:val="16"/>
                <w:color w:val="auto"/>
              </w:rPr>
            </w:pPr>
          </w:p>
        </w:tc>
        <w:tc>
          <w:tcPr>
            <w:tcW w:w="7320" w:type="dxa"/>
            <w:vAlign w:val="bottom"/>
            <w:gridSpan w:val="4"/>
          </w:tcPr>
          <w:p>
            <w:pPr>
              <w:spacing w:after="0"/>
              <w:rPr>
                <w:sz w:val="20"/>
                <w:szCs w:val="20"/>
                <w:color w:val="auto"/>
              </w:rPr>
            </w:pPr>
            <w:r>
              <w:rPr>
                <w:rFonts w:ascii="Arial" w:cs="Arial" w:eastAsia="Arial" w:hAnsi="Arial"/>
                <w:sz w:val="16"/>
                <w:szCs w:val="16"/>
                <w:color w:val="auto"/>
              </w:rPr>
              <w:t>under Employer plans in which the Participant was entitled to participate immediately prior to the</w:t>
            </w:r>
          </w:p>
        </w:tc>
      </w:tr>
      <w:tr>
        <w:trPr>
          <w:trHeight w:val="176"/>
        </w:trPr>
        <w:tc>
          <w:tcPr>
            <w:tcW w:w="3900" w:type="dxa"/>
            <w:vAlign w:val="bottom"/>
          </w:tcPr>
          <w:p>
            <w:pPr>
              <w:spacing w:after="0"/>
              <w:rPr>
                <w:sz w:val="15"/>
                <w:szCs w:val="15"/>
                <w:color w:val="auto"/>
              </w:rPr>
            </w:pPr>
          </w:p>
        </w:tc>
        <w:tc>
          <w:tcPr>
            <w:tcW w:w="7320" w:type="dxa"/>
            <w:vAlign w:val="bottom"/>
            <w:gridSpan w:val="4"/>
          </w:tcPr>
          <w:p>
            <w:pPr>
              <w:spacing w:after="0" w:line="175" w:lineRule="exact"/>
              <w:rPr>
                <w:sz w:val="20"/>
                <w:szCs w:val="20"/>
                <w:color w:val="auto"/>
              </w:rPr>
            </w:pPr>
            <w:r>
              <w:rPr>
                <w:rFonts w:ascii="Arial" w:cs="Arial" w:eastAsia="Arial" w:hAnsi="Arial"/>
                <w:sz w:val="16"/>
                <w:szCs w:val="16"/>
                <w:color w:val="auto"/>
              </w:rPr>
              <w:t>Change of Control, subject to plan terms. If the Participant is ineligible for continued coverage, or</w:t>
            </w:r>
          </w:p>
        </w:tc>
      </w:tr>
      <w:tr>
        <w:trPr>
          <w:trHeight w:val="189"/>
        </w:trPr>
        <w:tc>
          <w:tcPr>
            <w:tcW w:w="3900" w:type="dxa"/>
            <w:vAlign w:val="bottom"/>
          </w:tcPr>
          <w:p>
            <w:pPr>
              <w:spacing w:after="0"/>
              <w:rPr>
                <w:sz w:val="16"/>
                <w:szCs w:val="16"/>
                <w:color w:val="auto"/>
              </w:rPr>
            </w:pPr>
          </w:p>
        </w:tc>
        <w:tc>
          <w:tcPr>
            <w:tcW w:w="7320" w:type="dxa"/>
            <w:vAlign w:val="bottom"/>
            <w:gridSpan w:val="4"/>
          </w:tcPr>
          <w:p>
            <w:pPr>
              <w:spacing w:after="0"/>
              <w:rPr>
                <w:sz w:val="20"/>
                <w:szCs w:val="20"/>
                <w:color w:val="auto"/>
              </w:rPr>
            </w:pPr>
            <w:r>
              <w:rPr>
                <w:rFonts w:ascii="Arial" w:cs="Arial" w:eastAsia="Arial" w:hAnsi="Arial"/>
                <w:sz w:val="16"/>
                <w:szCs w:val="16"/>
                <w:color w:val="auto"/>
              </w:rPr>
              <w:t>otherwise at the discretion of the Company, the Employer shall provide for an alternative arrangement</w:t>
            </w:r>
          </w:p>
        </w:tc>
      </w:tr>
      <w:tr>
        <w:trPr>
          <w:trHeight w:val="189"/>
        </w:trPr>
        <w:tc>
          <w:tcPr>
            <w:tcW w:w="3900" w:type="dxa"/>
            <w:vAlign w:val="bottom"/>
          </w:tcPr>
          <w:p>
            <w:pPr>
              <w:spacing w:after="0"/>
              <w:rPr>
                <w:sz w:val="16"/>
                <w:szCs w:val="16"/>
                <w:color w:val="auto"/>
              </w:rPr>
            </w:pPr>
          </w:p>
        </w:tc>
        <w:tc>
          <w:tcPr>
            <w:tcW w:w="7320" w:type="dxa"/>
            <w:vAlign w:val="bottom"/>
            <w:gridSpan w:val="4"/>
          </w:tcPr>
          <w:p>
            <w:pPr>
              <w:spacing w:after="0"/>
              <w:rPr>
                <w:sz w:val="20"/>
                <w:szCs w:val="20"/>
                <w:color w:val="auto"/>
              </w:rPr>
            </w:pPr>
            <w:r>
              <w:rPr>
                <w:rFonts w:ascii="Arial" w:cs="Arial" w:eastAsia="Arial" w:hAnsi="Arial"/>
                <w:sz w:val="16"/>
                <w:szCs w:val="16"/>
                <w:color w:val="auto"/>
              </w:rPr>
              <w:t>(such as a cash payment) in lieu of continued coverage. No continued life or medical coverage is</w:t>
            </w:r>
          </w:p>
        </w:tc>
      </w:tr>
      <w:tr>
        <w:trPr>
          <w:trHeight w:val="215"/>
        </w:trPr>
        <w:tc>
          <w:tcPr>
            <w:tcW w:w="3900" w:type="dxa"/>
            <w:vAlign w:val="bottom"/>
          </w:tcPr>
          <w:p>
            <w:pPr>
              <w:spacing w:after="0"/>
              <w:rPr>
                <w:sz w:val="18"/>
                <w:szCs w:val="18"/>
                <w:color w:val="auto"/>
              </w:rPr>
            </w:pPr>
          </w:p>
        </w:tc>
        <w:tc>
          <w:tcPr>
            <w:tcW w:w="7320" w:type="dxa"/>
            <w:vAlign w:val="bottom"/>
            <w:gridSpan w:val="4"/>
          </w:tcPr>
          <w:p>
            <w:pPr>
              <w:spacing w:after="0"/>
              <w:rPr>
                <w:sz w:val="20"/>
                <w:szCs w:val="20"/>
                <w:color w:val="auto"/>
              </w:rPr>
            </w:pPr>
            <w:r>
              <w:rPr>
                <w:rFonts w:ascii="Arial" w:cs="Arial" w:eastAsia="Arial" w:hAnsi="Arial"/>
                <w:sz w:val="16"/>
                <w:szCs w:val="16"/>
                <w:color w:val="auto"/>
              </w:rPr>
              <w:t>provided to the extent of any similar coverage or benefits provided by another employer.</w:t>
            </w:r>
          </w:p>
        </w:tc>
      </w:tr>
      <w:tr>
        <w:trPr>
          <w:trHeight w:val="217"/>
        </w:trPr>
        <w:tc>
          <w:tcPr>
            <w:tcW w:w="3900" w:type="dxa"/>
            <w:vAlign w:val="bottom"/>
          </w:tcPr>
          <w:p>
            <w:pPr>
              <w:spacing w:after="0"/>
              <w:rPr>
                <w:sz w:val="20"/>
                <w:szCs w:val="20"/>
                <w:color w:val="auto"/>
              </w:rPr>
            </w:pPr>
            <w:r>
              <w:rPr>
                <w:rFonts w:ascii="Arial" w:cs="Arial" w:eastAsia="Arial" w:hAnsi="Arial"/>
                <w:sz w:val="16"/>
                <w:szCs w:val="16"/>
                <w:color w:val="auto"/>
              </w:rPr>
              <w:t>Earned MIP and LRPIP:</w:t>
            </w:r>
          </w:p>
        </w:tc>
        <w:tc>
          <w:tcPr>
            <w:tcW w:w="7320" w:type="dxa"/>
            <w:vAlign w:val="bottom"/>
            <w:gridSpan w:val="4"/>
          </w:tcPr>
          <w:p>
            <w:pPr>
              <w:spacing w:after="0"/>
              <w:rPr>
                <w:sz w:val="20"/>
                <w:szCs w:val="20"/>
                <w:color w:val="auto"/>
              </w:rPr>
            </w:pPr>
            <w:r>
              <w:rPr>
                <w:rFonts w:ascii="Arial" w:cs="Arial" w:eastAsia="Arial" w:hAnsi="Arial"/>
                <w:sz w:val="16"/>
                <w:szCs w:val="16"/>
                <w:color w:val="auto"/>
              </w:rPr>
              <w:t>Earned but unpaid amounts under MIP and LRPIP for performance periods that closed prior to the</w:t>
            </w:r>
          </w:p>
        </w:tc>
      </w:tr>
      <w:tr>
        <w:trPr>
          <w:trHeight w:val="215"/>
        </w:trPr>
        <w:tc>
          <w:tcPr>
            <w:tcW w:w="3900" w:type="dxa"/>
            <w:vAlign w:val="bottom"/>
          </w:tcPr>
          <w:p>
            <w:pPr>
              <w:spacing w:after="0"/>
              <w:rPr>
                <w:sz w:val="18"/>
                <w:szCs w:val="18"/>
                <w:color w:val="auto"/>
              </w:rPr>
            </w:pPr>
          </w:p>
        </w:tc>
        <w:tc>
          <w:tcPr>
            <w:tcW w:w="7320" w:type="dxa"/>
            <w:vAlign w:val="bottom"/>
            <w:gridSpan w:val="4"/>
          </w:tcPr>
          <w:p>
            <w:pPr>
              <w:spacing w:after="0"/>
              <w:rPr>
                <w:sz w:val="20"/>
                <w:szCs w:val="20"/>
                <w:color w:val="auto"/>
              </w:rPr>
            </w:pPr>
            <w:r>
              <w:rPr>
                <w:rFonts w:ascii="Arial" w:cs="Arial" w:eastAsia="Arial" w:hAnsi="Arial"/>
                <w:sz w:val="16"/>
                <w:szCs w:val="16"/>
                <w:color w:val="auto"/>
              </w:rPr>
              <w:t>Date of Termination, in accordance with and subject to with applicable plan rules.</w:t>
            </w:r>
          </w:p>
        </w:tc>
      </w:tr>
      <w:tr>
        <w:trPr>
          <w:trHeight w:val="243"/>
        </w:trPr>
        <w:tc>
          <w:tcPr>
            <w:tcW w:w="3900" w:type="dxa"/>
            <w:vAlign w:val="bottom"/>
          </w:tcPr>
          <w:p>
            <w:pPr>
              <w:spacing w:after="0"/>
              <w:rPr>
                <w:sz w:val="20"/>
                <w:szCs w:val="20"/>
                <w:color w:val="auto"/>
              </w:rPr>
            </w:pPr>
            <w:r>
              <w:rPr>
                <w:rFonts w:ascii="Arial" w:cs="Arial" w:eastAsia="Arial" w:hAnsi="Arial"/>
                <w:sz w:val="16"/>
                <w:szCs w:val="16"/>
                <w:color w:val="auto"/>
              </w:rPr>
              <w:t>Stock Incentive Plan awards:</w:t>
            </w:r>
          </w:p>
        </w:tc>
        <w:tc>
          <w:tcPr>
            <w:tcW w:w="7320" w:type="dxa"/>
            <w:vAlign w:val="bottom"/>
            <w:gridSpan w:val="4"/>
          </w:tcPr>
          <w:p>
            <w:pPr>
              <w:spacing w:after="0"/>
              <w:rPr>
                <w:sz w:val="20"/>
                <w:szCs w:val="20"/>
                <w:color w:val="auto"/>
              </w:rPr>
            </w:pPr>
            <w:r>
              <w:rPr>
                <w:rFonts w:ascii="Arial" w:cs="Arial" w:eastAsia="Arial" w:hAnsi="Arial"/>
                <w:sz w:val="16"/>
                <w:szCs w:val="16"/>
                <w:color w:val="auto"/>
              </w:rPr>
              <w:t>If applicable, treated in accordance with and subject to award and plan terms.</w:t>
            </w:r>
          </w:p>
        </w:tc>
      </w:tr>
      <w:tr>
        <w:trPr>
          <w:trHeight w:val="217"/>
        </w:trPr>
        <w:tc>
          <w:tcPr>
            <w:tcW w:w="3900" w:type="dxa"/>
            <w:vAlign w:val="bottom"/>
          </w:tcPr>
          <w:p>
            <w:pPr>
              <w:spacing w:after="0"/>
              <w:rPr>
                <w:sz w:val="20"/>
                <w:szCs w:val="20"/>
                <w:color w:val="auto"/>
              </w:rPr>
            </w:pPr>
            <w:r>
              <w:rPr>
                <w:rFonts w:ascii="Arial" w:cs="Arial" w:eastAsia="Arial" w:hAnsi="Arial"/>
                <w:sz w:val="16"/>
                <w:szCs w:val="16"/>
                <w:color w:val="auto"/>
              </w:rPr>
              <w:t>Deferred compensation plans:</w:t>
            </w:r>
          </w:p>
        </w:tc>
        <w:tc>
          <w:tcPr>
            <w:tcW w:w="7320" w:type="dxa"/>
            <w:vAlign w:val="bottom"/>
            <w:gridSpan w:val="4"/>
          </w:tcPr>
          <w:p>
            <w:pPr>
              <w:spacing w:after="0"/>
              <w:rPr>
                <w:sz w:val="20"/>
                <w:szCs w:val="20"/>
                <w:color w:val="auto"/>
              </w:rPr>
            </w:pPr>
            <w:r>
              <w:rPr>
                <w:rFonts w:ascii="Arial" w:cs="Arial" w:eastAsia="Arial" w:hAnsi="Arial"/>
                <w:sz w:val="16"/>
                <w:szCs w:val="16"/>
                <w:color w:val="auto"/>
              </w:rPr>
              <w:t>Vested benefits, if any, provided in accordance with and subject to plan terms. Includes ESP and</w:t>
            </w:r>
          </w:p>
        </w:tc>
      </w:tr>
      <w:tr>
        <w:trPr>
          <w:trHeight w:val="215"/>
        </w:trPr>
        <w:tc>
          <w:tcPr>
            <w:tcW w:w="3900" w:type="dxa"/>
            <w:vAlign w:val="bottom"/>
          </w:tcPr>
          <w:p>
            <w:pPr>
              <w:spacing w:after="0"/>
              <w:rPr>
                <w:sz w:val="18"/>
                <w:szCs w:val="18"/>
                <w:color w:val="auto"/>
              </w:rPr>
            </w:pPr>
          </w:p>
        </w:tc>
        <w:tc>
          <w:tcPr>
            <w:tcW w:w="7320" w:type="dxa"/>
            <w:vAlign w:val="bottom"/>
            <w:gridSpan w:val="4"/>
          </w:tcPr>
          <w:p>
            <w:pPr>
              <w:spacing w:after="0"/>
              <w:rPr>
                <w:sz w:val="20"/>
                <w:szCs w:val="20"/>
                <w:color w:val="auto"/>
              </w:rPr>
            </w:pPr>
            <w:r>
              <w:rPr>
                <w:rFonts w:ascii="Arial" w:cs="Arial" w:eastAsia="Arial" w:hAnsi="Arial"/>
                <w:sz w:val="16"/>
                <w:szCs w:val="16"/>
                <w:color w:val="auto"/>
              </w:rPr>
              <w:t>SERP (if Participant is eligible), and tax-</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D-1</w:t>
      </w:r>
    </w:p>
    <w:p>
      <w:pPr>
        <w:sectPr>
          <w:pgSz w:w="11900" w:h="16838" w:orient="portrait"/>
          <w:cols w:equalWidth="0" w:num="1">
            <w:col w:w="11220"/>
          </w:cols>
          <w:pgMar w:left="320" w:top="1157" w:right="359" w:bottom="1440" w:gutter="0" w:footer="0" w:header="0"/>
          <w:type w:val="continuous"/>
        </w:sectPr>
      </w:pPr>
    </w:p>
    <w:bookmarkStart w:id="106" w:name="page107"/>
    <w:bookmarkEnd w:id="106"/>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Long-term disability benefits: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Payment adjustment: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qualified retirement and savings plans for Company employees, to the extent applicable.</w:t>
      </w:r>
    </w:p>
    <w:p>
      <w:pPr>
        <w:spacing w:after="0" w:line="59"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If applicable, provided under the long-term disability plan of the Employer in accordance with and subject to plan terms.</w:t>
      </w:r>
    </w:p>
    <w:p>
      <w:pPr>
        <w:spacing w:after="0" w:line="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Payments under this Schedule are subject to reduction to maximize Participant’s total after-tax payments, as described in Section 6(b)(iv)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D-2</w:t>
      </w:r>
    </w:p>
    <w:p>
      <w:pPr>
        <w:sectPr>
          <w:pgSz w:w="11900" w:h="16838" w:orient="portrait"/>
          <w:cols w:equalWidth="0" w:num="2">
            <w:col w:w="3180" w:space="720"/>
            <w:col w:w="7300"/>
          </w:cols>
          <w:pgMar w:left="340" w:top="1205" w:right="35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10.19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822960" cy="4546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72">
                      <a:extLst>
                        <a:ext uri="{28A0092B-C50C-407E-A947-70E740481C1C}"/>
                      </a:extLst>
                    </a:blip>
                    <a:srcRect/>
                    <a:stretch>
                      <a:fillRect/>
                    </a:stretch>
                  </pic:blipFill>
                  <pic:spPr bwMode="auto">
                    <a:xfrm>
                      <a:off x="0" y="0"/>
                      <a:ext cx="82296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OFFER LETTER AGREEMENT</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February 2, 2024</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John Klinger</w:t>
      </w:r>
    </w:p>
    <w:p>
      <w:pPr>
        <w:spacing w:after="0" w:line="234" w:lineRule="auto"/>
        <w:rPr>
          <w:sz w:val="20"/>
          <w:szCs w:val="20"/>
          <w:color w:val="auto"/>
        </w:rPr>
      </w:pPr>
      <w:r>
        <w:rPr>
          <w:rFonts w:ascii="Arial" w:cs="Arial" w:eastAsia="Arial" w:hAnsi="Arial"/>
          <w:sz w:val="18"/>
          <w:szCs w:val="18"/>
          <w:color w:val="auto"/>
        </w:rPr>
        <w:t>The TJX Companies, Inc.</w:t>
      </w:r>
    </w:p>
    <w:p>
      <w:pPr>
        <w:spacing w:after="0" w:line="235" w:lineRule="auto"/>
        <w:rPr>
          <w:sz w:val="20"/>
          <w:szCs w:val="20"/>
          <w:color w:val="auto"/>
        </w:rPr>
      </w:pPr>
      <w:r>
        <w:rPr>
          <w:rFonts w:ascii="Arial" w:cs="Arial" w:eastAsia="Arial" w:hAnsi="Arial"/>
          <w:sz w:val="18"/>
          <w:szCs w:val="18"/>
          <w:color w:val="auto"/>
        </w:rPr>
        <w:t>770 Cochituate Road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Framingham, MA 01701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Dear Mr. Klinger:</w:t>
      </w:r>
    </w:p>
    <w:p>
      <w:pPr>
        <w:spacing w:after="0" w:line="239"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Congratulations on your promotion! On behalf of The TJX Companies, Inc. (TJX or the Company), I am pleased to confirm your promotion to the position of SEVP, Chief Financial Officer, effective on Sunday, February 4, 2024. This offer letter agreement sets forth certain terms and conditions in connection with your promotion, as approved by the Compensation Committee of the TJX Board of Directors (the Committee).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C00000"/>
        </w:rPr>
        <w:t>Compensation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Your base salary, effective as of February 4, 2024, will be increased to $825,000 per year. This salary level includes your 2024 merit award.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Incentive Plan (MIP)</w:t>
      </w:r>
    </w:p>
    <w:p>
      <w:pPr>
        <w:spacing w:after="0" w:line="239" w:lineRule="exact"/>
        <w:rPr>
          <w:sz w:val="20"/>
          <w:szCs w:val="20"/>
          <w:color w:val="auto"/>
        </w:rPr>
      </w:pPr>
    </w:p>
    <w:p>
      <w:pPr>
        <w:ind w:right="240"/>
        <w:spacing w:after="0" w:line="251" w:lineRule="auto"/>
        <w:rPr>
          <w:sz w:val="20"/>
          <w:szCs w:val="20"/>
          <w:color w:val="auto"/>
        </w:rPr>
      </w:pPr>
      <w:r>
        <w:rPr>
          <w:rFonts w:ascii="Arial" w:cs="Arial" w:eastAsia="Arial" w:hAnsi="Arial"/>
          <w:sz w:val="17"/>
          <w:szCs w:val="17"/>
          <w:color w:val="auto"/>
        </w:rPr>
        <w:t>Your outstanding awards under MIP will continue under existing terms, and you will continue to be eligible to participate in MIP at a level commensurate with your position and responsibilities and subject to terms established by the Committee. Effective as of February 4, 2024,</w:t>
      </w:r>
    </w:p>
    <w:p>
      <w:pPr>
        <w:spacing w:after="0" w:line="1"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your MIP target award opportunity will be 85% of actual base salary earned during the fiscal year. MIP payouts are calculated based on actual base salary earned during the fiscal year while in an eligible position and are based on actual performance results measured against applicable business performance goals for the fiscal year. Any payout is typically made in March or April following the close of the fiscal year and is subject to plan terms. In accordance with and subject to the provisions of MIP, you must remain actively employed by the Company through the end of the fiscal year and in good standing to be eligible for payment of the MIP award for such fiscal year. The Committee reserves the right to change the target award opportunity of your future awards under MIP.</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 Range Performance Incentive Plan (LRPIP)</w:t>
      </w:r>
    </w:p>
    <w:p>
      <w:pPr>
        <w:spacing w:after="0" w:line="239"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Your outstanding awards under LRPIP will continue under existing terms, and you will continue to be eligible to participate in LRPIP at a level commensurate with your position and responsibilities and subject to terms established by the Committee. Effective for the FY25-27 LRPIP cycle, your LRPIP target award opportunity will be $450,000. LRPIP payouts are based on actual performance results measured against applicable business performance goals for the award period. Any payout is typically made in March or April following the close of the three-</w:t>
      </w:r>
    </w:p>
    <w:p>
      <w:pPr>
        <w:ind w:right="800"/>
        <w:spacing w:after="0" w:line="237" w:lineRule="auto"/>
        <w:rPr>
          <w:sz w:val="20"/>
          <w:szCs w:val="20"/>
          <w:color w:val="auto"/>
        </w:rPr>
      </w:pPr>
      <w:r>
        <w:rPr>
          <w:rFonts w:ascii="Arial" w:cs="Arial" w:eastAsia="Arial" w:hAnsi="Arial"/>
          <w:sz w:val="18"/>
          <w:szCs w:val="18"/>
          <w:color w:val="auto"/>
        </w:rPr>
        <w:t>year award period and is subject to plan terms. In accordance with and subject to the provisions of LRPIP, you must remain actively employed by the Company through the last day of the three-year cycle and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4389120" cy="2400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73">
                      <a:extLst>
                        <a:ext uri="{28A0092B-C50C-407E-A947-70E740481C1C}"/>
                      </a:extLst>
                    </a:blip>
                    <a:srcRect/>
                    <a:stretch>
                      <a:fillRect/>
                    </a:stretch>
                  </pic:blipFill>
                  <pic:spPr bwMode="auto">
                    <a:xfrm>
                      <a:off x="0" y="0"/>
                      <a:ext cx="4389120" cy="24003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8" w:name="page109"/>
    <w:bookmarkEnd w:id="108"/>
    <w:p>
      <w:pPr>
        <w:ind w:right="300"/>
        <w:spacing w:after="0" w:line="271" w:lineRule="auto"/>
        <w:rPr>
          <w:sz w:val="20"/>
          <w:szCs w:val="20"/>
          <w:color w:val="auto"/>
        </w:rPr>
      </w:pPr>
      <w:r>
        <w:rPr>
          <w:rFonts w:ascii="Arial" w:cs="Arial" w:eastAsia="Arial" w:hAnsi="Arial"/>
          <w:sz w:val="18"/>
          <w:szCs w:val="18"/>
          <w:color w:val="auto"/>
        </w:rPr>
        <w:t>good standing to be eligible for payment of the LRPIP award for such cycle. The Committee reserves the right to change the target award opportunity of your future awards under LRPIP.</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Incentive Plan (SIP)</w:t>
      </w:r>
    </w:p>
    <w:p>
      <w:pPr>
        <w:spacing w:after="0" w:line="239" w:lineRule="exact"/>
        <w:rPr>
          <w:sz w:val="20"/>
          <w:szCs w:val="20"/>
          <w:color w:val="auto"/>
        </w:rPr>
      </w:pPr>
    </w:p>
    <w:p>
      <w:pPr>
        <w:ind w:right="160"/>
        <w:spacing w:after="0" w:line="255" w:lineRule="auto"/>
        <w:rPr>
          <w:sz w:val="20"/>
          <w:szCs w:val="20"/>
          <w:color w:val="auto"/>
        </w:rPr>
      </w:pPr>
      <w:r>
        <w:rPr>
          <w:rFonts w:ascii="Arial" w:cs="Arial" w:eastAsia="Arial" w:hAnsi="Arial"/>
          <w:sz w:val="17"/>
          <w:szCs w:val="17"/>
          <w:color w:val="auto"/>
        </w:rPr>
        <w:t>Your outstanding awards under the SIP will continue under existing terms, and you will continue to be eligible for awards under the SIP at a level commensurate with your position and responsibilities and subject to terms established by the Committee in accordance with the SIP. Under the current stock award program, the target total value of your stock awards may be granted as a combination of performance share</w:t>
      </w:r>
    </w:p>
    <w:p>
      <w:pPr>
        <w:spacing w:after="0" w:line="2" w:lineRule="exact"/>
        <w:rPr>
          <w:sz w:val="20"/>
          <w:szCs w:val="20"/>
          <w:color w:val="auto"/>
        </w:rPr>
      </w:pPr>
    </w:p>
    <w:p>
      <w:pPr>
        <w:ind w:right="320"/>
        <w:spacing w:after="0"/>
        <w:rPr>
          <w:sz w:val="20"/>
          <w:szCs w:val="20"/>
          <w:color w:val="auto"/>
        </w:rPr>
      </w:pPr>
      <w:r>
        <w:rPr>
          <w:rFonts w:ascii="Arial" w:cs="Arial" w:eastAsia="Arial" w:hAnsi="Arial"/>
          <w:sz w:val="17"/>
          <w:szCs w:val="17"/>
          <w:color w:val="auto"/>
        </w:rPr>
        <w:t>units (PSUs) and restricted stock units (RSUs), as determined by the Committee. In connection with your promotion, effective for the next stock award grant, which is anticipated to be in March 2024, the target total value of your stock awards will be $2,900,000. All grants are</w:t>
      </w:r>
    </w:p>
    <w:p>
      <w:pPr>
        <w:spacing w:after="0" w:line="1" w:lineRule="exact"/>
        <w:rPr>
          <w:sz w:val="20"/>
          <w:szCs w:val="20"/>
          <w:color w:val="auto"/>
        </w:rPr>
      </w:pPr>
    </w:p>
    <w:p>
      <w:pPr>
        <w:ind w:right="200"/>
        <w:spacing w:after="0" w:line="242" w:lineRule="auto"/>
        <w:rPr>
          <w:sz w:val="20"/>
          <w:szCs w:val="20"/>
          <w:color w:val="auto"/>
        </w:rPr>
      </w:pPr>
      <w:r>
        <w:rPr>
          <w:rFonts w:ascii="Arial" w:cs="Arial" w:eastAsia="Arial" w:hAnsi="Arial"/>
          <w:sz w:val="18"/>
          <w:szCs w:val="18"/>
          <w:color w:val="auto"/>
        </w:rPr>
        <w:t>subject to the approval of the Committee, and the Committee reserves the right to grant PSUs, RSUs, and/or other forms of equity awards, and to change the target total value of your future awards under the SIP, in its sole discretion. Award details will be communicated to you separately at the time of the next grant.</w:t>
      </w:r>
    </w:p>
    <w:p>
      <w:pPr>
        <w:spacing w:after="0" w:line="206"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Because you will be in a SIP award-eligible position, you will continue to be designated as a “Restricted Associate” under the TJX Global Insider Trading Policy, which will limit your ability to trade TJX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 Allowance</w:t>
      </w:r>
    </w:p>
    <w:p>
      <w:pPr>
        <w:spacing w:after="0" w:line="239"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You will continue to be eligible for an automobile allowance commensurate with your position and responsibilities, in accordance with and subject to the terms of the Company’s automobile program.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C00000"/>
        </w:rPr>
        <w:t>Benefits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Retirement/Savings Plans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You will continue to be eligible to participate in the Executive Savings Plan (at a level commensurate with your position), the Supplemental</w:t>
      </w:r>
    </w:p>
    <w:p>
      <w:pPr>
        <w:spacing w:after="0" w:line="1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Executive Retirement Plan (Category C Benefits only), as well as the tax-qualified retirement and savings plans maintained for the benefit of Company employees, in each case in accordance with and subject to applicable plan terms.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Expatriate Benefit</w:t>
      </w:r>
    </w:p>
    <w:p>
      <w:pPr>
        <w:spacing w:after="0" w:line="239" w:lineRule="exact"/>
        <w:rPr>
          <w:sz w:val="20"/>
          <w:szCs w:val="20"/>
          <w:color w:val="auto"/>
        </w:rPr>
      </w:pPr>
    </w:p>
    <w:p>
      <w:pPr>
        <w:ind w:right="220"/>
        <w:spacing w:after="0" w:line="244" w:lineRule="auto"/>
        <w:rPr>
          <w:sz w:val="20"/>
          <w:szCs w:val="20"/>
          <w:color w:val="auto"/>
        </w:rPr>
      </w:pPr>
      <w:r>
        <w:rPr>
          <w:rFonts w:ascii="Arial" w:cs="Arial" w:eastAsia="Arial" w:hAnsi="Arial"/>
          <w:sz w:val="18"/>
          <w:szCs w:val="18"/>
          <w:color w:val="auto"/>
        </w:rPr>
        <w:t>You will continue to be eligible for any remaining tax equalization or other benefits payable or to be provided by reason of your prior assignment in the UK, in each case in accordance with and subject to the terms of applicable Company policies, as the same may be in effect from time to time. For the avoidance of doubt, the Company reserves the right to determine, in its sole discretion, the extent to which you will be entitled to any such tax equalization or other UK assignment-related benefits upon or following the termination of your employment for any reason, including following a change of control of TJX.</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Benefits</w:t>
      </w:r>
    </w:p>
    <w:p>
      <w:pPr>
        <w:spacing w:after="0" w:line="23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You will continue to be eligible for TJX benefits subject to and in accordance with plan terms. Please contact HR XPRESS at 1-888-627-6299 for more details about any TJX benefits. Additional information on total rewards programs can be found on the Total Rewards portal. Please log onto </w:t>
      </w:r>
      <w:r>
        <w:rPr>
          <w:rFonts w:ascii="Arial" w:cs="Arial" w:eastAsia="Arial" w:hAnsi="Arial"/>
          <w:sz w:val="18"/>
          <w:szCs w:val="18"/>
          <w:b w:val="1"/>
          <w:bCs w:val="1"/>
          <w:color w:val="C00000"/>
        </w:rPr>
        <w:t>youandtjx.com</w:t>
      </w:r>
      <w:r>
        <w:rPr>
          <w:rFonts w:ascii="Arial" w:cs="Arial" w:eastAsia="Arial" w:hAnsi="Arial"/>
          <w:sz w:val="18"/>
          <w:szCs w:val="18"/>
          <w:color w:val="auto"/>
        </w:rPr>
        <w:t xml:space="preserve"> to view your</w:t>
      </w: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1322" w:right="35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color w:val="auto"/>
        </w:rPr>
        <w:t>personalized information about compensation, health, life and disability benefits, retirement programs, and work/life programs.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C00000"/>
        </w:rPr>
        <w:t>Obligations Agreement</w:t>
      </w:r>
    </w:p>
    <w:p>
      <w:pPr>
        <w:spacing w:after="0" w:line="239" w:lineRule="exact"/>
        <w:rPr>
          <w:sz w:val="20"/>
          <w:szCs w:val="20"/>
          <w:color w:val="auto"/>
        </w:rPr>
      </w:pPr>
    </w:p>
    <w:p>
      <w:pPr>
        <w:jc w:val="both"/>
        <w:ind w:right="120"/>
        <w:spacing w:after="0" w:line="253" w:lineRule="auto"/>
        <w:rPr>
          <w:sz w:val="20"/>
          <w:szCs w:val="20"/>
          <w:color w:val="auto"/>
        </w:rPr>
      </w:pPr>
      <w:r>
        <w:rPr>
          <w:rFonts w:ascii="Arial" w:cs="Arial" w:eastAsia="Arial" w:hAnsi="Arial"/>
          <w:sz w:val="18"/>
          <w:szCs w:val="18"/>
          <w:color w:val="auto"/>
        </w:rPr>
        <w:t>For the avoidance of doubt, no change to the terms and conditions of your employment, including as contemplated by this letter agreement, shall amend or alter any provision of the Obligations Agreement between you and the Company dated November 14, 2022 (the Obligations Agreement), which Obligations Agreement shall remain in full force and effect.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C00000"/>
        </w:rPr>
        <w:t>Severance and Change of Control Plan</w:t>
      </w:r>
    </w:p>
    <w:p>
      <w:pPr>
        <w:spacing w:after="0" w:line="239"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You will continue to be eligible to participate in the TJX Executive Severance and Change of Control Plan effective September 19, 2022 (the Severance Plan) at a level commensurate with your position and responsibilities. The Severance Plan contains terms that will apply in</w:t>
      </w:r>
    </w:p>
    <w:p>
      <w:pPr>
        <w:spacing w:after="0" w:line="1"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connection with the termination of your employment with the Company for any reason. By signing this offer letter agreement, you agree to all of the terms and conditions set forth in the Severance Plan, a copy of which is attached.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C00000"/>
        </w:rPr>
        <w:t>Other</w:t>
      </w:r>
    </w:p>
    <w:p>
      <w:pPr>
        <w:spacing w:after="0" w:line="22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information above reflects terms and conditions presently in effect for various TJX plans and programs, which may in the future be changed by the Company as it determines to be appropriate. Please note that all compensation and benefits are provided in accordance with</w:t>
      </w:r>
    </w:p>
    <w:p>
      <w:pPr>
        <w:spacing w:after="0" w:line="1"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and subject to the terms of the applicable TJX plan or program (including, for the avoidance of doubt and without limitation, the amendment and termination provisions thereof) and are subject to applicable tax and other withholdings.</w:t>
      </w:r>
    </w:p>
    <w:p>
      <w:pPr>
        <w:spacing w:after="0" w:line="199"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In your new role, you will be reporting to me or such other person as specified from time to time by the Company. During your employment, you agree to perform such duties and assume such responsibilities as may be specified from time to time by the Company. You further agree to devote your full time and attention and your best efforts to the business and affairs of the Company and to your responsibilities as a TJX employee.</w:t>
      </w:r>
    </w:p>
    <w:p>
      <w:pPr>
        <w:spacing w:after="0" w:line="201" w:lineRule="exact"/>
        <w:rPr>
          <w:sz w:val="20"/>
          <w:szCs w:val="20"/>
          <w:color w:val="auto"/>
        </w:rPr>
      </w:pPr>
    </w:p>
    <w:p>
      <w:pPr>
        <w:jc w:val="both"/>
        <w:ind w:right="80"/>
        <w:spacing w:after="0" w:line="253" w:lineRule="auto"/>
        <w:rPr>
          <w:sz w:val="20"/>
          <w:szCs w:val="20"/>
          <w:color w:val="auto"/>
        </w:rPr>
      </w:pPr>
      <w:r>
        <w:rPr>
          <w:rFonts w:ascii="Arial" w:cs="Arial" w:eastAsia="Arial" w:hAnsi="Arial"/>
          <w:sz w:val="18"/>
          <w:szCs w:val="18"/>
          <w:color w:val="auto"/>
        </w:rPr>
        <w:t>During your employment, you may participate in charitable, community or other activities or in trade or professional organizations, subject in each case to approval by the Board of Directors or its designee and provided such service or participation does not interfere with your duties hereunder. You may also make passive investments that involve no managerial duties or activities.</w:t>
      </w:r>
    </w:p>
    <w:p>
      <w:pPr>
        <w:spacing w:after="0" w:line="196" w:lineRule="exact"/>
        <w:rPr>
          <w:sz w:val="20"/>
          <w:szCs w:val="20"/>
          <w:color w:val="auto"/>
        </w:rPr>
      </w:pPr>
    </w:p>
    <w:p>
      <w:pPr>
        <w:jc w:val="both"/>
        <w:ind w:right="160"/>
        <w:spacing w:after="0" w:line="253" w:lineRule="auto"/>
        <w:rPr>
          <w:sz w:val="20"/>
          <w:szCs w:val="20"/>
          <w:color w:val="auto"/>
        </w:rPr>
      </w:pPr>
      <w:r>
        <w:rPr>
          <w:rFonts w:ascii="Arial" w:cs="Arial" w:eastAsia="Arial" w:hAnsi="Arial"/>
          <w:sz w:val="18"/>
          <w:szCs w:val="18"/>
          <w:color w:val="auto"/>
        </w:rPr>
        <w:t>This offer letter agreement, together with the Obligations Agreement and Severance Plan, sets forth the entire agreement between you and TJX, and supersedes all prior and contemporaneous communications, agreements, and understandings, written or oral, with respect to the subject matter hereof.</w:t>
      </w:r>
    </w:p>
    <w:p>
      <w:pPr>
        <w:spacing w:after="0" w:line="200" w:lineRule="exact"/>
        <w:rPr>
          <w:sz w:val="20"/>
          <w:szCs w:val="20"/>
          <w:color w:val="auto"/>
        </w:rPr>
      </w:pP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[Rest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1322" w:right="359" w:bottom="1440" w:gutter="0" w:footer="0" w:header="0"/>
        </w:sectPr>
      </w:pPr>
    </w:p>
    <w:bookmarkStart w:id="110" w:name="page111"/>
    <w:bookmarkEnd w:id="110"/>
    <w:p>
      <w:pPr>
        <w:spacing w:after="0"/>
        <w:rPr>
          <w:sz w:val="20"/>
          <w:szCs w:val="20"/>
          <w:color w:val="auto"/>
        </w:rPr>
      </w:pPr>
      <w:r>
        <w:rPr>
          <w:rFonts w:ascii="Arial" w:cs="Arial" w:eastAsia="Arial" w:hAnsi="Arial"/>
          <w:sz w:val="17"/>
          <w:szCs w:val="17"/>
          <w:color w:val="auto"/>
        </w:rPr>
        <w:t>Please indicate your agreement with the terms of this letter by signing and returning it to the Company.</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We wish you every success in your new position!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Ernie Herrman</w:t>
      </w:r>
    </w:p>
    <w:p>
      <w:pPr>
        <w:spacing w:after="0" w:line="234" w:lineRule="auto"/>
        <w:rPr>
          <w:sz w:val="20"/>
          <w:szCs w:val="20"/>
          <w:color w:val="auto"/>
        </w:rPr>
      </w:pPr>
      <w:r>
        <w:rPr>
          <w:rFonts w:ascii="Arial" w:cs="Arial" w:eastAsia="Arial" w:hAnsi="Arial"/>
          <w:sz w:val="18"/>
          <w:szCs w:val="18"/>
          <w:color w:val="auto"/>
        </w:rPr>
        <w:t>Ernie Herrman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pacing w:after="0" w:line="200" w:lineRule="exact"/>
        <w:rPr>
          <w:sz w:val="20"/>
          <w:szCs w:val="20"/>
          <w:color w:val="auto"/>
        </w:rPr>
      </w:pPr>
    </w:p>
    <w:p>
      <w:pPr>
        <w:spacing w:after="0" w:line="26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Acknowledged and agreed:</w:t>
      </w:r>
    </w:p>
    <w:p>
      <w:pPr>
        <w:spacing w:after="0" w:line="388" w:lineRule="exact"/>
        <w:rPr>
          <w:sz w:val="20"/>
          <w:szCs w:val="20"/>
          <w:color w:val="auto"/>
        </w:rPr>
      </w:pPr>
    </w:p>
    <w:tbl>
      <w:tblPr>
        <w:tblLayout w:type="fixed"/>
        <w:tblInd w:w="5200" w:type="dxa"/>
        <w:tblCellMar>
          <w:top w:w="0" w:type="dxa"/>
          <w:left w:w="0" w:type="dxa"/>
          <w:bottom w:w="0" w:type="dxa"/>
          <w:right w:w="0" w:type="dxa"/>
        </w:tblCellMar>
      </w:tblPr>
      <w:tr>
        <w:trPr>
          <w:trHeight w:val="207"/>
        </w:trPr>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Klinger</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2/2/2024</w:t>
            </w:r>
          </w:p>
        </w:tc>
      </w:tr>
      <w:tr>
        <w:trPr>
          <w:trHeight w:val="241"/>
        </w:trPr>
        <w:tc>
          <w:tcPr>
            <w:tcW w:w="1420" w:type="dxa"/>
            <w:vAlign w:val="bottom"/>
          </w:tcPr>
          <w:p>
            <w:pPr>
              <w:spacing w:after="0"/>
              <w:rPr>
                <w:sz w:val="20"/>
                <w:szCs w:val="20"/>
                <w:color w:val="auto"/>
              </w:rPr>
            </w:pPr>
            <w:r>
              <w:rPr>
                <w:rFonts w:ascii="Arial" w:cs="Arial" w:eastAsia="Arial" w:hAnsi="Arial"/>
                <w:sz w:val="18"/>
                <w:szCs w:val="18"/>
                <w:color w:val="auto"/>
              </w:rPr>
              <w:t>John Klinger</w:t>
            </w:r>
          </w:p>
        </w:tc>
        <w:tc>
          <w:tcPr>
            <w:tcW w:w="1120" w:type="dxa"/>
            <w:vAlign w:val="bottom"/>
          </w:tcPr>
          <w:p>
            <w:pPr>
              <w:jc w:val="right"/>
              <w:ind w:right="470"/>
              <w:spacing w:after="0"/>
              <w:rPr>
                <w:sz w:val="20"/>
                <w:szCs w:val="20"/>
                <w:color w:val="auto"/>
              </w:rPr>
            </w:pPr>
            <w:r>
              <w:rPr>
                <w:rFonts w:ascii="Arial" w:cs="Arial" w:eastAsia="Arial" w:hAnsi="Arial"/>
                <w:sz w:val="18"/>
                <w:szCs w:val="18"/>
                <w:color w:val="auto"/>
              </w:rPr>
              <w:t>Date</w:t>
            </w:r>
          </w:p>
        </w:tc>
      </w:tr>
      <w:tr>
        <w:trPr>
          <w:trHeight w:val="823"/>
        </w:trPr>
        <w:tc>
          <w:tcPr>
            <w:tcW w:w="1420" w:type="dxa"/>
            <w:vAlign w:val="bottom"/>
          </w:tcPr>
          <w:p>
            <w:pPr>
              <w:jc w:val="right"/>
              <w:ind w:right="850"/>
              <w:spacing w:after="0"/>
              <w:rPr>
                <w:sz w:val="20"/>
                <w:szCs w:val="20"/>
                <w:color w:val="auto"/>
              </w:rPr>
            </w:pPr>
            <w:r>
              <w:rPr>
                <w:rFonts w:ascii="Arial" w:cs="Arial" w:eastAsia="Arial" w:hAnsi="Arial"/>
                <w:sz w:val="18"/>
                <w:szCs w:val="18"/>
                <w:color w:val="auto"/>
              </w:rPr>
              <w:t>4</w:t>
            </w:r>
          </w:p>
        </w:tc>
        <w:tc>
          <w:tcPr>
            <w:tcW w:w="1120" w:type="dxa"/>
            <w:vAlign w:val="bottom"/>
          </w:tcPr>
          <w:p>
            <w:pPr>
              <w:spacing w:after="0"/>
              <w:rPr>
                <w:sz w:val="24"/>
                <w:szCs w:val="24"/>
                <w:color w:val="auto"/>
              </w:rPr>
            </w:pPr>
          </w:p>
        </w:tc>
      </w:tr>
    </w:tbl>
    <w:p>
      <w:pPr>
        <w:sectPr>
          <w:pgSz w:w="11900" w:h="16838" w:orient="portrait"/>
          <w:cols w:equalWidth="0" w:num="1">
            <w:col w:w="10139"/>
          </w:cols>
          <w:pgMar w:left="320" w:top="1336" w:right="1440"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February 2, 2024</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Douglas Mizzi</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TJX Companies, Inc.</w:t>
      </w:r>
    </w:p>
    <w:p>
      <w:pPr>
        <w:spacing w:after="0" w:line="217" w:lineRule="auto"/>
        <w:rPr>
          <w:sz w:val="20"/>
          <w:szCs w:val="20"/>
          <w:color w:val="auto"/>
        </w:rPr>
      </w:pPr>
      <w:r>
        <w:rPr>
          <w:rFonts w:ascii="Times New Roman" w:cs="Times New Roman" w:eastAsia="Times New Roman" w:hAnsi="Times New Roman"/>
          <w:sz w:val="22"/>
          <w:szCs w:val="22"/>
          <w:color w:val="auto"/>
        </w:rPr>
        <w:t>770 Cochituate Road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Framingham, MA 01701</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Re: </w:t>
      </w:r>
      <w:r>
        <w:rPr>
          <w:rFonts w:ascii="Times New Roman" w:cs="Times New Roman" w:eastAsia="Times New Roman" w:hAnsi="Times New Roman"/>
          <w:sz w:val="22"/>
          <w:szCs w:val="22"/>
          <w:u w:val="single" w:color="auto"/>
          <w:color w:val="auto"/>
        </w:rPr>
        <w:t>Letter Agreement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Mr. Mizzi,</w:t>
      </w:r>
    </w:p>
    <w:p>
      <w:pPr>
        <w:spacing w:after="0" w:line="233"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2"/>
          <w:szCs w:val="22"/>
          <w:color w:val="auto"/>
        </w:rPr>
        <w:t>Reference is made to the employment agreement between you and The TJX Companies, Inc. (“TJX” or “Company”) dated January 16, 2018, as amended (the “Employment Agreement”). Subject to earlier termination as provided therein, your employment with TJX under the Employment Agreement will continue until February 3, 2024. By entering into this letter agreement with TJX (the “Letter Agreement”), you agree to extend your employment with TJX under the terms and conditions of the Employment Agreement, effective as of the date hereof, with the following modifications:</w:t>
      </w:r>
    </w:p>
    <w:p>
      <w:pPr>
        <w:spacing w:after="0" w:line="204" w:lineRule="exact"/>
        <w:rPr>
          <w:sz w:val="20"/>
          <w:szCs w:val="20"/>
          <w:color w:val="auto"/>
        </w:rPr>
      </w:pPr>
    </w:p>
    <w:p>
      <w:pPr>
        <w:ind w:left="660" w:right="620" w:hanging="328"/>
        <w:spacing w:after="0" w:line="258" w:lineRule="auto"/>
        <w:tabs>
          <w:tab w:leader="none" w:pos="66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 of the Employment Agreement is hereby amended by replacing the third-to-last sentence thereof with the following:</w:t>
      </w:r>
    </w:p>
    <w:p>
      <w:pPr>
        <w:spacing w:after="0" w:line="171" w:lineRule="exact"/>
        <w:rPr>
          <w:rFonts w:ascii="Times New Roman" w:cs="Times New Roman" w:eastAsia="Times New Roman" w:hAnsi="Times New Roman"/>
          <w:sz w:val="22"/>
          <w:szCs w:val="22"/>
          <w:color w:val="auto"/>
        </w:rPr>
      </w:pPr>
    </w:p>
    <w:p>
      <w:pPr>
        <w:ind w:left="660" w:right="760"/>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earlier termination as provided herein, Executive’s employment hereunder shall continue on the terms provided herein until January 30, 2027 (the ‘End Date’).”</w:t>
      </w:r>
    </w:p>
    <w:p>
      <w:pPr>
        <w:spacing w:after="0" w:line="18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last sentence of Section 3(a) of the Employment Agreement is hereby amended to read in its entirety as follows:</w:t>
      </w:r>
    </w:p>
    <w:p>
      <w:pPr>
        <w:spacing w:after="0" w:line="233" w:lineRule="exact"/>
        <w:rPr>
          <w:rFonts w:ascii="Times New Roman" w:cs="Times New Roman" w:eastAsia="Times New Roman" w:hAnsi="Times New Roman"/>
          <w:sz w:val="22"/>
          <w:szCs w:val="22"/>
          <w:color w:val="auto"/>
        </w:rPr>
      </w:pPr>
    </w:p>
    <w:p>
      <w:pPr>
        <w:ind w:left="660" w:right="420"/>
        <w:spacing w:after="0" w:line="28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rate at which Executive’s Base Salary shall be paid shall be $1,000,000 per year or such other rate (not less than $1,000,000 per year) as the Committee may determine after Committee review not less frequently than annually.”</w:t>
      </w:r>
    </w:p>
    <w:p>
      <w:pPr>
        <w:spacing w:after="0" w:line="16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3(f) of the Employment Agreement is hereby amended by adding the following sentence to the end thereof:</w:t>
      </w:r>
    </w:p>
    <w:p>
      <w:pPr>
        <w:spacing w:after="0" w:line="233" w:lineRule="exact"/>
        <w:rPr>
          <w:rFonts w:ascii="Times New Roman" w:cs="Times New Roman" w:eastAsia="Times New Roman" w:hAnsi="Times New Roman"/>
          <w:sz w:val="22"/>
          <w:szCs w:val="22"/>
          <w:color w:val="auto"/>
        </w:rPr>
      </w:pPr>
    </w:p>
    <w:p>
      <w:pPr>
        <w:jc w:val="both"/>
        <w:ind w:left="660" w:right="80"/>
        <w:spacing w:after="0" w:line="23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avoidance of doubt, effective as of the date hereof, the recordkeeping of Executive’s notional account balance in the Winners Merchants International L.P. Canadian Executive Savings Plan (the “CESP”) has been transferred to the TJX Executive Savings Plan (the “ESP”), and Executive’s remaining benefit under CESP shall be administered in accordance with and subject to the applicable terms and conditions of the ESP and shall be subject to applicable tax withholding and reporting as determined by the Company.”</w:t>
      </w:r>
    </w:p>
    <w:p>
      <w:pPr>
        <w:spacing w:after="0" w:line="190" w:lineRule="exact"/>
        <w:rPr>
          <w:sz w:val="20"/>
          <w:szCs w:val="20"/>
          <w:color w:val="auto"/>
        </w:rPr>
      </w:pPr>
    </w:p>
    <w:p>
      <w:pPr>
        <w:ind w:right="540" w:firstLine="648"/>
        <w:spacing w:after="0" w:line="258" w:lineRule="auto"/>
        <w:rPr>
          <w:sz w:val="20"/>
          <w:szCs w:val="20"/>
          <w:color w:val="auto"/>
        </w:rPr>
      </w:pPr>
      <w:r>
        <w:rPr>
          <w:rFonts w:ascii="Times New Roman" w:cs="Times New Roman" w:eastAsia="Times New Roman" w:hAnsi="Times New Roman"/>
          <w:sz w:val="22"/>
          <w:szCs w:val="22"/>
          <w:color w:val="auto"/>
        </w:rPr>
        <w:t>Except as otherwise amended by this Letter Agreement, the Employment Agreement shall continue in full force and effect. You acknowledge and agree that your employment with</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17" w:right="339" w:bottom="1440" w:gutter="0" w:footer="0" w:header="0"/>
        </w:sectPr>
      </w:pPr>
    </w:p>
    <w:bookmarkStart w:id="112" w:name="page113"/>
    <w:bookmarkEnd w:id="112"/>
    <w:p>
      <w:pPr>
        <w:ind w:right="440"/>
        <w:spacing w:after="0" w:line="258" w:lineRule="auto"/>
        <w:rPr>
          <w:sz w:val="20"/>
          <w:szCs w:val="20"/>
          <w:color w:val="auto"/>
        </w:rPr>
      </w:pPr>
      <w:r>
        <w:rPr>
          <w:rFonts w:ascii="Times New Roman" w:cs="Times New Roman" w:eastAsia="Times New Roman" w:hAnsi="Times New Roman"/>
          <w:sz w:val="22"/>
          <w:szCs w:val="22"/>
          <w:color w:val="auto"/>
        </w:rPr>
        <w:t>TJX under the Employment Agreement shall continue from and after the date hereof in accordance with the terms of the Employment Agreement, as amended by this Letter Agreement.</w:t>
      </w:r>
    </w:p>
    <w:p>
      <w:pPr>
        <w:spacing w:after="0" w:line="185"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If you agree with the foregoing, please so indicate by signing the enclosed copy of this Letter Agreement in the space indicated below and returning it to the Company, whereupon this Letter Agreement will take effect as of the date hereof. This Letter Agreement shall constitute an agreement under seal.</w:t>
      </w:r>
    </w:p>
    <w:p>
      <w:pPr>
        <w:spacing w:after="0" w:line="200" w:lineRule="exact"/>
        <w:rPr>
          <w:sz w:val="20"/>
          <w:szCs w:val="20"/>
          <w:color w:val="auto"/>
        </w:rPr>
      </w:pPr>
    </w:p>
    <w:p>
      <w:pPr>
        <w:spacing w:after="0" w:line="25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0"/>
          <w:szCs w:val="20"/>
          <w:i w:val="1"/>
          <w:iCs w:val="1"/>
          <w:color w:val="auto"/>
        </w:rPr>
        <w:t>[Signature Page Follows]</w:t>
      </w:r>
    </w:p>
    <w:p>
      <w:pPr>
        <w:sectPr>
          <w:pgSz w:w="11900" w:h="16838" w:orient="portrait"/>
          <w:cols w:equalWidth="0" w:num="1">
            <w:col w:w="10840"/>
          </w:cols>
          <w:pgMar w:left="320" w:top="1152"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0840"/>
          </w:cols>
          <w:pgMar w:left="320" w:top="1152" w:right="739" w:bottom="1440" w:gutter="0" w:footer="0" w:header="0"/>
          <w:type w:val="continuous"/>
        </w:sectPr>
      </w:pPr>
    </w:p>
    <w:bookmarkStart w:id="113" w:name="page114"/>
    <w:bookmarkEnd w:id="1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color w:val="auto"/>
        </w:rPr>
        <w:t>THE TJX COMPANIES, INC.</w:t>
      </w:r>
    </w:p>
    <w:p>
      <w:pPr>
        <w:spacing w:after="0" w:line="28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color w:val="auto"/>
        </w:rPr>
        <w:t>By: /s/ Ernie Herrman</w:t>
      </w:r>
    </w:p>
    <w:p>
      <w:pPr>
        <w:spacing w:after="0" w:line="3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color w:val="auto"/>
        </w:rPr>
        <w:t>Name: Ernie Herrman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3237230</wp:posOffset>
            </wp:positionH>
            <wp:positionV relativeFrom="paragraph">
              <wp:posOffset>-160020</wp:posOffset>
            </wp:positionV>
            <wp:extent cx="31718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4">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9" w:lineRule="exact"/>
        <w:rPr>
          <w:sz w:val="20"/>
          <w:szCs w:val="20"/>
          <w:color w:val="auto"/>
        </w:rPr>
      </w:pPr>
    </w:p>
    <w:p>
      <w:pPr>
        <w:jc w:val="right"/>
        <w:ind w:right="99"/>
        <w:spacing w:after="0"/>
        <w:rPr>
          <w:sz w:val="20"/>
          <w:szCs w:val="20"/>
          <w:color w:val="auto"/>
        </w:rPr>
      </w:pPr>
      <w:r>
        <w:rPr>
          <w:rFonts w:ascii="Times New Roman" w:cs="Times New Roman" w:eastAsia="Times New Roman" w:hAnsi="Times New Roman"/>
          <w:sz w:val="22"/>
          <w:szCs w:val="22"/>
          <w:color w:val="auto"/>
        </w:rPr>
        <w:t>Title: Chief Executive Officer and President</w:t>
      </w:r>
    </w:p>
    <w:p>
      <w:pPr>
        <w:spacing w:after="0" w:line="26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color w:val="auto"/>
        </w:rPr>
        <w:t>EXECUTIVE:</w:t>
      </w:r>
    </w:p>
    <w:p>
      <w:pPr>
        <w:spacing w:after="0" w:line="2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color w:val="auto"/>
        </w:rPr>
        <w:t>/s/ Doug Mizzi 2/2/2024</w:t>
      </w:r>
    </w:p>
    <w:p>
      <w:pPr>
        <w:spacing w:after="0" w:line="1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color w:val="auto"/>
        </w:rPr>
        <w:t>Name: Douglas Mizzi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3237230</wp:posOffset>
            </wp:positionH>
            <wp:positionV relativeFrom="paragraph">
              <wp:posOffset>-160020</wp:posOffset>
            </wp:positionV>
            <wp:extent cx="317182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5">
                      <a:extLst>
                        <a:ext uri="{28A0092B-C50C-407E-A947-70E740481C1C}"/>
                      </a:extLst>
                    </a:blip>
                    <a:srcRect/>
                    <a:stretch>
                      <a:fillRect/>
                    </a:stretch>
                  </pic:blipFill>
                  <pic:spPr bwMode="auto">
                    <a:xfrm>
                      <a:off x="0" y="0"/>
                      <a:ext cx="31718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9019"/>
          </w:cols>
          <w:pgMar w:left="1440" w:top="1440" w:right="1440"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10.49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TJX COMPANIES,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EXECUTIVE SAVINGS PLAN</w:t>
      </w:r>
    </w:p>
    <w:p>
      <w:pPr>
        <w:jc w:val="center"/>
        <w:spacing w:after="0"/>
        <w:rPr>
          <w:sz w:val="20"/>
          <w:szCs w:val="20"/>
          <w:color w:val="auto"/>
        </w:rPr>
      </w:pPr>
      <w:r>
        <w:rPr>
          <w:rFonts w:ascii="Times New Roman" w:cs="Times New Roman" w:eastAsia="Times New Roman" w:hAnsi="Times New Roman"/>
          <w:sz w:val="22"/>
          <w:szCs w:val="22"/>
          <w:b w:val="1"/>
          <w:bCs w:val="1"/>
          <w:color w:val="auto"/>
        </w:rPr>
        <w:t>(As Amended and Restated, Effective January 1, 2022)</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Second Amendment</w:t>
      </w:r>
    </w:p>
    <w:p>
      <w:pPr>
        <w:spacing w:after="0" w:line="220" w:lineRule="exact"/>
        <w:rPr>
          <w:sz w:val="20"/>
          <w:szCs w:val="20"/>
          <w:color w:val="auto"/>
        </w:rPr>
      </w:pPr>
    </w:p>
    <w:p>
      <w:pPr>
        <w:ind w:right="660" w:firstLine="648"/>
        <w:spacing w:after="0" w:line="258" w:lineRule="auto"/>
        <w:rPr>
          <w:sz w:val="20"/>
          <w:szCs w:val="20"/>
          <w:color w:val="auto"/>
        </w:rPr>
      </w:pPr>
      <w:r>
        <w:rPr>
          <w:rFonts w:ascii="Times New Roman" w:cs="Times New Roman" w:eastAsia="Times New Roman" w:hAnsi="Times New Roman"/>
          <w:sz w:val="22"/>
          <w:szCs w:val="22"/>
          <w:color w:val="auto"/>
        </w:rPr>
        <w:t>Pursuant to Section 9.1 of The TJX Companies, Inc. Executive Savings Plan (As Amended and Restated, Effective January 1, 2022) (the “Plan”), The TJX Companies, Inc. hereby amends the Plan as follows:</w:t>
      </w:r>
    </w:p>
    <w:p>
      <w:pPr>
        <w:spacing w:after="0" w:line="185" w:lineRule="exact"/>
        <w:rPr>
          <w:sz w:val="20"/>
          <w:szCs w:val="20"/>
          <w:color w:val="auto"/>
        </w:rPr>
      </w:pPr>
    </w:p>
    <w:p>
      <w:pPr>
        <w:ind w:right="80" w:firstLine="648"/>
        <w:spacing w:after="0" w:line="239" w:lineRule="auto"/>
        <w:rPr>
          <w:sz w:val="20"/>
          <w:szCs w:val="20"/>
          <w:color w:val="auto"/>
        </w:rPr>
      </w:pPr>
      <w:r>
        <w:rPr>
          <w:rFonts w:ascii="Times New Roman" w:cs="Times New Roman" w:eastAsia="Times New Roman" w:hAnsi="Times New Roman"/>
          <w:sz w:val="22"/>
          <w:szCs w:val="22"/>
          <w:color w:val="auto"/>
        </w:rPr>
        <w:t>Article III is hereby amended by adding a new Section 3.3A to the Plan as set forth below, which shall operate in place of the existing Section 3.3 from and after January 1, 2024, unless otherwise specified therein. Internal cross-references throughout the Plan to Section 3.3 shall be adjusted to refer to Section 3.3A, as applicable (i.e., references to “Section 3.3(c)” shall instead refer to “Section 3.3A(c)”).</w:t>
      </w:r>
    </w:p>
    <w:p>
      <w:pPr>
        <w:spacing w:after="0" w:line="207" w:lineRule="exact"/>
        <w:rPr>
          <w:sz w:val="20"/>
          <w:szCs w:val="20"/>
          <w:color w:val="auto"/>
        </w:rPr>
      </w:pPr>
    </w:p>
    <w:p>
      <w:pPr>
        <w:ind w:left="1300" w:right="160"/>
        <w:spacing w:after="0" w:line="234" w:lineRule="auto"/>
        <w:rPr>
          <w:sz w:val="20"/>
          <w:szCs w:val="20"/>
          <w:color w:val="auto"/>
        </w:rPr>
      </w:pPr>
      <w:r>
        <w:rPr>
          <w:rFonts w:ascii="Times New Roman" w:cs="Times New Roman" w:eastAsia="Times New Roman" w:hAnsi="Times New Roman"/>
          <w:sz w:val="22"/>
          <w:szCs w:val="22"/>
          <w:color w:val="auto"/>
        </w:rPr>
        <w:t xml:space="preserve">“3.3A </w:t>
      </w:r>
      <w:r>
        <w:rPr>
          <w:rFonts w:ascii="Times New Roman" w:cs="Times New Roman" w:eastAsia="Times New Roman" w:hAnsi="Times New Roman"/>
          <w:sz w:val="22"/>
          <w:szCs w:val="22"/>
          <w:u w:val="single" w:color="auto"/>
          <w:color w:val="auto"/>
        </w:rPr>
        <w:t>Employer Credits</w:t>
      </w:r>
      <w:r>
        <w:rPr>
          <w:rFonts w:ascii="Times New Roman" w:cs="Times New Roman" w:eastAsia="Times New Roman" w:hAnsi="Times New Roman"/>
          <w:sz w:val="22"/>
          <w:szCs w:val="22"/>
          <w:color w:val="auto"/>
        </w:rPr>
        <w:t>. The Administrator shall establish and maintain a separate Employer Credit Account in the name of each Participant to which shall be credited amounts equal to the employer credits, if any, allocable to the Participant (any such amounts credited in accordance with this Section 3.3A, ‘Employer Credits’) and which shall be further adjusted as provided in Article 4 to reflect any withdrawals, distributions or forfeitures and any deemed earnings, losses or other charges allocable to the Employer Credit Account. The Employer Credits allocable to a Participant shall be determined as follows:</w:t>
      </w:r>
    </w:p>
    <w:p>
      <w:pPr>
        <w:spacing w:after="0" w:line="208" w:lineRule="exact"/>
        <w:rPr>
          <w:sz w:val="20"/>
          <w:szCs w:val="20"/>
          <w:color w:val="auto"/>
        </w:rPr>
      </w:pPr>
    </w:p>
    <w:p>
      <w:pPr>
        <w:ind w:left="1300" w:right="80" w:firstLine="652"/>
        <w:spacing w:after="0" w:line="251" w:lineRule="auto"/>
        <w:tabs>
          <w:tab w:leader="none" w:pos="2242"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Non-Performance-Based Employer Credits</w:t>
      </w:r>
      <w:r>
        <w:rPr>
          <w:rFonts w:ascii="Times New Roman" w:cs="Times New Roman" w:eastAsia="Times New Roman" w:hAnsi="Times New Roman"/>
          <w:sz w:val="21"/>
          <w:szCs w:val="21"/>
          <w:color w:val="auto"/>
        </w:rPr>
        <w:t>. For each Plan Year beginning on or after January 1, 2024, the Administrator shall credit to the Participant’s Employer Credit Account an amount equal to the percentage of the Participant’s Eligible Deferrals for the Plan Year set forth on Schedule A to the Plan, as such Schedule may be amended from time to time, based on the Participant’s title, age, status as Pension Eligible or Pension Ineligible, and/or status as a Designated Executive, as applicable, in each case as of the effective time of such credit.</w:t>
      </w:r>
    </w:p>
    <w:p>
      <w:pPr>
        <w:spacing w:after="0" w:line="195" w:lineRule="exact"/>
        <w:rPr>
          <w:sz w:val="20"/>
          <w:szCs w:val="20"/>
          <w:color w:val="auto"/>
        </w:rPr>
      </w:pPr>
    </w:p>
    <w:p>
      <w:pPr>
        <w:ind w:left="1300" w:right="20" w:firstLine="648"/>
        <w:spacing w:after="0" w:line="239" w:lineRule="auto"/>
        <w:rPr>
          <w:sz w:val="20"/>
          <w:szCs w:val="20"/>
          <w:color w:val="auto"/>
        </w:rPr>
      </w:pPr>
      <w:r>
        <w:rPr>
          <w:rFonts w:ascii="Times New Roman" w:cs="Times New Roman" w:eastAsia="Times New Roman" w:hAnsi="Times New Roman"/>
          <w:sz w:val="22"/>
          <w:szCs w:val="22"/>
          <w:color w:val="auto"/>
        </w:rPr>
        <w:t>The non-performance-based matching credits described in this subsection (a) shall be credited to the Participant’s Employer Credit Account as of the same dates as the Eligible Deferrals to which such matching credits relate and based on the Participant’s title, age, status as Pension Eligible or Pension Ineligible, and/or status as a Designated Executive, as applicable, as of such date.</w:t>
      </w:r>
    </w:p>
    <w:p>
      <w:pPr>
        <w:spacing w:after="0" w:line="194" w:lineRule="exact"/>
        <w:rPr>
          <w:sz w:val="20"/>
          <w:szCs w:val="20"/>
          <w:color w:val="auto"/>
        </w:rPr>
      </w:pPr>
    </w:p>
    <w:p>
      <w:pPr>
        <w:ind w:left="2260" w:hanging="308"/>
        <w:spacing w:after="0"/>
        <w:tabs>
          <w:tab w:leader="none" w:pos="226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Performance-Based Employer Credits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1300" w:right="120" w:firstLine="1300"/>
        <w:spacing w:after="0" w:line="239" w:lineRule="auto"/>
        <w:tabs>
          <w:tab w:leader="none" w:pos="2854"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 General</w:t>
      </w:r>
      <w:r>
        <w:rPr>
          <w:rFonts w:ascii="Times New Roman" w:cs="Times New Roman" w:eastAsia="Times New Roman" w:hAnsi="Times New Roman"/>
          <w:sz w:val="22"/>
          <w:szCs w:val="22"/>
          <w:color w:val="auto"/>
        </w:rPr>
        <w:t>. For each Plan Year ending within a fiscal year of the Company that is completed on or after December 31, 2023 and for which MIP (Corporate) performance produces a payout at or above 75% of MIP (Corporate) target award opportunities for such fiscal year as determined by the Administrator, the Administrator shall credit to</w:t>
      </w:r>
    </w:p>
    <w:p>
      <w:pPr>
        <w:sectPr>
          <w:pgSz w:w="11900" w:h="16838" w:orient="portrait"/>
          <w:cols w:equalWidth="0" w:num="1">
            <w:col w:w="11240"/>
          </w:cols>
          <w:pgMar w:left="320" w:top="117" w:right="339" w:bottom="1440" w:gutter="0" w:footer="0" w:header="0"/>
        </w:sectPr>
      </w:pPr>
    </w:p>
    <w:bookmarkStart w:id="115" w:name="page116"/>
    <w:bookmarkEnd w:id="115"/>
    <w:p>
      <w:pPr>
        <w:ind w:left="180" w:right="120"/>
        <w:spacing w:after="0" w:line="239" w:lineRule="auto"/>
        <w:rPr>
          <w:sz w:val="20"/>
          <w:szCs w:val="20"/>
          <w:color w:val="auto"/>
        </w:rPr>
      </w:pPr>
      <w:r>
        <w:rPr>
          <w:rFonts w:ascii="Times New Roman" w:cs="Times New Roman" w:eastAsia="Times New Roman" w:hAnsi="Times New Roman"/>
          <w:sz w:val="22"/>
          <w:szCs w:val="22"/>
          <w:color w:val="auto"/>
        </w:rPr>
        <w:t>the Participant’s Employer Credit Account an amount (in addition to the credit described at Section 3.3A(a) above) equal to the percentage of the Participant’s Eligible Deferrals for the Plan Year set forth on Schedule A to the Plan, as such Schedule may be amended from time to time, based on the Participant’s title, age, status as Pension Eligible or Pension Ineligible, and/or status as a Designated Executive, as applicable.</w:t>
      </w:r>
    </w:p>
    <w:p>
      <w:pPr>
        <w:spacing w:after="0" w:line="194" w:lineRule="exact"/>
        <w:rPr>
          <w:sz w:val="20"/>
          <w:szCs w:val="20"/>
          <w:color w:val="auto"/>
        </w:rPr>
      </w:pPr>
    </w:p>
    <w:p>
      <w:pPr>
        <w:ind w:left="180" w:right="180" w:firstLine="1300"/>
        <w:spacing w:after="0" w:line="255" w:lineRule="auto"/>
        <w:tabs>
          <w:tab w:leader="none" w:pos="1794"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Pro-ration</w:t>
      </w:r>
      <w:r>
        <w:rPr>
          <w:rFonts w:ascii="Times New Roman" w:cs="Times New Roman" w:eastAsia="Times New Roman" w:hAnsi="Times New Roman"/>
          <w:sz w:val="21"/>
          <w:szCs w:val="21"/>
          <w:color w:val="auto"/>
        </w:rPr>
        <w:t>. If MIP (Corporate) performance produces a payout between the levels set forth on Schedule A to the Plan (i.e., a payout between 75% and 90%, or between 90% and 100%, or between 100% and 125%), the Employer Credit described in this Section 3.3A(b) shall be determined on the basis of straight line interpolation between the levels set forth on Schedule A, as such Schedule may be amended from time to time.</w:t>
      </w:r>
    </w:p>
    <w:p>
      <w:pPr>
        <w:spacing w:after="0" w:line="188" w:lineRule="exact"/>
        <w:rPr>
          <w:rFonts w:ascii="Times New Roman" w:cs="Times New Roman" w:eastAsia="Times New Roman" w:hAnsi="Times New Roman"/>
          <w:sz w:val="21"/>
          <w:szCs w:val="21"/>
          <w:color w:val="auto"/>
        </w:rPr>
      </w:pPr>
    </w:p>
    <w:p>
      <w:pPr>
        <w:ind w:left="180" w:right="20" w:firstLine="1300"/>
        <w:spacing w:after="0" w:line="244" w:lineRule="auto"/>
        <w:tabs>
          <w:tab w:leader="none" w:pos="1854"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Timing of Performance-Based Employer Credits</w:t>
      </w:r>
      <w:r>
        <w:rPr>
          <w:rFonts w:ascii="Times New Roman" w:cs="Times New Roman" w:eastAsia="Times New Roman" w:hAnsi="Times New Roman"/>
          <w:sz w:val="21"/>
          <w:szCs w:val="21"/>
          <w:color w:val="auto"/>
        </w:rPr>
        <w:t>. The performance-based Employer Credit described in this Section 3.3A(b) shall be credited as soon as practicable following the close of the fiscal year and only to the Employer Credit Accounts of those Participants who were employed by the Employer on the last day of such fiscal year. In general, a Participant’s age and title (or, if applicable, status as a Designated Executive) will be determined as of the date the Eligible Deferrals to which such matching credits relate were credited pursuant to Section 3.2 above. Notwithstanding the foregoing, the Administrator shall determine the age and title, or status as a Designated Executive (to the extent applicable) of the Participant for purposes of such performance-based Employer Credit in accordance with such procedures as may be established from time to time by the Administrator in its discretion, including but not limited to any procedures addressing changes in title or status.</w:t>
      </w:r>
    </w:p>
    <w:p>
      <w:pPr>
        <w:spacing w:after="0" w:line="206" w:lineRule="exact"/>
        <w:rPr>
          <w:rFonts w:ascii="Times New Roman" w:cs="Times New Roman" w:eastAsia="Times New Roman" w:hAnsi="Times New Roman"/>
          <w:sz w:val="21"/>
          <w:szCs w:val="21"/>
          <w:color w:val="auto"/>
        </w:rPr>
      </w:pPr>
    </w:p>
    <w:p>
      <w:pPr>
        <w:ind w:left="180" w:firstLine="652"/>
        <w:spacing w:after="0" w:line="235" w:lineRule="auto"/>
        <w:tabs>
          <w:tab w:leader="none" w:pos="1122"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Pension Eligible Participants</w:t>
      </w:r>
      <w:r>
        <w:rPr>
          <w:rFonts w:ascii="Times New Roman" w:cs="Times New Roman" w:eastAsia="Times New Roman" w:hAnsi="Times New Roman"/>
          <w:sz w:val="22"/>
          <w:szCs w:val="22"/>
          <w:color w:val="auto"/>
        </w:rPr>
        <w:t>. For purposes of the Plan, the term ‘Pension Eligible Participant’ means, for any Plan Year, an individual who is a participant in The TJX Companies, Inc. Retirement Plan (the ‘Pension Plan’) who continues to be eligible to earn an additional benefit under the Pension Plan, without regard to whether the individual is actually earning or entitled to a benefit under the Pension Plan for that Plan Year. Any Participant who is not a Pension Eligible Participant, other than a Designated Executive, shall be referred to as a ‘Pension-Ineligible Participant’ for purposes of Schedule A to the Plan, as such Schedule may be amended from time to time.</w:t>
      </w:r>
    </w:p>
    <w:p>
      <w:pPr>
        <w:spacing w:after="0" w:line="210" w:lineRule="exact"/>
        <w:rPr>
          <w:rFonts w:ascii="Times New Roman" w:cs="Times New Roman" w:eastAsia="Times New Roman" w:hAnsi="Times New Roman"/>
          <w:sz w:val="22"/>
          <w:szCs w:val="22"/>
          <w:color w:val="auto"/>
        </w:rPr>
      </w:pPr>
    </w:p>
    <w:p>
      <w:pPr>
        <w:ind w:left="180" w:right="120" w:firstLine="652"/>
        <w:spacing w:after="0" w:line="250" w:lineRule="auto"/>
        <w:tabs>
          <w:tab w:leader="none" w:pos="1134"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Supplemental Employer Credits</w:t>
      </w:r>
      <w:r>
        <w:rPr>
          <w:rFonts w:ascii="Times New Roman" w:cs="Times New Roman" w:eastAsia="Times New Roman" w:hAnsi="Times New Roman"/>
          <w:sz w:val="21"/>
          <w:szCs w:val="21"/>
          <w:color w:val="auto"/>
        </w:rPr>
        <w:t>. The Administrator may credit such additional amounts (whether or not such amounts are described as a percentage of Eligible Deferrals or are otherwise related to any Elective Deferrals under the Plan) to the Employer Credit Account of any Participant as the Administrator may determine in its sole discretion from time to time, and on such terms and conditions as the Administrator may</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0060"/>
          </w:cols>
          <w:pgMar w:left="1440" w:top="1152" w:right="399" w:bottom="1440" w:gutter="0" w:footer="0" w:header="0"/>
        </w:sectPr>
      </w:pPr>
    </w:p>
    <w:bookmarkStart w:id="116" w:name="page117"/>
    <w:bookmarkEnd w:id="116"/>
    <w:p>
      <w:pPr>
        <w:ind w:left="180"/>
        <w:spacing w:after="0" w:line="248" w:lineRule="auto"/>
        <w:rPr>
          <w:sz w:val="20"/>
          <w:szCs w:val="20"/>
          <w:color w:val="auto"/>
        </w:rPr>
      </w:pPr>
      <w:r>
        <w:rPr>
          <w:rFonts w:ascii="Times New Roman" w:cs="Times New Roman" w:eastAsia="Times New Roman" w:hAnsi="Times New Roman"/>
          <w:sz w:val="21"/>
          <w:szCs w:val="21"/>
          <w:color w:val="auto"/>
        </w:rPr>
        <w:t>specify from time to time (any such Employer Credits under this Section 3.3A(d), ‘Supplemental Employer Credits’). Except as provided by the Administrator, any Supplemental Employer Credits shall be subject to the same vesting and payment terms and conditions that apply to all other Employer Credits allocated to Participants under the Plan. Any alternative vesting or payment terms shall be established by the Administrator at the time such Supplemental Employer Credits are allocated to a Participant, to the extent required by Section 409A.”</w:t>
      </w:r>
    </w:p>
    <w:p>
      <w:pPr>
        <w:spacing w:after="0" w:line="200" w:lineRule="exact"/>
        <w:rPr>
          <w:sz w:val="20"/>
          <w:szCs w:val="20"/>
          <w:color w:val="auto"/>
        </w:rPr>
      </w:pPr>
    </w:p>
    <w:p>
      <w:pPr>
        <w:spacing w:after="0" w:line="236"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9940"/>
          </w:cols>
          <w:pgMar w:left="1440" w:top="1152" w:right="519" w:bottom="1440" w:gutter="0" w:footer="0" w:header="0"/>
        </w:sectPr>
      </w:pPr>
    </w:p>
    <w:bookmarkStart w:id="117" w:name="page118"/>
    <w:bookmarkEnd w:id="117"/>
    <w:p>
      <w:pPr>
        <w:ind w:right="60" w:firstLine="648"/>
        <w:spacing w:after="0" w:line="258" w:lineRule="auto"/>
        <w:rPr>
          <w:sz w:val="20"/>
          <w:szCs w:val="20"/>
          <w:color w:val="auto"/>
        </w:rPr>
      </w:pPr>
      <w:r>
        <w:rPr>
          <w:rFonts w:ascii="Times New Roman" w:cs="Times New Roman" w:eastAsia="Times New Roman" w:hAnsi="Times New Roman"/>
          <w:sz w:val="22"/>
          <w:szCs w:val="22"/>
          <w:color w:val="auto"/>
        </w:rPr>
        <w:t>IN WITNESS WHEREOF, The TJX Companies, Inc. has caused this Amendment to be executed in its name and behalf by its officer thereunto duly authorized.</w:t>
      </w:r>
    </w:p>
    <w:p>
      <w:pPr>
        <w:spacing w:after="0" w:line="253"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22"/>
          <w:szCs w:val="22"/>
          <w:color w:val="auto"/>
        </w:rPr>
        <w:t>THE TJX COMPANIES, INC.</w:t>
      </w:r>
    </w:p>
    <w:p>
      <w:pPr>
        <w:spacing w:after="0" w:line="28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22"/>
          <w:szCs w:val="22"/>
          <w:color w:val="auto"/>
        </w:rPr>
        <w:t>By: /s/ Erica Farrell</w:t>
      </w:r>
    </w:p>
    <w:p>
      <w:pPr>
        <w:spacing w:after="0" w:line="31"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22"/>
          <w:szCs w:val="22"/>
          <w:color w:val="auto"/>
        </w:rPr>
        <w:t>Erica 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-160020</wp:posOffset>
            </wp:positionV>
            <wp:extent cx="31635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6">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line="214"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22"/>
          <w:szCs w:val="22"/>
          <w:color w:val="auto"/>
        </w:rPr>
        <w:t>Title: SVP, Treasurer, The TJX Companies, Inc.</w:t>
      </w:r>
    </w:p>
    <w:p>
      <w:pPr>
        <w:ind w:left="6240"/>
        <w:spacing w:after="0" w:line="214" w:lineRule="auto"/>
        <w:rPr>
          <w:sz w:val="20"/>
          <w:szCs w:val="20"/>
          <w:color w:val="auto"/>
        </w:rPr>
      </w:pPr>
      <w:r>
        <w:rPr>
          <w:rFonts w:ascii="Times New Roman" w:cs="Times New Roman" w:eastAsia="Times New Roman" w:hAnsi="Times New Roman"/>
          <w:sz w:val="21"/>
          <w:szCs w:val="21"/>
          <w:color w:val="auto"/>
        </w:rPr>
        <w:t>Authorized Representative of The TJX Companies, Inc.</w:t>
      </w:r>
    </w:p>
    <w:p>
      <w:pPr>
        <w:spacing w:after="0" w:line="1"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22"/>
          <w:szCs w:val="22"/>
          <w:color w:val="auto"/>
        </w:rPr>
        <w:t>ERISA Committee</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Dated: December 27,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080"/>
          </w:cols>
          <w:pgMar w:left="320" w:top="1395" w:right="49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SUBSIDIARIES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of the following subsidiaries are either directly or indirectly owned by The TJX Companies, Inc.</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396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State or Jurisdiction</w:t>
            </w:r>
          </w:p>
        </w:tc>
        <w:tc>
          <w:tcPr>
            <w:tcW w:w="334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Name Under Which Does</w:t>
            </w:r>
          </w:p>
        </w:tc>
      </w:tr>
      <w:tr>
        <w:trPr>
          <w:trHeight w:val="265"/>
        </w:trPr>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Subsidiaries</w:t>
            </w:r>
          </w:p>
        </w:tc>
        <w:tc>
          <w:tcPr>
            <w:tcW w:w="3960" w:type="dxa"/>
            <w:vAlign w:val="bottom"/>
            <w:tcBorders>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rPr>
              <w:t>of Incorporation or Organization</w:t>
            </w:r>
          </w:p>
        </w:tc>
        <w:tc>
          <w:tcPr>
            <w:tcW w:w="334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Business (if Different)</w:t>
            </w:r>
          </w:p>
        </w:tc>
      </w:tr>
      <w:tr>
        <w:trPr>
          <w:trHeight w:val="22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T.J. Maxx of CA, LLC</w:t>
            </w:r>
          </w:p>
        </w:tc>
        <w:tc>
          <w:tcPr>
            <w:tcW w:w="396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6"/>
              </w:rPr>
              <w:t>Virginia</w:t>
            </w:r>
          </w:p>
        </w:tc>
        <w:tc>
          <w:tcPr>
            <w:tcW w:w="3340" w:type="dxa"/>
            <w:vAlign w:val="bottom"/>
            <w:shd w:val="clear" w:color="auto" w:fill="CCEEFF"/>
          </w:tcPr>
          <w:p>
            <w:pPr>
              <w:spacing w:after="0"/>
              <w:rPr>
                <w:sz w:val="19"/>
                <w:szCs w:val="19"/>
                <w:color w:val="auto"/>
              </w:rPr>
            </w:pP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T.J. Maxx of IL, LLC</w:t>
            </w:r>
          </w:p>
        </w:tc>
        <w:tc>
          <w:tcPr>
            <w:tcW w:w="39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6"/>
              </w:rPr>
              <w:t>Virginia</w:t>
            </w:r>
          </w:p>
        </w:tc>
        <w:tc>
          <w:tcPr>
            <w:tcW w:w="3340" w:type="dxa"/>
            <w:vAlign w:val="bottom"/>
          </w:tcPr>
          <w:p>
            <w:pPr>
              <w:spacing w:after="0"/>
              <w:rPr>
                <w:sz w:val="19"/>
                <w:szCs w:val="19"/>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TJX Digital, Inc.</w:t>
            </w:r>
          </w:p>
        </w:tc>
        <w:tc>
          <w:tcPr>
            <w:tcW w:w="396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8"/>
              </w:rPr>
              <w:t>Delaware</w:t>
            </w:r>
          </w:p>
        </w:tc>
        <w:tc>
          <w:tcPr>
            <w:tcW w:w="3340" w:type="dxa"/>
            <w:vAlign w:val="bottom"/>
            <w:shd w:val="clear" w:color="auto" w:fill="CCEEFF"/>
          </w:tcPr>
          <w:p>
            <w:pPr>
              <w:jc w:val="center"/>
              <w:ind w:right="290"/>
              <w:spacing w:after="0"/>
              <w:rPr>
                <w:sz w:val="20"/>
                <w:szCs w:val="20"/>
                <w:color w:val="auto"/>
              </w:rPr>
            </w:pPr>
            <w:r>
              <w:rPr>
                <w:rFonts w:ascii="Times New Roman" w:cs="Times New Roman" w:eastAsia="Times New Roman" w:hAnsi="Times New Roman"/>
                <w:sz w:val="18"/>
                <w:szCs w:val="18"/>
                <w:color w:val="auto"/>
                <w:w w:val="98"/>
              </w:rPr>
              <w:t>T.J. Maxx, Marshalls</w:t>
            </w: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Arizona Merchants, LLC</w:t>
            </w:r>
          </w:p>
        </w:tc>
        <w:tc>
          <w:tcPr>
            <w:tcW w:w="39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Arizona</w:t>
            </w:r>
          </w:p>
        </w:tc>
        <w:tc>
          <w:tcPr>
            <w:tcW w:w="3340" w:type="dxa"/>
            <w:vAlign w:val="bottom"/>
          </w:tcPr>
          <w:p>
            <w:pPr>
              <w:spacing w:after="0"/>
              <w:rPr>
                <w:sz w:val="19"/>
                <w:szCs w:val="19"/>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NBC Charlotte Merchants, LLC</w:t>
            </w:r>
          </w:p>
        </w:tc>
        <w:tc>
          <w:tcPr>
            <w:tcW w:w="396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9"/>
              </w:rPr>
              <w:t>North Carolina</w:t>
            </w:r>
          </w:p>
        </w:tc>
        <w:tc>
          <w:tcPr>
            <w:tcW w:w="3340" w:type="dxa"/>
            <w:vAlign w:val="bottom"/>
            <w:shd w:val="clear" w:color="auto" w:fill="CCEEFF"/>
          </w:tcPr>
          <w:p>
            <w:pPr>
              <w:spacing w:after="0"/>
              <w:rPr>
                <w:sz w:val="19"/>
                <w:szCs w:val="19"/>
                <w:color w:val="auto"/>
              </w:rPr>
            </w:pP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NBC Distributors, LLC</w:t>
            </w:r>
          </w:p>
        </w:tc>
        <w:tc>
          <w:tcPr>
            <w:tcW w:w="39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Massachusetts</w:t>
            </w:r>
          </w:p>
        </w:tc>
        <w:tc>
          <w:tcPr>
            <w:tcW w:w="3340" w:type="dxa"/>
            <w:vAlign w:val="bottom"/>
          </w:tcPr>
          <w:p>
            <w:pPr>
              <w:spacing w:after="0"/>
              <w:rPr>
                <w:sz w:val="19"/>
                <w:szCs w:val="19"/>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NBC Manteca Merchants, Inc.</w:t>
            </w:r>
          </w:p>
        </w:tc>
        <w:tc>
          <w:tcPr>
            <w:tcW w:w="396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8"/>
              </w:rPr>
              <w:t>California</w:t>
            </w:r>
          </w:p>
        </w:tc>
        <w:tc>
          <w:tcPr>
            <w:tcW w:w="3340" w:type="dxa"/>
            <w:vAlign w:val="bottom"/>
            <w:shd w:val="clear" w:color="auto" w:fill="CCEEFF"/>
          </w:tcPr>
          <w:p>
            <w:pPr>
              <w:spacing w:after="0"/>
              <w:rPr>
                <w:sz w:val="19"/>
                <w:szCs w:val="19"/>
                <w:color w:val="auto"/>
              </w:rPr>
            </w:pP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NBC Merchants, LLC</w:t>
            </w:r>
          </w:p>
        </w:tc>
        <w:tc>
          <w:tcPr>
            <w:tcW w:w="39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Indiana</w:t>
            </w:r>
          </w:p>
        </w:tc>
        <w:tc>
          <w:tcPr>
            <w:tcW w:w="3340" w:type="dxa"/>
            <w:vAlign w:val="bottom"/>
          </w:tcPr>
          <w:p>
            <w:pPr>
              <w:spacing w:after="0"/>
              <w:rPr>
                <w:sz w:val="19"/>
                <w:szCs w:val="19"/>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NBC Nevada Merchants, LLC</w:t>
            </w:r>
          </w:p>
        </w:tc>
        <w:tc>
          <w:tcPr>
            <w:tcW w:w="396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rPr>
              <w:t>Nevada</w:t>
            </w:r>
          </w:p>
        </w:tc>
        <w:tc>
          <w:tcPr>
            <w:tcW w:w="3340" w:type="dxa"/>
            <w:vAlign w:val="bottom"/>
            <w:shd w:val="clear" w:color="auto" w:fill="CCEEFF"/>
          </w:tcPr>
          <w:p>
            <w:pPr>
              <w:spacing w:after="0"/>
              <w:rPr>
                <w:sz w:val="19"/>
                <w:szCs w:val="19"/>
                <w:color w:val="auto"/>
              </w:rPr>
            </w:pP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NBC Philadelphia Merchants, Inc.</w:t>
            </w:r>
          </w:p>
        </w:tc>
        <w:tc>
          <w:tcPr>
            <w:tcW w:w="39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Pennsylvania</w:t>
            </w:r>
          </w:p>
        </w:tc>
        <w:tc>
          <w:tcPr>
            <w:tcW w:w="3340" w:type="dxa"/>
            <w:vAlign w:val="bottom"/>
          </w:tcPr>
          <w:p>
            <w:pPr>
              <w:spacing w:after="0"/>
              <w:rPr>
                <w:sz w:val="19"/>
                <w:szCs w:val="19"/>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NBC Pittston Merchants, LLC</w:t>
            </w:r>
          </w:p>
        </w:tc>
        <w:tc>
          <w:tcPr>
            <w:tcW w:w="396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9"/>
              </w:rPr>
              <w:t>Pennsylvania</w:t>
            </w:r>
          </w:p>
        </w:tc>
        <w:tc>
          <w:tcPr>
            <w:tcW w:w="3340" w:type="dxa"/>
            <w:vAlign w:val="bottom"/>
            <w:shd w:val="clear" w:color="auto" w:fill="CCEEFF"/>
          </w:tcPr>
          <w:p>
            <w:pPr>
              <w:spacing w:after="0"/>
              <w:rPr>
                <w:sz w:val="19"/>
                <w:szCs w:val="19"/>
                <w:color w:val="auto"/>
              </w:rPr>
            </w:pP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NBC San Antonio Merchants, LLC</w:t>
            </w:r>
          </w:p>
        </w:tc>
        <w:tc>
          <w:tcPr>
            <w:tcW w:w="39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8"/>
              </w:rPr>
              <w:t>Delaware</w:t>
            </w:r>
          </w:p>
        </w:tc>
        <w:tc>
          <w:tcPr>
            <w:tcW w:w="3340" w:type="dxa"/>
            <w:vAlign w:val="bottom"/>
          </w:tcPr>
          <w:p>
            <w:pPr>
              <w:spacing w:after="0"/>
              <w:rPr>
                <w:sz w:val="19"/>
                <w:szCs w:val="19"/>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TJX Digital Memphis Merchants, LLC</w:t>
            </w:r>
          </w:p>
        </w:tc>
        <w:tc>
          <w:tcPr>
            <w:tcW w:w="396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8"/>
              </w:rPr>
              <w:t>Delaware</w:t>
            </w:r>
          </w:p>
        </w:tc>
        <w:tc>
          <w:tcPr>
            <w:tcW w:w="3340" w:type="dxa"/>
            <w:vAlign w:val="bottom"/>
            <w:shd w:val="clear" w:color="auto" w:fill="CCEEFF"/>
          </w:tcPr>
          <w:p>
            <w:pPr>
              <w:spacing w:after="0"/>
              <w:rPr>
                <w:sz w:val="19"/>
                <w:szCs w:val="19"/>
                <w:color w:val="auto"/>
              </w:rPr>
            </w:pP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TJX Digital Dayton Merchants, LLC</w:t>
            </w:r>
          </w:p>
        </w:tc>
        <w:tc>
          <w:tcPr>
            <w:tcW w:w="39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8"/>
              </w:rPr>
              <w:t>Delaware</w:t>
            </w:r>
          </w:p>
        </w:tc>
        <w:tc>
          <w:tcPr>
            <w:tcW w:w="3340" w:type="dxa"/>
            <w:vAlign w:val="bottom"/>
          </w:tcPr>
          <w:p>
            <w:pPr>
              <w:spacing w:after="0"/>
              <w:rPr>
                <w:sz w:val="19"/>
                <w:szCs w:val="19"/>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Marshalls of Beacon, VA., Inc.</w:t>
            </w:r>
          </w:p>
        </w:tc>
        <w:tc>
          <w:tcPr>
            <w:tcW w:w="396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6"/>
              </w:rPr>
              <w:t>Virginia</w:t>
            </w:r>
          </w:p>
        </w:tc>
        <w:tc>
          <w:tcPr>
            <w:tcW w:w="3340" w:type="dxa"/>
            <w:vAlign w:val="bottom"/>
            <w:shd w:val="clear" w:color="auto" w:fill="CCEEFF"/>
          </w:tcPr>
          <w:p>
            <w:pPr>
              <w:spacing w:after="0"/>
              <w:rPr>
                <w:sz w:val="19"/>
                <w:szCs w:val="19"/>
                <w:color w:val="auto"/>
              </w:rPr>
            </w:pP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Marshalls of CA, LLC</w:t>
            </w:r>
          </w:p>
        </w:tc>
        <w:tc>
          <w:tcPr>
            <w:tcW w:w="39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6"/>
              </w:rPr>
              <w:t>Virginia</w:t>
            </w:r>
          </w:p>
        </w:tc>
        <w:tc>
          <w:tcPr>
            <w:tcW w:w="3340" w:type="dxa"/>
            <w:vAlign w:val="bottom"/>
          </w:tcPr>
          <w:p>
            <w:pPr>
              <w:spacing w:after="0"/>
              <w:rPr>
                <w:sz w:val="19"/>
                <w:szCs w:val="19"/>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Marshalls of Elizabeth, NJ, Inc.</w:t>
            </w:r>
          </w:p>
        </w:tc>
        <w:tc>
          <w:tcPr>
            <w:tcW w:w="396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rPr>
              <w:t>New Jersey</w:t>
            </w:r>
          </w:p>
        </w:tc>
        <w:tc>
          <w:tcPr>
            <w:tcW w:w="3340" w:type="dxa"/>
            <w:vAlign w:val="bottom"/>
            <w:shd w:val="clear" w:color="auto" w:fill="CCEEFF"/>
          </w:tcPr>
          <w:p>
            <w:pPr>
              <w:spacing w:after="0"/>
              <w:rPr>
                <w:sz w:val="19"/>
                <w:szCs w:val="19"/>
                <w:color w:val="auto"/>
              </w:rPr>
            </w:pP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Marshalls of IL, LLC</w:t>
            </w:r>
          </w:p>
        </w:tc>
        <w:tc>
          <w:tcPr>
            <w:tcW w:w="39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6"/>
              </w:rPr>
              <w:t>Virginia</w:t>
            </w:r>
          </w:p>
        </w:tc>
        <w:tc>
          <w:tcPr>
            <w:tcW w:w="3340" w:type="dxa"/>
            <w:vAlign w:val="bottom"/>
          </w:tcPr>
          <w:p>
            <w:pPr>
              <w:spacing w:after="0"/>
              <w:rPr>
                <w:sz w:val="19"/>
                <w:szCs w:val="19"/>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Marshalls of MA, Inc.</w:t>
            </w:r>
          </w:p>
        </w:tc>
        <w:tc>
          <w:tcPr>
            <w:tcW w:w="396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9"/>
              </w:rPr>
              <w:t>Massachusetts</w:t>
            </w:r>
          </w:p>
        </w:tc>
        <w:tc>
          <w:tcPr>
            <w:tcW w:w="3340" w:type="dxa"/>
            <w:vAlign w:val="bottom"/>
            <w:shd w:val="clear" w:color="auto" w:fill="CCEEFF"/>
          </w:tcPr>
          <w:p>
            <w:pPr>
              <w:spacing w:after="0"/>
              <w:rPr>
                <w:sz w:val="19"/>
                <w:szCs w:val="19"/>
                <w:color w:val="auto"/>
              </w:rPr>
            </w:pP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Marshalls of Richfield, MN., Inc.</w:t>
            </w:r>
          </w:p>
        </w:tc>
        <w:tc>
          <w:tcPr>
            <w:tcW w:w="39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Minnesota</w:t>
            </w:r>
          </w:p>
        </w:tc>
        <w:tc>
          <w:tcPr>
            <w:tcW w:w="3340" w:type="dxa"/>
            <w:vAlign w:val="bottom"/>
          </w:tcPr>
          <w:p>
            <w:pPr>
              <w:spacing w:after="0"/>
              <w:rPr>
                <w:sz w:val="19"/>
                <w:szCs w:val="19"/>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Newton Buying Company of CA, Inc.</w:t>
            </w:r>
          </w:p>
        </w:tc>
        <w:tc>
          <w:tcPr>
            <w:tcW w:w="396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6"/>
              </w:rPr>
              <w:t>Virginia</w:t>
            </w:r>
          </w:p>
        </w:tc>
        <w:tc>
          <w:tcPr>
            <w:tcW w:w="3340" w:type="dxa"/>
            <w:vAlign w:val="bottom"/>
            <w:shd w:val="clear" w:color="auto" w:fill="CCEEFF"/>
          </w:tcPr>
          <w:p>
            <w:pPr>
              <w:jc w:val="center"/>
              <w:ind w:right="330"/>
              <w:spacing w:after="0"/>
              <w:rPr>
                <w:sz w:val="20"/>
                <w:szCs w:val="20"/>
                <w:color w:val="auto"/>
              </w:rPr>
            </w:pPr>
            <w:r>
              <w:rPr>
                <w:rFonts w:ascii="Times New Roman" w:cs="Times New Roman" w:eastAsia="Times New Roman" w:hAnsi="Times New Roman"/>
                <w:sz w:val="18"/>
                <w:szCs w:val="18"/>
                <w:color w:val="auto"/>
              </w:rPr>
              <w:t>Marshalls</w:t>
            </w: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Marshalls Atlanta Merchants, Inc.</w:t>
            </w:r>
          </w:p>
        </w:tc>
        <w:tc>
          <w:tcPr>
            <w:tcW w:w="39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Georgia</w:t>
            </w:r>
          </w:p>
        </w:tc>
        <w:tc>
          <w:tcPr>
            <w:tcW w:w="3340" w:type="dxa"/>
            <w:vAlign w:val="bottom"/>
          </w:tcPr>
          <w:p>
            <w:pPr>
              <w:spacing w:after="0"/>
              <w:rPr>
                <w:sz w:val="19"/>
                <w:szCs w:val="19"/>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Marshalls Bridgewater Merchants, Inc.</w:t>
            </w:r>
          </w:p>
        </w:tc>
        <w:tc>
          <w:tcPr>
            <w:tcW w:w="396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6"/>
              </w:rPr>
              <w:t>Virginia</w:t>
            </w:r>
          </w:p>
        </w:tc>
        <w:tc>
          <w:tcPr>
            <w:tcW w:w="3340" w:type="dxa"/>
            <w:vAlign w:val="bottom"/>
            <w:shd w:val="clear" w:color="auto" w:fill="CCEEFF"/>
          </w:tcPr>
          <w:p>
            <w:pPr>
              <w:spacing w:after="0"/>
              <w:rPr>
                <w:sz w:val="19"/>
                <w:szCs w:val="19"/>
                <w:color w:val="auto"/>
              </w:rPr>
            </w:pP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Marshalls of Nevada, Inc.</w:t>
            </w:r>
          </w:p>
        </w:tc>
        <w:tc>
          <w:tcPr>
            <w:tcW w:w="39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Nevada</w:t>
            </w:r>
          </w:p>
        </w:tc>
        <w:tc>
          <w:tcPr>
            <w:tcW w:w="3340" w:type="dxa"/>
            <w:vAlign w:val="bottom"/>
          </w:tcPr>
          <w:p>
            <w:pPr>
              <w:spacing w:after="0"/>
              <w:rPr>
                <w:sz w:val="19"/>
                <w:szCs w:val="19"/>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Marshalls Woburn Merchants, Inc.</w:t>
            </w:r>
          </w:p>
        </w:tc>
        <w:tc>
          <w:tcPr>
            <w:tcW w:w="396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9"/>
              </w:rPr>
              <w:t>Massachusetts</w:t>
            </w:r>
          </w:p>
        </w:tc>
        <w:tc>
          <w:tcPr>
            <w:tcW w:w="3340" w:type="dxa"/>
            <w:vAlign w:val="bottom"/>
            <w:shd w:val="clear" w:color="auto" w:fill="CCEEFF"/>
          </w:tcPr>
          <w:p>
            <w:pPr>
              <w:spacing w:after="0"/>
              <w:rPr>
                <w:sz w:val="19"/>
                <w:szCs w:val="19"/>
                <w:color w:val="auto"/>
              </w:rPr>
            </w:pP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Marshalls El Paso Merchants, LLC</w:t>
            </w:r>
          </w:p>
        </w:tc>
        <w:tc>
          <w:tcPr>
            <w:tcW w:w="39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8"/>
              </w:rPr>
              <w:t>Delaware</w:t>
            </w:r>
          </w:p>
        </w:tc>
        <w:tc>
          <w:tcPr>
            <w:tcW w:w="3340" w:type="dxa"/>
            <w:vAlign w:val="bottom"/>
          </w:tcPr>
          <w:p>
            <w:pPr>
              <w:spacing w:after="0"/>
              <w:rPr>
                <w:sz w:val="19"/>
                <w:szCs w:val="19"/>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Marmaxx Operating Corp.</w:t>
            </w:r>
          </w:p>
        </w:tc>
        <w:tc>
          <w:tcPr>
            <w:tcW w:w="396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6"/>
              </w:rPr>
              <w:t>Virginia</w:t>
            </w:r>
          </w:p>
        </w:tc>
        <w:tc>
          <w:tcPr>
            <w:tcW w:w="3340" w:type="dxa"/>
            <w:vAlign w:val="bottom"/>
            <w:shd w:val="clear" w:color="auto" w:fill="CCEEFF"/>
          </w:tcPr>
          <w:p>
            <w:pPr>
              <w:jc w:val="center"/>
              <w:ind w:right="330"/>
              <w:spacing w:after="0"/>
              <w:rPr>
                <w:sz w:val="20"/>
                <w:szCs w:val="20"/>
                <w:color w:val="auto"/>
              </w:rPr>
            </w:pPr>
            <w:r>
              <w:rPr>
                <w:rFonts w:ascii="Times New Roman" w:cs="Times New Roman" w:eastAsia="Times New Roman" w:hAnsi="Times New Roman"/>
                <w:sz w:val="18"/>
                <w:szCs w:val="18"/>
                <w:color w:val="auto"/>
                <w:w w:val="99"/>
              </w:rPr>
              <w:t>T.J.Maxx, Marshalls</w:t>
            </w: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HomeGoods, LLC</w:t>
            </w:r>
          </w:p>
        </w:tc>
        <w:tc>
          <w:tcPr>
            <w:tcW w:w="39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8"/>
              </w:rPr>
              <w:t>Delaware</w:t>
            </w:r>
          </w:p>
        </w:tc>
        <w:tc>
          <w:tcPr>
            <w:tcW w:w="334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HomeGoods, Homesense</w:t>
            </w: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H.G. AZ Merchants, LLC</w:t>
            </w:r>
          </w:p>
        </w:tc>
        <w:tc>
          <w:tcPr>
            <w:tcW w:w="396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9"/>
              </w:rPr>
              <w:t>Arizona</w:t>
            </w:r>
          </w:p>
        </w:tc>
        <w:tc>
          <w:tcPr>
            <w:tcW w:w="3340" w:type="dxa"/>
            <w:vAlign w:val="bottom"/>
            <w:shd w:val="clear" w:color="auto" w:fill="CCEEFF"/>
          </w:tcPr>
          <w:p>
            <w:pPr>
              <w:spacing w:after="0"/>
              <w:rPr>
                <w:sz w:val="19"/>
                <w:szCs w:val="19"/>
                <w:color w:val="auto"/>
              </w:rPr>
            </w:pP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H.G. Conn. Merchants, LLC</w:t>
            </w:r>
          </w:p>
        </w:tc>
        <w:tc>
          <w:tcPr>
            <w:tcW w:w="39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Connecticut</w:t>
            </w:r>
          </w:p>
        </w:tc>
        <w:tc>
          <w:tcPr>
            <w:tcW w:w="3340" w:type="dxa"/>
            <w:vAlign w:val="bottom"/>
          </w:tcPr>
          <w:p>
            <w:pPr>
              <w:spacing w:after="0"/>
              <w:rPr>
                <w:sz w:val="19"/>
                <w:szCs w:val="19"/>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H.G. Georgia Merchants, LLC</w:t>
            </w:r>
          </w:p>
        </w:tc>
        <w:tc>
          <w:tcPr>
            <w:tcW w:w="396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9"/>
              </w:rPr>
              <w:t>Georgia</w:t>
            </w:r>
          </w:p>
        </w:tc>
        <w:tc>
          <w:tcPr>
            <w:tcW w:w="3340" w:type="dxa"/>
            <w:vAlign w:val="bottom"/>
            <w:shd w:val="clear" w:color="auto" w:fill="CCEEFF"/>
          </w:tcPr>
          <w:p>
            <w:pPr>
              <w:spacing w:after="0"/>
              <w:rPr>
                <w:sz w:val="19"/>
                <w:szCs w:val="19"/>
                <w:color w:val="auto"/>
              </w:rPr>
            </w:pP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H.G. Indiana Distributors, LLC</w:t>
            </w:r>
          </w:p>
        </w:tc>
        <w:tc>
          <w:tcPr>
            <w:tcW w:w="39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Indiana</w:t>
            </w:r>
          </w:p>
        </w:tc>
        <w:tc>
          <w:tcPr>
            <w:tcW w:w="3340" w:type="dxa"/>
            <w:vAlign w:val="bottom"/>
          </w:tcPr>
          <w:p>
            <w:pPr>
              <w:spacing w:after="0"/>
              <w:rPr>
                <w:sz w:val="19"/>
                <w:szCs w:val="19"/>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HomeGoods Ohio Merchants LLC</w:t>
            </w:r>
          </w:p>
        </w:tc>
        <w:tc>
          <w:tcPr>
            <w:tcW w:w="396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8"/>
              </w:rPr>
              <w:t>Delaware</w:t>
            </w:r>
          </w:p>
        </w:tc>
        <w:tc>
          <w:tcPr>
            <w:tcW w:w="3340" w:type="dxa"/>
            <w:vAlign w:val="bottom"/>
            <w:shd w:val="clear" w:color="auto" w:fill="CCEEFF"/>
          </w:tcPr>
          <w:p>
            <w:pPr>
              <w:spacing w:after="0"/>
              <w:rPr>
                <w:sz w:val="19"/>
                <w:szCs w:val="19"/>
                <w:color w:val="auto"/>
              </w:rPr>
            </w:pP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HomeGoods Imports Corp.</w:t>
            </w:r>
          </w:p>
        </w:tc>
        <w:tc>
          <w:tcPr>
            <w:tcW w:w="39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8"/>
              </w:rPr>
              <w:t>Delaware</w:t>
            </w:r>
          </w:p>
        </w:tc>
        <w:tc>
          <w:tcPr>
            <w:tcW w:w="3340" w:type="dxa"/>
            <w:vAlign w:val="bottom"/>
          </w:tcPr>
          <w:p>
            <w:pPr>
              <w:spacing w:after="0"/>
              <w:rPr>
                <w:sz w:val="19"/>
                <w:szCs w:val="19"/>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HomeGoods Fort Worth Merchants, LLC</w:t>
            </w:r>
          </w:p>
        </w:tc>
        <w:tc>
          <w:tcPr>
            <w:tcW w:w="396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8"/>
              </w:rPr>
              <w:t>Delaware</w:t>
            </w:r>
          </w:p>
        </w:tc>
        <w:tc>
          <w:tcPr>
            <w:tcW w:w="3340" w:type="dxa"/>
            <w:vAlign w:val="bottom"/>
            <w:shd w:val="clear" w:color="auto" w:fill="CCEEFF"/>
          </w:tcPr>
          <w:p>
            <w:pPr>
              <w:spacing w:after="0"/>
              <w:rPr>
                <w:sz w:val="19"/>
                <w:szCs w:val="19"/>
                <w:color w:val="auto"/>
              </w:rPr>
            </w:pP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Sierra Trading Post, Inc.</w:t>
            </w:r>
          </w:p>
        </w:tc>
        <w:tc>
          <w:tcPr>
            <w:tcW w:w="39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Wyoming</w:t>
            </w:r>
          </w:p>
        </w:tc>
        <w:tc>
          <w:tcPr>
            <w:tcW w:w="334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Sierra</w:t>
            </w: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STP Retail, LLC</w:t>
            </w:r>
          </w:p>
        </w:tc>
        <w:tc>
          <w:tcPr>
            <w:tcW w:w="396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9"/>
              </w:rPr>
              <w:t>Wyoming</w:t>
            </w:r>
          </w:p>
        </w:tc>
        <w:tc>
          <w:tcPr>
            <w:tcW w:w="3340" w:type="dxa"/>
            <w:vAlign w:val="bottom"/>
            <w:shd w:val="clear" w:color="auto" w:fill="CCEEFF"/>
          </w:tcPr>
          <w:p>
            <w:pPr>
              <w:spacing w:after="0"/>
              <w:rPr>
                <w:sz w:val="19"/>
                <w:szCs w:val="19"/>
                <w:color w:val="auto"/>
              </w:rPr>
            </w:pP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Concord Buying Group, LLC</w:t>
            </w:r>
          </w:p>
        </w:tc>
        <w:tc>
          <w:tcPr>
            <w:tcW w:w="39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8"/>
              </w:rPr>
              <w:t>New Hampshire</w:t>
            </w:r>
          </w:p>
        </w:tc>
        <w:tc>
          <w:tcPr>
            <w:tcW w:w="3340" w:type="dxa"/>
            <w:vAlign w:val="bottom"/>
          </w:tcPr>
          <w:p>
            <w:pPr>
              <w:spacing w:after="0"/>
              <w:rPr>
                <w:sz w:val="19"/>
                <w:szCs w:val="19"/>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NBC Apparel, Inc.</w:t>
            </w:r>
          </w:p>
        </w:tc>
        <w:tc>
          <w:tcPr>
            <w:tcW w:w="396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8"/>
              </w:rPr>
              <w:t>Delaware</w:t>
            </w:r>
          </w:p>
        </w:tc>
        <w:tc>
          <w:tcPr>
            <w:tcW w:w="334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7"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00" w:type="dxa"/>
            <w:vAlign w:val="bottom"/>
          </w:tcPr>
          <w:p>
            <w:pPr>
              <w:spacing w:after="0"/>
              <w:rPr>
                <w:sz w:val="18"/>
                <w:szCs w:val="18"/>
                <w:color w:val="auto"/>
              </w:rPr>
            </w:pPr>
          </w:p>
        </w:tc>
        <w:tc>
          <w:tcPr>
            <w:tcW w:w="366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State or Jurisdiction</w:t>
            </w:r>
          </w:p>
        </w:tc>
        <w:tc>
          <w:tcPr>
            <w:tcW w:w="34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Name Under Which Does</w:t>
            </w:r>
          </w:p>
        </w:tc>
      </w:tr>
      <w:tr>
        <w:trPr>
          <w:trHeight w:val="265"/>
        </w:trPr>
        <w:tc>
          <w:tcPr>
            <w:tcW w:w="4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Subsidiaries</w:t>
            </w:r>
          </w:p>
        </w:tc>
        <w:tc>
          <w:tcPr>
            <w:tcW w:w="3660" w:type="dxa"/>
            <w:vAlign w:val="bottom"/>
            <w:tcBorders>
              <w:bottom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rPr>
              <w:t>of Incorporation or Organization</w:t>
            </w:r>
          </w:p>
        </w:tc>
        <w:tc>
          <w:tcPr>
            <w:tcW w:w="34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Business (if Different)</w:t>
            </w:r>
          </w:p>
        </w:tc>
      </w:tr>
      <w:tr>
        <w:trPr>
          <w:trHeight w:val="223"/>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NBC Apparel, LLC</w:t>
            </w:r>
          </w:p>
        </w:tc>
        <w:tc>
          <w:tcPr>
            <w:tcW w:w="36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8"/>
              </w:rPr>
              <w:t>Delaware</w:t>
            </w:r>
          </w:p>
        </w:tc>
        <w:tc>
          <w:tcPr>
            <w:tcW w:w="3480" w:type="dxa"/>
            <w:vAlign w:val="bottom"/>
          </w:tcPr>
          <w:p>
            <w:pPr>
              <w:spacing w:after="0"/>
              <w:rPr>
                <w:sz w:val="19"/>
                <w:szCs w:val="19"/>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NBC Attire Inc.</w:t>
            </w:r>
          </w:p>
        </w:tc>
        <w:tc>
          <w:tcPr>
            <w:tcW w:w="366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9"/>
              </w:rPr>
              <w:t>Massachusetts</w:t>
            </w:r>
          </w:p>
        </w:tc>
        <w:tc>
          <w:tcPr>
            <w:tcW w:w="3480" w:type="dxa"/>
            <w:vAlign w:val="bottom"/>
            <w:shd w:val="clear" w:color="auto" w:fill="CCEEFF"/>
          </w:tcPr>
          <w:p>
            <w:pPr>
              <w:spacing w:after="0"/>
              <w:rPr>
                <w:sz w:val="19"/>
                <w:szCs w:val="19"/>
                <w:color w:val="auto"/>
              </w:rPr>
            </w:pP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NBC GP, LLC</w:t>
            </w:r>
          </w:p>
        </w:tc>
        <w:tc>
          <w:tcPr>
            <w:tcW w:w="36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8"/>
              </w:rPr>
              <w:t>Delaware</w:t>
            </w:r>
          </w:p>
        </w:tc>
        <w:tc>
          <w:tcPr>
            <w:tcW w:w="3480" w:type="dxa"/>
            <w:vAlign w:val="bottom"/>
          </w:tcPr>
          <w:p>
            <w:pPr>
              <w:spacing w:after="0"/>
              <w:rPr>
                <w:sz w:val="19"/>
                <w:szCs w:val="19"/>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NBC Holding, Inc.</w:t>
            </w:r>
          </w:p>
        </w:tc>
        <w:tc>
          <w:tcPr>
            <w:tcW w:w="366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8"/>
              </w:rPr>
              <w:t>Delaware</w:t>
            </w:r>
          </w:p>
        </w:tc>
        <w:tc>
          <w:tcPr>
            <w:tcW w:w="3480" w:type="dxa"/>
            <w:vAlign w:val="bottom"/>
            <w:shd w:val="clear" w:color="auto" w:fill="CCEEFF"/>
          </w:tcPr>
          <w:p>
            <w:pPr>
              <w:spacing w:after="0"/>
              <w:rPr>
                <w:sz w:val="19"/>
                <w:szCs w:val="19"/>
                <w:color w:val="auto"/>
              </w:rPr>
            </w:pP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NBC Manager, LLC</w:t>
            </w:r>
          </w:p>
        </w:tc>
        <w:tc>
          <w:tcPr>
            <w:tcW w:w="36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8"/>
              </w:rPr>
              <w:t>Delaware</w:t>
            </w:r>
          </w:p>
        </w:tc>
        <w:tc>
          <w:tcPr>
            <w:tcW w:w="3480" w:type="dxa"/>
            <w:vAlign w:val="bottom"/>
          </w:tcPr>
          <w:p>
            <w:pPr>
              <w:spacing w:after="0"/>
              <w:rPr>
                <w:sz w:val="19"/>
                <w:szCs w:val="19"/>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NBC Operating, LP</w:t>
            </w:r>
          </w:p>
        </w:tc>
        <w:tc>
          <w:tcPr>
            <w:tcW w:w="366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8"/>
              </w:rPr>
              <w:t>Delaware</w:t>
            </w:r>
          </w:p>
        </w:tc>
        <w:tc>
          <w:tcPr>
            <w:tcW w:w="3480" w:type="dxa"/>
            <w:vAlign w:val="bottom"/>
            <w:shd w:val="clear" w:color="auto" w:fill="CCEEFF"/>
          </w:tcPr>
          <w:p>
            <w:pPr>
              <w:spacing w:after="0"/>
              <w:rPr>
                <w:sz w:val="19"/>
                <w:szCs w:val="19"/>
                <w:color w:val="auto"/>
              </w:rPr>
            </w:pP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NBC Trading, Inc.</w:t>
            </w:r>
          </w:p>
        </w:tc>
        <w:tc>
          <w:tcPr>
            <w:tcW w:w="36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8"/>
              </w:rPr>
              <w:t>Delaware</w:t>
            </w:r>
          </w:p>
        </w:tc>
        <w:tc>
          <w:tcPr>
            <w:tcW w:w="3480" w:type="dxa"/>
            <w:vAlign w:val="bottom"/>
          </w:tcPr>
          <w:p>
            <w:pPr>
              <w:spacing w:after="0"/>
              <w:rPr>
                <w:sz w:val="19"/>
                <w:szCs w:val="19"/>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NBC Trust</w:t>
            </w:r>
          </w:p>
        </w:tc>
        <w:tc>
          <w:tcPr>
            <w:tcW w:w="366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9"/>
              </w:rPr>
              <w:t>Massachusetts</w:t>
            </w:r>
          </w:p>
        </w:tc>
        <w:tc>
          <w:tcPr>
            <w:tcW w:w="3480" w:type="dxa"/>
            <w:vAlign w:val="bottom"/>
            <w:shd w:val="clear" w:color="auto" w:fill="CCEEFF"/>
          </w:tcPr>
          <w:p>
            <w:pPr>
              <w:spacing w:after="0"/>
              <w:rPr>
                <w:sz w:val="19"/>
                <w:szCs w:val="19"/>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Newton Buying Corp.</w:t>
            </w:r>
          </w:p>
        </w:tc>
        <w:tc>
          <w:tcPr>
            <w:tcW w:w="36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8"/>
              </w:rPr>
              <w:t>Delaware</w:t>
            </w:r>
          </w:p>
        </w:tc>
        <w:tc>
          <w:tcPr>
            <w:tcW w:w="3480" w:type="dxa"/>
            <w:vAlign w:val="bottom"/>
          </w:tcPr>
          <w:p>
            <w:pPr>
              <w:spacing w:after="0"/>
              <w:rPr>
                <w:sz w:val="19"/>
                <w:szCs w:val="19"/>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Newton Buying Imports, Inc.</w:t>
            </w:r>
          </w:p>
        </w:tc>
        <w:tc>
          <w:tcPr>
            <w:tcW w:w="366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8"/>
              </w:rPr>
              <w:t>Delaware</w:t>
            </w:r>
          </w:p>
        </w:tc>
        <w:tc>
          <w:tcPr>
            <w:tcW w:w="3480" w:type="dxa"/>
            <w:vAlign w:val="bottom"/>
            <w:shd w:val="clear" w:color="auto" w:fill="CCEEFF"/>
          </w:tcPr>
          <w:p>
            <w:pPr>
              <w:spacing w:after="0"/>
              <w:rPr>
                <w:sz w:val="19"/>
                <w:szCs w:val="19"/>
                <w:color w:val="auto"/>
              </w:rPr>
            </w:pP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Strathmex Corp.</w:t>
            </w:r>
          </w:p>
        </w:tc>
        <w:tc>
          <w:tcPr>
            <w:tcW w:w="36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8"/>
              </w:rPr>
              <w:t>Delaware</w:t>
            </w:r>
          </w:p>
        </w:tc>
        <w:tc>
          <w:tcPr>
            <w:tcW w:w="3480" w:type="dxa"/>
            <w:vAlign w:val="bottom"/>
          </w:tcPr>
          <w:p>
            <w:pPr>
              <w:spacing w:after="0"/>
              <w:rPr>
                <w:sz w:val="19"/>
                <w:szCs w:val="19"/>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TJX Incentive Sales, Inc.</w:t>
            </w:r>
          </w:p>
        </w:tc>
        <w:tc>
          <w:tcPr>
            <w:tcW w:w="366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6"/>
              </w:rPr>
              <w:t>Virginia</w:t>
            </w:r>
          </w:p>
        </w:tc>
        <w:tc>
          <w:tcPr>
            <w:tcW w:w="3480" w:type="dxa"/>
            <w:vAlign w:val="bottom"/>
            <w:shd w:val="clear" w:color="auto" w:fill="CCEEFF"/>
          </w:tcPr>
          <w:p>
            <w:pPr>
              <w:spacing w:after="0"/>
              <w:rPr>
                <w:sz w:val="19"/>
                <w:szCs w:val="19"/>
                <w:color w:val="auto"/>
              </w:rPr>
            </w:pP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OCP Investments, Inc.</w:t>
            </w:r>
          </w:p>
        </w:tc>
        <w:tc>
          <w:tcPr>
            <w:tcW w:w="36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8"/>
              </w:rPr>
              <w:t>Delaware</w:t>
            </w:r>
          </w:p>
        </w:tc>
        <w:tc>
          <w:tcPr>
            <w:tcW w:w="3480" w:type="dxa"/>
            <w:vAlign w:val="bottom"/>
          </w:tcPr>
          <w:p>
            <w:pPr>
              <w:spacing w:after="0"/>
              <w:rPr>
                <w:sz w:val="19"/>
                <w:szCs w:val="19"/>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TJX Australia Holding Company Pty Limited</w:t>
            </w:r>
          </w:p>
        </w:tc>
        <w:tc>
          <w:tcPr>
            <w:tcW w:w="366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Australia</w:t>
            </w:r>
          </w:p>
        </w:tc>
        <w:tc>
          <w:tcPr>
            <w:tcW w:w="3480" w:type="dxa"/>
            <w:vAlign w:val="bottom"/>
            <w:shd w:val="clear" w:color="auto" w:fill="CCEEFF"/>
          </w:tcPr>
          <w:p>
            <w:pPr>
              <w:spacing w:after="0"/>
              <w:rPr>
                <w:sz w:val="19"/>
                <w:szCs w:val="19"/>
                <w:color w:val="auto"/>
              </w:rPr>
            </w:pP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TJX Australia Merchants Pty Limited</w:t>
            </w:r>
          </w:p>
        </w:tc>
        <w:tc>
          <w:tcPr>
            <w:tcW w:w="36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Australia</w:t>
            </w:r>
          </w:p>
        </w:tc>
        <w:tc>
          <w:tcPr>
            <w:tcW w:w="3480" w:type="dxa"/>
            <w:vAlign w:val="bottom"/>
          </w:tcPr>
          <w:p>
            <w:pPr>
              <w:spacing w:after="0"/>
              <w:rPr>
                <w:sz w:val="19"/>
                <w:szCs w:val="19"/>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TJX Australia Pty Limited</w:t>
            </w:r>
          </w:p>
        </w:tc>
        <w:tc>
          <w:tcPr>
            <w:tcW w:w="366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Australia</w:t>
            </w:r>
          </w:p>
        </w:tc>
        <w:tc>
          <w:tcPr>
            <w:tcW w:w="3480" w:type="dxa"/>
            <w:vAlign w:val="bottom"/>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w w:val="98"/>
              </w:rPr>
              <w:t>T.K. Maxx</w:t>
            </w: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TJX Austria Holding GmbH</w:t>
            </w:r>
          </w:p>
        </w:tc>
        <w:tc>
          <w:tcPr>
            <w:tcW w:w="36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8"/>
              </w:rPr>
              <w:t>Austria</w:t>
            </w:r>
          </w:p>
        </w:tc>
        <w:tc>
          <w:tcPr>
            <w:tcW w:w="3480" w:type="dxa"/>
            <w:vAlign w:val="bottom"/>
          </w:tcPr>
          <w:p>
            <w:pPr>
              <w:spacing w:after="0"/>
              <w:rPr>
                <w:sz w:val="19"/>
                <w:szCs w:val="19"/>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TJX Oesterreich Ltd. &amp; Co. KG</w:t>
            </w:r>
          </w:p>
        </w:tc>
        <w:tc>
          <w:tcPr>
            <w:tcW w:w="366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8"/>
              </w:rPr>
              <w:t>Austria</w:t>
            </w:r>
          </w:p>
        </w:tc>
        <w:tc>
          <w:tcPr>
            <w:tcW w:w="3480" w:type="dxa"/>
            <w:vAlign w:val="bottom"/>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w w:val="98"/>
              </w:rPr>
              <w:t>T.K. Maxx</w:t>
            </w: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NBC Atlantic Holding Ltd</w:t>
            </w:r>
          </w:p>
        </w:tc>
        <w:tc>
          <w:tcPr>
            <w:tcW w:w="36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Bermuda</w:t>
            </w:r>
          </w:p>
        </w:tc>
        <w:tc>
          <w:tcPr>
            <w:tcW w:w="3480" w:type="dxa"/>
            <w:vAlign w:val="bottom"/>
          </w:tcPr>
          <w:p>
            <w:pPr>
              <w:spacing w:after="0"/>
              <w:rPr>
                <w:sz w:val="19"/>
                <w:szCs w:val="19"/>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NBC Atlantic Ltd</w:t>
            </w:r>
          </w:p>
        </w:tc>
        <w:tc>
          <w:tcPr>
            <w:tcW w:w="366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Bermuda</w:t>
            </w:r>
          </w:p>
        </w:tc>
        <w:tc>
          <w:tcPr>
            <w:tcW w:w="3480" w:type="dxa"/>
            <w:vAlign w:val="bottom"/>
            <w:shd w:val="clear" w:color="auto" w:fill="CCEEFF"/>
          </w:tcPr>
          <w:p>
            <w:pPr>
              <w:spacing w:after="0"/>
              <w:rPr>
                <w:sz w:val="19"/>
                <w:szCs w:val="19"/>
                <w:color w:val="auto"/>
              </w:rPr>
            </w:pP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WMI-1 Holding Company</w:t>
            </w:r>
          </w:p>
        </w:tc>
        <w:tc>
          <w:tcPr>
            <w:tcW w:w="36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Nova Scotia, Canada</w:t>
            </w:r>
          </w:p>
        </w:tc>
        <w:tc>
          <w:tcPr>
            <w:tcW w:w="3480" w:type="dxa"/>
            <w:vAlign w:val="bottom"/>
          </w:tcPr>
          <w:p>
            <w:pPr>
              <w:spacing w:after="0"/>
              <w:rPr>
                <w:sz w:val="19"/>
                <w:szCs w:val="19"/>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WMI-99 Holding Company</w:t>
            </w:r>
          </w:p>
        </w:tc>
        <w:tc>
          <w:tcPr>
            <w:tcW w:w="366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rPr>
              <w:t>Nova Scotia, Canada</w:t>
            </w:r>
          </w:p>
        </w:tc>
        <w:tc>
          <w:tcPr>
            <w:tcW w:w="3480" w:type="dxa"/>
            <w:vAlign w:val="bottom"/>
            <w:shd w:val="clear" w:color="auto" w:fill="CCEEFF"/>
          </w:tcPr>
          <w:p>
            <w:pPr>
              <w:spacing w:after="0"/>
              <w:rPr>
                <w:sz w:val="19"/>
                <w:szCs w:val="19"/>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Winners Merchants International L.P.</w:t>
            </w:r>
          </w:p>
        </w:tc>
        <w:tc>
          <w:tcPr>
            <w:tcW w:w="36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Ontario, Canada</w:t>
            </w:r>
          </w:p>
        </w:tc>
        <w:tc>
          <w:tcPr>
            <w:tcW w:w="34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Winners, HomeSense &amp; Marshalls</w:t>
            </w: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T.K. Maxx Holding GmbH</w:t>
            </w:r>
          </w:p>
        </w:tc>
        <w:tc>
          <w:tcPr>
            <w:tcW w:w="366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rPr>
              <w:t>Germany</w:t>
            </w:r>
          </w:p>
        </w:tc>
        <w:tc>
          <w:tcPr>
            <w:tcW w:w="3480" w:type="dxa"/>
            <w:vAlign w:val="bottom"/>
            <w:shd w:val="clear" w:color="auto" w:fill="CCEEFF"/>
          </w:tcPr>
          <w:p>
            <w:pPr>
              <w:spacing w:after="0"/>
              <w:rPr>
                <w:sz w:val="19"/>
                <w:szCs w:val="19"/>
                <w:color w:val="auto"/>
              </w:rPr>
            </w:pP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T.K. Maxx Management GmbH</w:t>
            </w:r>
          </w:p>
        </w:tc>
        <w:tc>
          <w:tcPr>
            <w:tcW w:w="36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Germany</w:t>
            </w:r>
          </w:p>
        </w:tc>
        <w:tc>
          <w:tcPr>
            <w:tcW w:w="3480" w:type="dxa"/>
            <w:vAlign w:val="bottom"/>
          </w:tcPr>
          <w:p>
            <w:pPr>
              <w:spacing w:after="0"/>
              <w:rPr>
                <w:sz w:val="19"/>
                <w:szCs w:val="19"/>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TJX Deutschland Ltd &amp; Co. KG</w:t>
            </w:r>
          </w:p>
        </w:tc>
        <w:tc>
          <w:tcPr>
            <w:tcW w:w="366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rPr>
              <w:t>Germany</w:t>
            </w:r>
          </w:p>
        </w:tc>
        <w:tc>
          <w:tcPr>
            <w:tcW w:w="3480" w:type="dxa"/>
            <w:vAlign w:val="bottom"/>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w w:val="98"/>
              </w:rPr>
              <w:t>T.K. Maxx</w:t>
            </w: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TJX Distribution Ltd &amp; Co. KG</w:t>
            </w:r>
          </w:p>
        </w:tc>
        <w:tc>
          <w:tcPr>
            <w:tcW w:w="36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Germany</w:t>
            </w:r>
          </w:p>
        </w:tc>
        <w:tc>
          <w:tcPr>
            <w:tcW w:w="3480" w:type="dxa"/>
            <w:vAlign w:val="bottom"/>
          </w:tcPr>
          <w:p>
            <w:pPr>
              <w:spacing w:after="0"/>
              <w:rPr>
                <w:sz w:val="19"/>
                <w:szCs w:val="19"/>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NBC Hong Kong Merchants Limited</w:t>
            </w:r>
          </w:p>
        </w:tc>
        <w:tc>
          <w:tcPr>
            <w:tcW w:w="366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9"/>
              </w:rPr>
              <w:t>Hong Kong</w:t>
            </w:r>
          </w:p>
        </w:tc>
        <w:tc>
          <w:tcPr>
            <w:tcW w:w="3480" w:type="dxa"/>
            <w:vAlign w:val="bottom"/>
            <w:shd w:val="clear" w:color="auto" w:fill="CCEEFF"/>
          </w:tcPr>
          <w:p>
            <w:pPr>
              <w:spacing w:after="0"/>
              <w:rPr>
                <w:sz w:val="19"/>
                <w:szCs w:val="19"/>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NBC Fashion India Private Limited</w:t>
            </w:r>
          </w:p>
        </w:tc>
        <w:tc>
          <w:tcPr>
            <w:tcW w:w="36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7"/>
              </w:rPr>
              <w:t>India</w:t>
            </w:r>
          </w:p>
        </w:tc>
        <w:tc>
          <w:tcPr>
            <w:tcW w:w="3480" w:type="dxa"/>
            <w:vAlign w:val="bottom"/>
          </w:tcPr>
          <w:p>
            <w:pPr>
              <w:spacing w:after="0"/>
              <w:rPr>
                <w:sz w:val="19"/>
                <w:szCs w:val="19"/>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TJX Global Capability Center Private Limited</w:t>
            </w:r>
          </w:p>
        </w:tc>
        <w:tc>
          <w:tcPr>
            <w:tcW w:w="366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7"/>
              </w:rPr>
              <w:t>India</w:t>
            </w:r>
          </w:p>
        </w:tc>
        <w:tc>
          <w:tcPr>
            <w:tcW w:w="3480" w:type="dxa"/>
            <w:vAlign w:val="bottom"/>
            <w:shd w:val="clear" w:color="auto" w:fill="CCEEFF"/>
          </w:tcPr>
          <w:p>
            <w:pPr>
              <w:spacing w:after="0"/>
              <w:rPr>
                <w:sz w:val="19"/>
                <w:szCs w:val="19"/>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TJX Ireland Unlimited Company</w:t>
            </w:r>
          </w:p>
        </w:tc>
        <w:tc>
          <w:tcPr>
            <w:tcW w:w="36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Ireland</w:t>
            </w:r>
          </w:p>
        </w:tc>
        <w:tc>
          <w:tcPr>
            <w:tcW w:w="34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8"/>
              </w:rPr>
              <w:t>T.K. Maxx, HomeSense</w:t>
            </w: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TJX Germany Limited</w:t>
            </w:r>
          </w:p>
        </w:tc>
        <w:tc>
          <w:tcPr>
            <w:tcW w:w="366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rPr>
              <w:t>Ireland</w:t>
            </w:r>
          </w:p>
        </w:tc>
        <w:tc>
          <w:tcPr>
            <w:tcW w:w="3480" w:type="dxa"/>
            <w:vAlign w:val="bottom"/>
            <w:shd w:val="clear" w:color="auto" w:fill="CCEEFF"/>
          </w:tcPr>
          <w:p>
            <w:pPr>
              <w:spacing w:after="0"/>
              <w:rPr>
                <w:sz w:val="19"/>
                <w:szCs w:val="19"/>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TJX Italy Merchants S.r.l.</w:t>
            </w:r>
          </w:p>
        </w:tc>
        <w:tc>
          <w:tcPr>
            <w:tcW w:w="36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6"/>
              </w:rPr>
              <w:t>Italy</w:t>
            </w:r>
          </w:p>
        </w:tc>
        <w:tc>
          <w:tcPr>
            <w:tcW w:w="3480" w:type="dxa"/>
            <w:vAlign w:val="bottom"/>
          </w:tcPr>
          <w:p>
            <w:pPr>
              <w:spacing w:after="0"/>
              <w:rPr>
                <w:sz w:val="19"/>
                <w:szCs w:val="19"/>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TJX Nederland B.V.</w:t>
            </w:r>
          </w:p>
        </w:tc>
        <w:tc>
          <w:tcPr>
            <w:tcW w:w="366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rPr>
              <w:t>Netherlands</w:t>
            </w:r>
          </w:p>
        </w:tc>
        <w:tc>
          <w:tcPr>
            <w:tcW w:w="3480" w:type="dxa"/>
            <w:vAlign w:val="bottom"/>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w w:val="98"/>
              </w:rPr>
              <w:t>T.K. Maxx</w:t>
            </w: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TJX European Distribution Sp. Z o.o</w:t>
            </w:r>
          </w:p>
        </w:tc>
        <w:tc>
          <w:tcPr>
            <w:tcW w:w="36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Poland</w:t>
            </w:r>
          </w:p>
        </w:tc>
        <w:tc>
          <w:tcPr>
            <w:tcW w:w="3480" w:type="dxa"/>
            <w:vAlign w:val="bottom"/>
          </w:tcPr>
          <w:p>
            <w:pPr>
              <w:spacing w:after="0"/>
              <w:rPr>
                <w:sz w:val="19"/>
                <w:szCs w:val="19"/>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TJX Poland Sp. Z o.o</w:t>
            </w:r>
          </w:p>
        </w:tc>
        <w:tc>
          <w:tcPr>
            <w:tcW w:w="366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Poland</w:t>
            </w:r>
          </w:p>
        </w:tc>
        <w:tc>
          <w:tcPr>
            <w:tcW w:w="3480" w:type="dxa"/>
            <w:vAlign w:val="bottom"/>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w w:val="98"/>
              </w:rPr>
              <w:t>T.K. Maxx</w:t>
            </w: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York Department Stores de Puerto</w:t>
            </w:r>
          </w:p>
        </w:tc>
        <w:tc>
          <w:tcPr>
            <w:tcW w:w="36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Puerto Rico</w:t>
            </w:r>
          </w:p>
        </w:tc>
        <w:tc>
          <w:tcPr>
            <w:tcW w:w="34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T.J. Maxx, Marshalls &amp;</w:t>
            </w:r>
          </w:p>
        </w:tc>
      </w:tr>
      <w:tr>
        <w:trPr>
          <w:trHeight w:val="229"/>
        </w:trPr>
        <w:tc>
          <w:tcPr>
            <w:tcW w:w="4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Rico, Inc.</w:t>
            </w:r>
          </w:p>
        </w:tc>
        <w:tc>
          <w:tcPr>
            <w:tcW w:w="3660" w:type="dxa"/>
            <w:vAlign w:val="bottom"/>
            <w:shd w:val="clear" w:color="auto" w:fill="CCEEFF"/>
          </w:tcPr>
          <w:p>
            <w:pPr>
              <w:spacing w:after="0"/>
              <w:rPr>
                <w:sz w:val="19"/>
                <w:szCs w:val="19"/>
                <w:color w:val="auto"/>
              </w:rPr>
            </w:pPr>
          </w:p>
        </w:tc>
        <w:tc>
          <w:tcPr>
            <w:tcW w:w="348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rPr>
              <w:t>HomeGoods</w:t>
            </w: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NBC Europe Ltd</w:t>
            </w:r>
          </w:p>
        </w:tc>
        <w:tc>
          <w:tcPr>
            <w:tcW w:w="36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United Kingdom</w:t>
            </w:r>
          </w:p>
        </w:tc>
        <w:tc>
          <w:tcPr>
            <w:tcW w:w="3480" w:type="dxa"/>
            <w:vAlign w:val="bottom"/>
          </w:tcPr>
          <w:p>
            <w:pPr>
              <w:spacing w:after="0"/>
              <w:rPr>
                <w:sz w:val="19"/>
                <w:szCs w:val="19"/>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TJX Europe Buying Limited</w:t>
            </w:r>
          </w:p>
        </w:tc>
        <w:tc>
          <w:tcPr>
            <w:tcW w:w="366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rPr>
              <w:t>United Kingdom</w:t>
            </w:r>
          </w:p>
        </w:tc>
        <w:tc>
          <w:tcPr>
            <w:tcW w:w="3480" w:type="dxa"/>
            <w:vAlign w:val="bottom"/>
            <w:shd w:val="clear" w:color="auto" w:fill="CCEEFF"/>
          </w:tcPr>
          <w:p>
            <w:pPr>
              <w:spacing w:after="0"/>
              <w:rPr>
                <w:sz w:val="19"/>
                <w:szCs w:val="19"/>
                <w:color w:val="auto"/>
              </w:rPr>
            </w:pPr>
          </w:p>
        </w:tc>
      </w:tr>
      <w:tr>
        <w:trPr>
          <w:trHeight w:val="234"/>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TJX Europe Buying Group Limited</w:t>
            </w:r>
          </w:p>
        </w:tc>
        <w:tc>
          <w:tcPr>
            <w:tcW w:w="36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United Kingdom</w:t>
            </w:r>
          </w:p>
        </w:tc>
        <w:tc>
          <w:tcPr>
            <w:tcW w:w="34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17"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390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State or Jurisdiction</w:t>
            </w:r>
          </w:p>
        </w:tc>
        <w:tc>
          <w:tcPr>
            <w:tcW w:w="334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Name Under Which Does</w:t>
            </w:r>
          </w:p>
        </w:tc>
      </w:tr>
      <w:tr>
        <w:trPr>
          <w:trHeight w:val="265"/>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Subsidiaries</w:t>
            </w:r>
          </w:p>
        </w:tc>
        <w:tc>
          <w:tcPr>
            <w:tcW w:w="390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rPr>
              <w:t>of Incorporation or Organization</w:t>
            </w:r>
          </w:p>
        </w:tc>
        <w:tc>
          <w:tcPr>
            <w:tcW w:w="334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Business (if Different)</w:t>
            </w:r>
          </w:p>
        </w:tc>
      </w:tr>
      <w:tr>
        <w:trPr>
          <w:trHeight w:val="22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TJX Europe Buying (Deutschland) Limited</w:t>
            </w:r>
          </w:p>
        </w:tc>
        <w:tc>
          <w:tcPr>
            <w:tcW w:w="3900" w:type="dxa"/>
            <w:vAlign w:val="bottom"/>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rPr>
              <w:t>United Kingdom</w:t>
            </w:r>
          </w:p>
        </w:tc>
        <w:tc>
          <w:tcPr>
            <w:tcW w:w="3340" w:type="dxa"/>
            <w:vAlign w:val="bottom"/>
            <w:shd w:val="clear" w:color="auto" w:fill="CCEEFF"/>
          </w:tcPr>
          <w:p>
            <w:pPr>
              <w:spacing w:after="0"/>
              <w:rPr>
                <w:sz w:val="19"/>
                <w:szCs w:val="19"/>
                <w:color w:val="auto"/>
              </w:rPr>
            </w:pP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TJX Europe Buying (Polska) Limited</w:t>
            </w:r>
          </w:p>
        </w:tc>
        <w:tc>
          <w:tcPr>
            <w:tcW w:w="39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United Kingdom</w:t>
            </w:r>
          </w:p>
        </w:tc>
        <w:tc>
          <w:tcPr>
            <w:tcW w:w="3340" w:type="dxa"/>
            <w:vAlign w:val="bottom"/>
          </w:tcPr>
          <w:p>
            <w:pPr>
              <w:spacing w:after="0"/>
              <w:rPr>
                <w:sz w:val="19"/>
                <w:szCs w:val="19"/>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TJX Europe Limited</w:t>
            </w:r>
          </w:p>
        </w:tc>
        <w:tc>
          <w:tcPr>
            <w:tcW w:w="3900" w:type="dxa"/>
            <w:vAlign w:val="bottom"/>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rPr>
              <w:t>United Kingdom</w:t>
            </w:r>
          </w:p>
        </w:tc>
        <w:tc>
          <w:tcPr>
            <w:tcW w:w="3340" w:type="dxa"/>
            <w:vAlign w:val="bottom"/>
            <w:shd w:val="clear" w:color="auto" w:fill="CCEEFF"/>
          </w:tcPr>
          <w:p>
            <w:pPr>
              <w:spacing w:after="0"/>
              <w:rPr>
                <w:sz w:val="19"/>
                <w:szCs w:val="19"/>
                <w:color w:val="auto"/>
              </w:rPr>
            </w:pP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TJX Austria Management Limited</w:t>
            </w:r>
          </w:p>
        </w:tc>
        <w:tc>
          <w:tcPr>
            <w:tcW w:w="39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United Kingdom</w:t>
            </w:r>
          </w:p>
        </w:tc>
        <w:tc>
          <w:tcPr>
            <w:tcW w:w="3340" w:type="dxa"/>
            <w:vAlign w:val="bottom"/>
          </w:tcPr>
          <w:p>
            <w:pPr>
              <w:spacing w:after="0"/>
              <w:rPr>
                <w:sz w:val="19"/>
                <w:szCs w:val="19"/>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TJX UK</w:t>
            </w:r>
          </w:p>
        </w:tc>
        <w:tc>
          <w:tcPr>
            <w:tcW w:w="3900" w:type="dxa"/>
            <w:vAlign w:val="bottom"/>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rPr>
              <w:t>United Kingdom</w:t>
            </w:r>
          </w:p>
        </w:tc>
        <w:tc>
          <w:tcPr>
            <w:tcW w:w="3340" w:type="dxa"/>
            <w:vAlign w:val="bottom"/>
            <w:shd w:val="clear" w:color="auto" w:fill="CCEEFF"/>
          </w:tcPr>
          <w:p>
            <w:pPr>
              <w:jc w:val="center"/>
              <w:ind w:right="310"/>
              <w:spacing w:after="0"/>
              <w:rPr>
                <w:sz w:val="20"/>
                <w:szCs w:val="20"/>
                <w:color w:val="auto"/>
              </w:rPr>
            </w:pPr>
            <w:r>
              <w:rPr>
                <w:rFonts w:ascii="Times New Roman" w:cs="Times New Roman" w:eastAsia="Times New Roman" w:hAnsi="Times New Roman"/>
                <w:sz w:val="18"/>
                <w:szCs w:val="18"/>
                <w:color w:val="auto"/>
                <w:w w:val="99"/>
              </w:rPr>
              <w:t>T.K. Maxx, Homesense</w:t>
            </w: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TJX UK Property Limited</w:t>
            </w:r>
          </w:p>
        </w:tc>
        <w:tc>
          <w:tcPr>
            <w:tcW w:w="39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United Kingdom</w:t>
            </w:r>
          </w:p>
        </w:tc>
        <w:tc>
          <w:tcPr>
            <w:tcW w:w="3340" w:type="dxa"/>
            <w:vAlign w:val="bottom"/>
          </w:tcPr>
          <w:p>
            <w:pPr>
              <w:spacing w:after="0"/>
              <w:rPr>
                <w:sz w:val="19"/>
                <w:szCs w:val="19"/>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TK Maxx</w:t>
            </w:r>
          </w:p>
        </w:tc>
        <w:tc>
          <w:tcPr>
            <w:tcW w:w="3900" w:type="dxa"/>
            <w:vAlign w:val="bottom"/>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rPr>
              <w:t>United Kingdom</w:t>
            </w:r>
          </w:p>
        </w:tc>
        <w:tc>
          <w:tcPr>
            <w:tcW w:w="3340" w:type="dxa"/>
            <w:vAlign w:val="bottom"/>
            <w:shd w:val="clear" w:color="auto" w:fill="CCEEFF"/>
          </w:tcPr>
          <w:p>
            <w:pPr>
              <w:spacing w:after="0"/>
              <w:rPr>
                <w:sz w:val="19"/>
                <w:szCs w:val="19"/>
                <w:color w:val="auto"/>
              </w:rPr>
            </w:pPr>
          </w:p>
        </w:tc>
      </w:tr>
      <w:tr>
        <w:trPr>
          <w:trHeight w:val="229"/>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TJX Vietnam Company Limited</w:t>
            </w:r>
          </w:p>
        </w:tc>
        <w:tc>
          <w:tcPr>
            <w:tcW w:w="390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w w:val="96"/>
              </w:rPr>
              <w:t>Vietnam</w:t>
            </w:r>
          </w:p>
        </w:tc>
        <w:tc>
          <w:tcPr>
            <w:tcW w:w="3340" w:type="dxa"/>
            <w:vAlign w:val="bottom"/>
            <w:tcBorders>
              <w:bottom w:val="single" w:sz="8" w:color="auto"/>
            </w:tcBorders>
          </w:tcPr>
          <w:p>
            <w:pPr>
              <w:spacing w:after="0"/>
              <w:rPr>
                <w:sz w:val="19"/>
                <w:szCs w:val="19"/>
                <w:color w:val="auto"/>
              </w:rPr>
            </w:pPr>
          </w:p>
        </w:tc>
      </w:tr>
    </w:tbl>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4360" w:type="dxa"/>
            <w:vAlign w:val="bottom"/>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State or Jurisdiction</w:t>
            </w:r>
          </w:p>
        </w:tc>
        <w:tc>
          <w:tcPr>
            <w:tcW w:w="334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Name Under Which Does</w:t>
            </w:r>
          </w:p>
        </w:tc>
      </w:tr>
      <w:tr>
        <w:trPr>
          <w:trHeight w:val="265"/>
        </w:trPr>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Leasing Subsidiaries</w:t>
            </w:r>
          </w:p>
        </w:tc>
        <w:tc>
          <w:tcPr>
            <w:tcW w:w="4360" w:type="dxa"/>
            <w:vAlign w:val="bottom"/>
            <w:tcBorders>
              <w:bottom w:val="single" w:sz="8" w:color="auto"/>
            </w:tcBorders>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rPr>
              <w:t>of Incorporation or Organization</w:t>
            </w:r>
          </w:p>
        </w:tc>
        <w:tc>
          <w:tcPr>
            <w:tcW w:w="334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Business (if Different)</w:t>
            </w:r>
          </w:p>
        </w:tc>
      </w:tr>
      <w:tr>
        <w:trPr>
          <w:trHeight w:val="237"/>
        </w:trPr>
        <w:tc>
          <w:tcPr>
            <w:tcW w:w="3540" w:type="dxa"/>
            <w:vAlign w:val="bottom"/>
            <w:shd w:val="clear" w:color="auto" w:fill="CCEEFF"/>
          </w:tcPr>
          <w:p>
            <w:pPr>
              <w:spacing w:after="0"/>
              <w:rPr>
                <w:sz w:val="20"/>
                <w:szCs w:val="20"/>
                <w:color w:val="auto"/>
              </w:rPr>
            </w:pPr>
          </w:p>
        </w:tc>
        <w:tc>
          <w:tcPr>
            <w:tcW w:w="4360" w:type="dxa"/>
            <w:vAlign w:val="bottom"/>
            <w:shd w:val="clear" w:color="auto" w:fill="CCEEFF"/>
          </w:tcPr>
          <w:p>
            <w:pPr>
              <w:spacing w:after="0"/>
              <w:rPr>
                <w:sz w:val="20"/>
                <w:szCs w:val="20"/>
                <w:color w:val="auto"/>
              </w:rPr>
            </w:pPr>
          </w:p>
        </w:tc>
        <w:tc>
          <w:tcPr>
            <w:tcW w:w="3340" w:type="dxa"/>
            <w:vAlign w:val="bottom"/>
            <w:shd w:val="clear" w:color="auto" w:fill="CCEEFF"/>
          </w:tcPr>
          <w:p>
            <w:pPr>
              <w:spacing w:after="0"/>
              <w:rPr>
                <w:sz w:val="20"/>
                <w:szCs w:val="20"/>
                <w:color w:val="auto"/>
              </w:rPr>
            </w:pPr>
          </w:p>
        </w:tc>
      </w:tr>
      <w:tr>
        <w:trPr>
          <w:trHeight w:val="229"/>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AJW South Bend Realty, LLC</w:t>
            </w:r>
          </w:p>
        </w:tc>
        <w:tc>
          <w:tcPr>
            <w:tcW w:w="436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9"/>
              </w:rPr>
              <w:t>Indiana</w:t>
            </w:r>
          </w:p>
        </w:tc>
        <w:tc>
          <w:tcPr>
            <w:tcW w:w="3340" w:type="dxa"/>
            <w:vAlign w:val="bottom"/>
          </w:tcPr>
          <w:p>
            <w:pPr>
              <w:spacing w:after="0"/>
              <w:rPr>
                <w:sz w:val="19"/>
                <w:szCs w:val="19"/>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NBC First Realty Corp.</w:t>
            </w:r>
          </w:p>
        </w:tc>
        <w:tc>
          <w:tcPr>
            <w:tcW w:w="4360" w:type="dxa"/>
            <w:vAlign w:val="bottom"/>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w w:val="99"/>
              </w:rPr>
              <w:t>Indiana</w:t>
            </w:r>
          </w:p>
        </w:tc>
        <w:tc>
          <w:tcPr>
            <w:tcW w:w="3340" w:type="dxa"/>
            <w:vAlign w:val="bottom"/>
            <w:shd w:val="clear" w:color="auto" w:fill="CCEEFF"/>
          </w:tcPr>
          <w:p>
            <w:pPr>
              <w:spacing w:after="0"/>
              <w:rPr>
                <w:sz w:val="19"/>
                <w:szCs w:val="19"/>
                <w:color w:val="auto"/>
              </w:rPr>
            </w:pPr>
          </w:p>
        </w:tc>
      </w:tr>
      <w:tr>
        <w:trPr>
          <w:trHeight w:val="230"/>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NBC Fourth Realty Corp.</w:t>
            </w:r>
          </w:p>
        </w:tc>
        <w:tc>
          <w:tcPr>
            <w:tcW w:w="436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rPr>
              <w:t>Nevada</w:t>
            </w:r>
          </w:p>
        </w:tc>
        <w:tc>
          <w:tcPr>
            <w:tcW w:w="3340" w:type="dxa"/>
            <w:vAlign w:val="bottom"/>
          </w:tcPr>
          <w:p>
            <w:pPr>
              <w:spacing w:after="0"/>
              <w:rPr>
                <w:sz w:val="19"/>
                <w:szCs w:val="19"/>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NBC Second Realty Corp.</w:t>
            </w:r>
          </w:p>
        </w:tc>
        <w:tc>
          <w:tcPr>
            <w:tcW w:w="4360" w:type="dxa"/>
            <w:vAlign w:val="bottom"/>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9"/>
              </w:rPr>
              <w:t>Massachusetts</w:t>
            </w:r>
          </w:p>
        </w:tc>
        <w:tc>
          <w:tcPr>
            <w:tcW w:w="3340" w:type="dxa"/>
            <w:vAlign w:val="bottom"/>
            <w:shd w:val="clear" w:color="auto" w:fill="CCEEFF"/>
          </w:tcPr>
          <w:p>
            <w:pPr>
              <w:spacing w:after="0"/>
              <w:rPr>
                <w:sz w:val="19"/>
                <w:szCs w:val="19"/>
                <w:color w:val="auto"/>
              </w:rPr>
            </w:pPr>
          </w:p>
        </w:tc>
      </w:tr>
      <w:tr>
        <w:trPr>
          <w:trHeight w:val="230"/>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NBC Seventh Realty Corp.</w:t>
            </w:r>
          </w:p>
        </w:tc>
        <w:tc>
          <w:tcPr>
            <w:tcW w:w="436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Pennsylvania</w:t>
            </w:r>
          </w:p>
        </w:tc>
        <w:tc>
          <w:tcPr>
            <w:tcW w:w="3340" w:type="dxa"/>
            <w:vAlign w:val="bottom"/>
          </w:tcPr>
          <w:p>
            <w:pPr>
              <w:spacing w:after="0"/>
              <w:rPr>
                <w:sz w:val="19"/>
                <w:szCs w:val="19"/>
                <w:color w:val="auto"/>
              </w:rPr>
            </w:pPr>
          </w:p>
        </w:tc>
      </w:tr>
      <w:tr>
        <w:trPr>
          <w:trHeight w:val="229"/>
        </w:trPr>
        <w:tc>
          <w:tcPr>
            <w:tcW w:w="3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NBC Sixth Realty Corp.</w:t>
            </w:r>
          </w:p>
        </w:tc>
        <w:tc>
          <w:tcPr>
            <w:tcW w:w="4360" w:type="dxa"/>
            <w:vAlign w:val="bottom"/>
            <w:tcBorders>
              <w:bottom w:val="single" w:sz="8" w:color="auto"/>
            </w:tcBorders>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9"/>
              </w:rPr>
              <w:t>North Carolina</w:t>
            </w:r>
          </w:p>
        </w:tc>
        <w:tc>
          <w:tcPr>
            <w:tcW w:w="3340" w:type="dxa"/>
            <w:vAlign w:val="bottom"/>
            <w:tcBorders>
              <w:bottom w:val="single" w:sz="8" w:color="auto"/>
            </w:tcBorders>
            <w:shd w:val="clear" w:color="auto" w:fill="CCEEFF"/>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17"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CONSENT OF INDEPENDENT REGISTERED PUBLIC ACCOUNTING FIRM</w:t>
      </w:r>
    </w:p>
    <w:p>
      <w:pPr>
        <w:spacing w:after="0" w:line="200" w:lineRule="exact"/>
        <w:rPr>
          <w:sz w:val="20"/>
          <w:szCs w:val="20"/>
          <w:color w:val="auto"/>
        </w:rPr>
      </w:pPr>
    </w:p>
    <w:p>
      <w:pPr>
        <w:spacing w:after="0" w:line="222"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22"/>
          <w:szCs w:val="22"/>
          <w:color w:val="auto"/>
        </w:rPr>
        <w:t>We hereby consent to the incorporation by reference in the Registration Statements on Form S-8 (Nos. 333-267095, 333-189511, 333-169297, 333-162218, 333-116277, 333-86966, 333-63293, and 333-35073) of The TJX Companies, Inc. of our report dated April 3, 2024, relating to the financial statements, financial statement schedule and the effectiveness of internal control over financial reporting, which appears in this Form 10-K.</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PricewaterhouseCoopers LLP</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Boston, Massachusetts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April 3, 2024</w:t>
      </w:r>
    </w:p>
    <w:p>
      <w:pPr>
        <w:sectPr>
          <w:pgSz w:w="11900" w:h="16838" w:orient="portrait"/>
          <w:cols w:equalWidth="0" w:num="1">
            <w:col w:w="11240"/>
          </w:cols>
          <w:pgMar w:left="320" w:top="360"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KNOW ALL MEN BY THESE PRESENTS, that each person whose signature appears below constitutes and appoints Ernie Herrman and John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Klinger and each of them, his or her true and lawful attorneys-in-fact and agents, with full power of substitution and resubstitution, for him or her and in his or her name, place and stead, in any and all capacities, to sign the form 10-K to be filed by The TJX Companies, Inc. for the fiscal year ended February 3, 2024 and any or all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 or substitutes, may lawfully do or cause to be done by virtue hereof.</w:t>
      </w:r>
    </w:p>
    <w:p>
      <w:pPr>
        <w:spacing w:after="0" w:line="200" w:lineRule="exact"/>
        <w:rPr>
          <w:sz w:val="20"/>
          <w:szCs w:val="20"/>
          <w:color w:val="auto"/>
        </w:rPr>
      </w:pPr>
    </w:p>
    <w:p>
      <w:pPr>
        <w:spacing w:after="0" w:line="32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/s/ José B. Alvarez</w:t>
            </w:r>
          </w:p>
        </w:tc>
        <w:tc>
          <w:tcPr>
            <w:tcW w:w="2520" w:type="dxa"/>
            <w:vAlign w:val="bottom"/>
            <w:gridSpan w:val="4"/>
          </w:tcPr>
          <w:p>
            <w:pPr>
              <w:spacing w:after="0"/>
              <w:rPr>
                <w:sz w:val="17"/>
                <w:szCs w:val="17"/>
                <w:color w:val="auto"/>
              </w:rPr>
            </w:pPr>
          </w:p>
        </w:tc>
        <w:tc>
          <w:tcPr>
            <w:tcW w:w="1640" w:type="dxa"/>
            <w:vAlign w:val="bottom"/>
          </w:tcPr>
          <w:p>
            <w:pPr>
              <w:spacing w:after="0"/>
              <w:rPr>
                <w:sz w:val="17"/>
                <w:szCs w:val="17"/>
                <w:color w:val="auto"/>
              </w:rPr>
            </w:pPr>
          </w:p>
        </w:tc>
        <w:tc>
          <w:tcPr>
            <w:tcW w:w="1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/s/ Amy B. Lane</w:t>
            </w:r>
          </w:p>
        </w:tc>
        <w:tc>
          <w:tcPr>
            <w:tcW w:w="3460" w:type="dxa"/>
            <w:vAlign w:val="bottom"/>
            <w:gridSpan w:val="4"/>
          </w:tcPr>
          <w:p>
            <w:pPr>
              <w:spacing w:after="0"/>
              <w:rPr>
                <w:sz w:val="17"/>
                <w:szCs w:val="17"/>
                <w:color w:val="auto"/>
              </w:rPr>
            </w:pPr>
          </w:p>
        </w:tc>
      </w:tr>
      <w:tr>
        <w:trPr>
          <w:trHeight w:val="237"/>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José B. Alvarez,</w:t>
            </w:r>
          </w:p>
        </w:tc>
        <w:tc>
          <w:tcPr>
            <w:tcW w:w="2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Director</w:t>
            </w:r>
          </w:p>
        </w:tc>
        <w:tc>
          <w:tcPr>
            <w:tcW w:w="6300" w:type="dxa"/>
            <w:vAlign w:val="bottom"/>
            <w:gridSpan w:val="6"/>
          </w:tcPr>
          <w:p>
            <w:pPr>
              <w:ind w:left="1640"/>
              <w:spacing w:after="0"/>
              <w:rPr>
                <w:sz w:val="20"/>
                <w:szCs w:val="20"/>
                <w:color w:val="auto"/>
              </w:rPr>
            </w:pPr>
            <w:r>
              <w:rPr>
                <w:rFonts w:ascii="Times New Roman" w:cs="Times New Roman" w:eastAsia="Times New Roman" w:hAnsi="Times New Roman"/>
                <w:sz w:val="18"/>
                <w:szCs w:val="18"/>
                <w:color w:val="auto"/>
              </w:rPr>
              <w:t>Amy B. Lane, Director</w:t>
            </w:r>
          </w:p>
        </w:tc>
      </w:tr>
      <w:tr>
        <w:trPr>
          <w:trHeight w:val="472"/>
        </w:trPr>
        <w:tc>
          <w:tcPr>
            <w:tcW w:w="3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 Alan M. Bennett</w:t>
            </w:r>
          </w:p>
        </w:tc>
        <w:tc>
          <w:tcPr>
            <w:tcW w:w="6300" w:type="dxa"/>
            <w:vAlign w:val="bottom"/>
            <w:gridSpan w:val="6"/>
          </w:tcPr>
          <w:p>
            <w:pPr>
              <w:ind w:left="1640"/>
              <w:spacing w:after="0"/>
              <w:rPr>
                <w:sz w:val="20"/>
                <w:szCs w:val="20"/>
                <w:color w:val="auto"/>
              </w:rPr>
            </w:pPr>
            <w:r>
              <w:rPr>
                <w:rFonts w:ascii="Times New Roman" w:cs="Times New Roman" w:eastAsia="Times New Roman" w:hAnsi="Times New Roman"/>
                <w:sz w:val="18"/>
                <w:szCs w:val="18"/>
                <w:color w:val="auto"/>
              </w:rPr>
              <w:t>/s/ Carol Meyrowitz</w:t>
            </w:r>
          </w:p>
        </w:tc>
      </w:tr>
      <w:tr>
        <w:trPr>
          <w:trHeight w:val="20"/>
        </w:trPr>
        <w:tc>
          <w:tcPr>
            <w:tcW w:w="134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6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237"/>
        </w:trPr>
        <w:tc>
          <w:tcPr>
            <w:tcW w:w="3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Alan M. Bennett, Director</w:t>
            </w:r>
          </w:p>
        </w:tc>
        <w:tc>
          <w:tcPr>
            <w:tcW w:w="6300" w:type="dxa"/>
            <w:vAlign w:val="bottom"/>
            <w:gridSpan w:val="6"/>
          </w:tcPr>
          <w:p>
            <w:pPr>
              <w:ind w:left="1640"/>
              <w:spacing w:after="0"/>
              <w:rPr>
                <w:sz w:val="20"/>
                <w:szCs w:val="20"/>
                <w:color w:val="auto"/>
              </w:rPr>
            </w:pPr>
            <w:r>
              <w:rPr>
                <w:rFonts w:ascii="Times New Roman" w:cs="Times New Roman" w:eastAsia="Times New Roman" w:hAnsi="Times New Roman"/>
                <w:sz w:val="18"/>
                <w:szCs w:val="18"/>
                <w:color w:val="auto"/>
                <w:w w:val="99"/>
              </w:rPr>
              <w:t>Carol Meyrowitz, Executive Chairman of the Board of Directors</w:t>
            </w:r>
          </w:p>
        </w:tc>
      </w:tr>
      <w:tr>
        <w:trPr>
          <w:trHeight w:val="729"/>
        </w:trPr>
        <w:tc>
          <w:tcPr>
            <w:tcW w:w="3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 Rosemary T. Berkery</w:t>
            </w:r>
          </w:p>
        </w:tc>
        <w:tc>
          <w:tcPr>
            <w:tcW w:w="6300" w:type="dxa"/>
            <w:vAlign w:val="bottom"/>
            <w:gridSpan w:val="6"/>
          </w:tcPr>
          <w:p>
            <w:pPr>
              <w:ind w:left="1640"/>
              <w:spacing w:after="0"/>
              <w:rPr>
                <w:sz w:val="20"/>
                <w:szCs w:val="20"/>
                <w:color w:val="auto"/>
              </w:rPr>
            </w:pPr>
            <w:r>
              <w:rPr>
                <w:rFonts w:ascii="Times New Roman" w:cs="Times New Roman" w:eastAsia="Times New Roman" w:hAnsi="Times New Roman"/>
                <w:sz w:val="18"/>
                <w:szCs w:val="18"/>
                <w:color w:val="auto"/>
              </w:rPr>
              <w:t>/s/ Jackwyn L. Nemerov</w:t>
            </w:r>
          </w:p>
        </w:tc>
      </w:tr>
      <w:tr>
        <w:trPr>
          <w:trHeight w:val="20"/>
        </w:trPr>
        <w:tc>
          <w:tcPr>
            <w:tcW w:w="1340" w:type="dxa"/>
            <w:vAlign w:val="bottom"/>
            <w:shd w:val="clear" w:color="auto" w:fill="000000"/>
          </w:tcPr>
          <w:p>
            <w:pPr>
              <w:spacing w:after="0" w:line="20" w:lineRule="exact"/>
              <w:rPr>
                <w:sz w:val="1"/>
                <w:szCs w:val="1"/>
                <w:color w:val="auto"/>
              </w:rPr>
            </w:pPr>
          </w:p>
        </w:tc>
        <w:tc>
          <w:tcPr>
            <w:tcW w:w="120" w:type="dxa"/>
            <w:vAlign w:val="bottom"/>
            <w:gridSpan w:val="3"/>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6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237"/>
        </w:trPr>
        <w:tc>
          <w:tcPr>
            <w:tcW w:w="3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Rosemary T. Berkery, Director</w:t>
            </w:r>
          </w:p>
        </w:tc>
        <w:tc>
          <w:tcPr>
            <w:tcW w:w="6300" w:type="dxa"/>
            <w:vAlign w:val="bottom"/>
            <w:gridSpan w:val="6"/>
          </w:tcPr>
          <w:p>
            <w:pPr>
              <w:ind w:left="1640"/>
              <w:spacing w:after="0"/>
              <w:rPr>
                <w:sz w:val="20"/>
                <w:szCs w:val="20"/>
                <w:color w:val="auto"/>
              </w:rPr>
            </w:pPr>
            <w:r>
              <w:rPr>
                <w:rFonts w:ascii="Times New Roman" w:cs="Times New Roman" w:eastAsia="Times New Roman" w:hAnsi="Times New Roman"/>
                <w:sz w:val="18"/>
                <w:szCs w:val="18"/>
                <w:color w:val="auto"/>
              </w:rPr>
              <w:t>Jackwyn L. Nemerov, Director</w:t>
            </w:r>
          </w:p>
        </w:tc>
      </w:tr>
      <w:tr>
        <w:trPr>
          <w:trHeight w:val="729"/>
        </w:trPr>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David T. Ching</w:t>
            </w:r>
          </w:p>
        </w:tc>
        <w:tc>
          <w:tcPr>
            <w:tcW w:w="2540" w:type="dxa"/>
            <w:vAlign w:val="bottom"/>
            <w:gridSpan w:val="5"/>
          </w:tcPr>
          <w:p>
            <w:pPr>
              <w:spacing w:after="0"/>
              <w:rPr>
                <w:sz w:val="24"/>
                <w:szCs w:val="24"/>
                <w:color w:val="auto"/>
              </w:rPr>
            </w:pPr>
          </w:p>
        </w:tc>
        <w:tc>
          <w:tcPr>
            <w:tcW w:w="1640" w:type="dxa"/>
            <w:vAlign w:val="bottom"/>
          </w:tcPr>
          <w:p>
            <w:pPr>
              <w:spacing w:after="0"/>
              <w:rPr>
                <w:sz w:val="24"/>
                <w:szCs w:val="24"/>
                <w:color w:val="auto"/>
              </w:rPr>
            </w:pPr>
          </w:p>
        </w:tc>
        <w:tc>
          <w:tcPr>
            <w:tcW w:w="18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6"/>
              </w:rPr>
              <w:t>/s/ Charles F. Wagner, Jr.</w:t>
            </w:r>
          </w:p>
        </w:tc>
        <w:tc>
          <w:tcPr>
            <w:tcW w:w="2860" w:type="dxa"/>
            <w:vAlign w:val="bottom"/>
          </w:tcPr>
          <w:p>
            <w:pPr>
              <w:spacing w:after="0"/>
              <w:rPr>
                <w:sz w:val="24"/>
                <w:szCs w:val="24"/>
                <w:color w:val="auto"/>
              </w:rPr>
            </w:pPr>
          </w:p>
        </w:tc>
      </w:tr>
      <w:tr>
        <w:trPr>
          <w:trHeight w:val="237"/>
        </w:trPr>
        <w:tc>
          <w:tcPr>
            <w:tcW w:w="3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David T. Ching, Director</w:t>
            </w:r>
          </w:p>
        </w:tc>
        <w:tc>
          <w:tcPr>
            <w:tcW w:w="6300" w:type="dxa"/>
            <w:vAlign w:val="bottom"/>
            <w:gridSpan w:val="6"/>
          </w:tcPr>
          <w:p>
            <w:pPr>
              <w:ind w:left="1640"/>
              <w:spacing w:after="0"/>
              <w:rPr>
                <w:sz w:val="20"/>
                <w:szCs w:val="20"/>
                <w:color w:val="auto"/>
              </w:rPr>
            </w:pPr>
            <w:r>
              <w:rPr>
                <w:rFonts w:ascii="Times New Roman" w:cs="Times New Roman" w:eastAsia="Times New Roman" w:hAnsi="Times New Roman"/>
                <w:sz w:val="18"/>
                <w:szCs w:val="18"/>
                <w:color w:val="auto"/>
              </w:rPr>
              <w:t>Charles F. Wagner, Jr., Director</w:t>
            </w:r>
          </w:p>
        </w:tc>
      </w:tr>
      <w:tr>
        <w:trPr>
          <w:trHeight w:val="958"/>
        </w:trPr>
        <w:tc>
          <w:tcPr>
            <w:tcW w:w="3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 C. Kim Goodwin</w:t>
            </w:r>
          </w:p>
        </w:tc>
        <w:tc>
          <w:tcPr>
            <w:tcW w:w="1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0"/>
        </w:trPr>
        <w:tc>
          <w:tcPr>
            <w:tcW w:w="1460" w:type="dxa"/>
            <w:vAlign w:val="bottom"/>
            <w:gridSpan w:val="4"/>
            <w:shd w:val="clear" w:color="auto" w:fill="000000"/>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236"/>
        </w:trPr>
        <w:tc>
          <w:tcPr>
            <w:tcW w:w="3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 Kim Goodwin, Director</w:t>
            </w:r>
          </w:p>
        </w:tc>
        <w:tc>
          <w:tcPr>
            <w:tcW w:w="16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60" w:type="dxa"/>
            <w:vAlign w:val="bottom"/>
          </w:tcPr>
          <w:p>
            <w:pPr>
              <w:spacing w:after="0"/>
              <w:rPr>
                <w:sz w:val="20"/>
                <w:szCs w:val="20"/>
                <w:color w:val="auto"/>
              </w:rPr>
            </w:pPr>
          </w:p>
        </w:tc>
      </w:tr>
      <w:tr>
        <w:trPr>
          <w:trHeight w:val="1107"/>
        </w:trPr>
        <w:tc>
          <w:tcPr>
            <w:tcW w:w="3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Dated: April 3, 2024</w:t>
            </w:r>
          </w:p>
        </w:tc>
        <w:tc>
          <w:tcPr>
            <w:tcW w:w="1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60" w:type="dxa"/>
            <w:vAlign w:val="bottom"/>
          </w:tcPr>
          <w:p>
            <w:pPr>
              <w:spacing w:after="0"/>
              <w:rPr>
                <w:sz w:val="24"/>
                <w:szCs w:val="24"/>
                <w:color w:val="auto"/>
              </w:rPr>
            </w:pPr>
          </w:p>
        </w:tc>
      </w:tr>
    </w:tbl>
    <w:p>
      <w:pPr>
        <w:sectPr>
          <w:pgSz w:w="11900" w:h="16838" w:orient="portrait"/>
          <w:cols w:equalWidth="0" w:num="1">
            <w:col w:w="11240"/>
          </w:cols>
          <w:pgMar w:left="320" w:top="131"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Ernie Herrman, certify that:</w:t>
      </w:r>
    </w:p>
    <w:p>
      <w:pPr>
        <w:spacing w:after="0" w:line="50" w:lineRule="exact"/>
        <w:rPr>
          <w:sz w:val="20"/>
          <w:szCs w:val="20"/>
          <w:color w:val="auto"/>
        </w:rPr>
      </w:pPr>
    </w:p>
    <w:p>
      <w:pPr>
        <w:ind w:left="600" w:hanging="547"/>
        <w:spacing w:after="0"/>
        <w:tabs>
          <w:tab w:leader="none" w:pos="6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The TJX Companies, Inc.;</w:t>
      </w:r>
    </w:p>
    <w:p>
      <w:pPr>
        <w:spacing w:after="0" w:line="292" w:lineRule="exact"/>
        <w:rPr>
          <w:rFonts w:ascii="Times New Roman" w:cs="Times New Roman" w:eastAsia="Times New Roman" w:hAnsi="Times New Roman"/>
          <w:sz w:val="18"/>
          <w:szCs w:val="18"/>
          <w:color w:val="auto"/>
        </w:rPr>
      </w:pPr>
    </w:p>
    <w:p>
      <w:pPr>
        <w:jc w:val="both"/>
        <w:ind w:left="600" w:right="180" w:hanging="547"/>
        <w:spacing w:after="0" w:line="231" w:lineRule="auto"/>
        <w:tabs>
          <w:tab w:leader="none" w:pos="6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66" w:lineRule="exact"/>
        <w:rPr>
          <w:rFonts w:ascii="Times New Roman" w:cs="Times New Roman" w:eastAsia="Times New Roman" w:hAnsi="Times New Roman"/>
          <w:sz w:val="18"/>
          <w:szCs w:val="18"/>
          <w:color w:val="auto"/>
        </w:rPr>
      </w:pPr>
    </w:p>
    <w:p>
      <w:pPr>
        <w:ind w:left="600" w:right="140" w:hanging="547"/>
        <w:spacing w:after="0" w:line="237" w:lineRule="auto"/>
        <w:tabs>
          <w:tab w:leader="none" w:pos="6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79" w:lineRule="exact"/>
        <w:rPr>
          <w:rFonts w:ascii="Times New Roman" w:cs="Times New Roman" w:eastAsia="Times New Roman" w:hAnsi="Times New Roman"/>
          <w:sz w:val="18"/>
          <w:szCs w:val="18"/>
          <w:color w:val="auto"/>
        </w:rPr>
      </w:pPr>
    </w:p>
    <w:p>
      <w:pPr>
        <w:jc w:val="both"/>
        <w:ind w:left="600" w:right="180" w:hanging="547"/>
        <w:spacing w:after="0" w:line="231" w:lineRule="auto"/>
        <w:tabs>
          <w:tab w:leader="none" w:pos="6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66" w:lineRule="exact"/>
        <w:rPr>
          <w:rFonts w:ascii="Times New Roman" w:cs="Times New Roman" w:eastAsia="Times New Roman" w:hAnsi="Times New Roman"/>
          <w:sz w:val="18"/>
          <w:szCs w:val="18"/>
          <w:color w:val="auto"/>
        </w:rPr>
      </w:pPr>
    </w:p>
    <w:p>
      <w:pPr>
        <w:ind w:left="1140" w:right="80" w:hanging="547"/>
        <w:spacing w:after="0" w:line="231" w:lineRule="auto"/>
        <w:tabs>
          <w:tab w:leader="none" w:pos="11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66" w:lineRule="exact"/>
        <w:rPr>
          <w:rFonts w:ascii="Times New Roman" w:cs="Times New Roman" w:eastAsia="Times New Roman" w:hAnsi="Times New Roman"/>
          <w:sz w:val="18"/>
          <w:szCs w:val="18"/>
          <w:color w:val="auto"/>
        </w:rPr>
      </w:pPr>
    </w:p>
    <w:p>
      <w:pPr>
        <w:ind w:left="1140" w:right="220" w:hanging="547"/>
        <w:spacing w:after="0" w:line="231" w:lineRule="auto"/>
        <w:tabs>
          <w:tab w:leader="none" w:pos="11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66" w:lineRule="exact"/>
        <w:rPr>
          <w:rFonts w:ascii="Times New Roman" w:cs="Times New Roman" w:eastAsia="Times New Roman" w:hAnsi="Times New Roman"/>
          <w:sz w:val="18"/>
          <w:szCs w:val="18"/>
          <w:color w:val="auto"/>
        </w:rPr>
      </w:pPr>
    </w:p>
    <w:p>
      <w:pPr>
        <w:jc w:val="both"/>
        <w:ind w:left="1140" w:right="380" w:hanging="547"/>
        <w:spacing w:after="0" w:line="263" w:lineRule="auto"/>
        <w:tabs>
          <w:tab w:leader="none" w:pos="1140"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0" w:lineRule="exact"/>
        <w:rPr>
          <w:rFonts w:ascii="Times New Roman" w:cs="Times New Roman" w:eastAsia="Times New Roman" w:hAnsi="Times New Roman"/>
          <w:sz w:val="17"/>
          <w:szCs w:val="17"/>
          <w:color w:val="auto"/>
        </w:rPr>
      </w:pPr>
    </w:p>
    <w:p>
      <w:pPr>
        <w:ind w:left="1140" w:right="80" w:hanging="547"/>
        <w:spacing w:after="0" w:line="231" w:lineRule="auto"/>
        <w:tabs>
          <w:tab w:leader="none" w:pos="11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66" w:lineRule="exact"/>
        <w:rPr>
          <w:rFonts w:ascii="Times New Roman" w:cs="Times New Roman" w:eastAsia="Times New Roman" w:hAnsi="Times New Roman"/>
          <w:sz w:val="18"/>
          <w:szCs w:val="18"/>
          <w:color w:val="auto"/>
        </w:rPr>
      </w:pPr>
    </w:p>
    <w:p>
      <w:pPr>
        <w:ind w:left="600" w:right="140" w:hanging="547"/>
        <w:spacing w:after="0" w:line="237" w:lineRule="auto"/>
        <w:tabs>
          <w:tab w:leader="none" w:pos="6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79" w:lineRule="exact"/>
        <w:rPr>
          <w:rFonts w:ascii="Times New Roman" w:cs="Times New Roman" w:eastAsia="Times New Roman" w:hAnsi="Times New Roman"/>
          <w:sz w:val="18"/>
          <w:szCs w:val="18"/>
          <w:color w:val="auto"/>
        </w:rPr>
      </w:pPr>
    </w:p>
    <w:p>
      <w:pPr>
        <w:ind w:left="1140" w:right="620" w:hanging="547"/>
        <w:spacing w:after="0" w:line="237" w:lineRule="auto"/>
        <w:tabs>
          <w:tab w:leader="none" w:pos="11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9" w:lineRule="exact"/>
        <w:rPr>
          <w:rFonts w:ascii="Times New Roman" w:cs="Times New Roman" w:eastAsia="Times New Roman" w:hAnsi="Times New Roman"/>
          <w:sz w:val="18"/>
          <w:szCs w:val="18"/>
          <w:color w:val="auto"/>
        </w:rPr>
      </w:pPr>
    </w:p>
    <w:p>
      <w:pPr>
        <w:ind w:left="1140" w:right="320" w:hanging="547"/>
        <w:spacing w:after="0" w:line="237" w:lineRule="auto"/>
        <w:tabs>
          <w:tab w:leader="none" w:pos="11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5" w:lineRule="exact"/>
        <w:rPr>
          <w:sz w:val="20"/>
          <w:szCs w:val="20"/>
          <w:color w:val="auto"/>
        </w:rPr>
      </w:pPr>
    </w:p>
    <w:p>
      <w:pPr>
        <w:ind w:left="20"/>
        <w:spacing w:after="0"/>
        <w:tabs>
          <w:tab w:leader="none" w:pos="6220" w:val="left"/>
        </w:tabs>
        <w:rPr>
          <w:sz w:val="20"/>
          <w:szCs w:val="20"/>
          <w:color w:val="auto"/>
        </w:rPr>
      </w:pPr>
      <w:r>
        <w:rPr>
          <w:rFonts w:ascii="Times New Roman" w:cs="Times New Roman" w:eastAsia="Times New Roman" w:hAnsi="Times New Roman"/>
          <w:sz w:val="18"/>
          <w:szCs w:val="18"/>
          <w:color w:val="auto"/>
        </w:rPr>
        <w:t>Date: April 3, 2024</w:t>
      </w:r>
      <w:r>
        <w:rPr>
          <w:sz w:val="20"/>
          <w:szCs w:val="20"/>
          <w:color w:val="auto"/>
        </w:rPr>
        <w:tab/>
      </w:r>
      <w:r>
        <w:rPr>
          <w:rFonts w:ascii="Times New Roman" w:cs="Times New Roman" w:eastAsia="Times New Roman" w:hAnsi="Times New Roman"/>
          <w:sz w:val="18"/>
          <w:szCs w:val="18"/>
          <w:color w:val="auto"/>
        </w:rPr>
        <w:t>/s/ Ernie Herrman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34290</wp:posOffset>
            </wp:positionV>
            <wp:extent cx="31635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7">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line="32"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Name: Ernie Herrman</w:t>
      </w:r>
    </w:p>
    <w:p>
      <w:pPr>
        <w:ind w:left="6240"/>
        <w:spacing w:after="0"/>
        <w:tabs>
          <w:tab w:leader="none" w:pos="68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President</w:t>
      </w:r>
    </w:p>
    <w:p>
      <w:pPr>
        <w:sectPr>
          <w:pgSz w:w="11900" w:h="16838" w:orient="portrait"/>
          <w:cols w:equalWidth="0" w:num="1">
            <w:col w:w="11240"/>
          </w:cols>
          <w:pgMar w:left="320" w:top="887"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Klinger, certify that:</w:t>
      </w:r>
    </w:p>
    <w:p>
      <w:pPr>
        <w:spacing w:after="0" w:line="50" w:lineRule="exact"/>
        <w:rPr>
          <w:sz w:val="20"/>
          <w:szCs w:val="20"/>
          <w:color w:val="auto"/>
        </w:rPr>
      </w:pPr>
    </w:p>
    <w:p>
      <w:pPr>
        <w:ind w:left="600" w:hanging="547"/>
        <w:spacing w:after="0"/>
        <w:tabs>
          <w:tab w:leader="none" w:pos="6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The TJX Companies, Inc.;</w:t>
      </w:r>
    </w:p>
    <w:p>
      <w:pPr>
        <w:spacing w:after="0" w:line="292" w:lineRule="exact"/>
        <w:rPr>
          <w:rFonts w:ascii="Times New Roman" w:cs="Times New Roman" w:eastAsia="Times New Roman" w:hAnsi="Times New Roman"/>
          <w:sz w:val="18"/>
          <w:szCs w:val="18"/>
          <w:color w:val="auto"/>
        </w:rPr>
      </w:pPr>
    </w:p>
    <w:p>
      <w:pPr>
        <w:jc w:val="both"/>
        <w:ind w:left="600" w:right="180" w:hanging="547"/>
        <w:spacing w:after="0" w:line="231" w:lineRule="auto"/>
        <w:tabs>
          <w:tab w:leader="none" w:pos="6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66" w:lineRule="exact"/>
        <w:rPr>
          <w:rFonts w:ascii="Times New Roman" w:cs="Times New Roman" w:eastAsia="Times New Roman" w:hAnsi="Times New Roman"/>
          <w:sz w:val="18"/>
          <w:szCs w:val="18"/>
          <w:color w:val="auto"/>
        </w:rPr>
      </w:pPr>
    </w:p>
    <w:p>
      <w:pPr>
        <w:ind w:left="600" w:right="140" w:hanging="547"/>
        <w:spacing w:after="0" w:line="237" w:lineRule="auto"/>
        <w:tabs>
          <w:tab w:leader="none" w:pos="6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79" w:lineRule="exact"/>
        <w:rPr>
          <w:rFonts w:ascii="Times New Roman" w:cs="Times New Roman" w:eastAsia="Times New Roman" w:hAnsi="Times New Roman"/>
          <w:sz w:val="18"/>
          <w:szCs w:val="18"/>
          <w:color w:val="auto"/>
        </w:rPr>
      </w:pPr>
    </w:p>
    <w:p>
      <w:pPr>
        <w:jc w:val="both"/>
        <w:ind w:left="600" w:right="180" w:hanging="547"/>
        <w:spacing w:after="0" w:line="231" w:lineRule="auto"/>
        <w:tabs>
          <w:tab w:leader="none" w:pos="6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66" w:lineRule="exact"/>
        <w:rPr>
          <w:rFonts w:ascii="Times New Roman" w:cs="Times New Roman" w:eastAsia="Times New Roman" w:hAnsi="Times New Roman"/>
          <w:sz w:val="18"/>
          <w:szCs w:val="18"/>
          <w:color w:val="auto"/>
        </w:rPr>
      </w:pPr>
    </w:p>
    <w:p>
      <w:pPr>
        <w:ind w:left="1140" w:right="80" w:hanging="547"/>
        <w:spacing w:after="0" w:line="231" w:lineRule="auto"/>
        <w:tabs>
          <w:tab w:leader="none" w:pos="114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66" w:lineRule="exact"/>
        <w:rPr>
          <w:rFonts w:ascii="Times New Roman" w:cs="Times New Roman" w:eastAsia="Times New Roman" w:hAnsi="Times New Roman"/>
          <w:sz w:val="18"/>
          <w:szCs w:val="18"/>
          <w:color w:val="auto"/>
        </w:rPr>
      </w:pPr>
    </w:p>
    <w:p>
      <w:pPr>
        <w:ind w:left="1140" w:right="220" w:hanging="547"/>
        <w:spacing w:after="0" w:line="231" w:lineRule="auto"/>
        <w:tabs>
          <w:tab w:leader="none" w:pos="114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66" w:lineRule="exact"/>
        <w:rPr>
          <w:rFonts w:ascii="Times New Roman" w:cs="Times New Roman" w:eastAsia="Times New Roman" w:hAnsi="Times New Roman"/>
          <w:sz w:val="18"/>
          <w:szCs w:val="18"/>
          <w:color w:val="auto"/>
        </w:rPr>
      </w:pPr>
    </w:p>
    <w:p>
      <w:pPr>
        <w:jc w:val="both"/>
        <w:ind w:left="1140" w:right="380" w:hanging="547"/>
        <w:spacing w:after="0" w:line="263" w:lineRule="auto"/>
        <w:tabs>
          <w:tab w:leader="none" w:pos="1140"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0" w:lineRule="exact"/>
        <w:rPr>
          <w:rFonts w:ascii="Times New Roman" w:cs="Times New Roman" w:eastAsia="Times New Roman" w:hAnsi="Times New Roman"/>
          <w:sz w:val="17"/>
          <w:szCs w:val="17"/>
          <w:color w:val="auto"/>
        </w:rPr>
      </w:pPr>
    </w:p>
    <w:p>
      <w:pPr>
        <w:ind w:left="1140" w:right="80" w:hanging="547"/>
        <w:spacing w:after="0" w:line="231" w:lineRule="auto"/>
        <w:tabs>
          <w:tab w:leader="none" w:pos="114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66" w:lineRule="exact"/>
        <w:rPr>
          <w:rFonts w:ascii="Times New Roman" w:cs="Times New Roman" w:eastAsia="Times New Roman" w:hAnsi="Times New Roman"/>
          <w:sz w:val="18"/>
          <w:szCs w:val="18"/>
          <w:color w:val="auto"/>
        </w:rPr>
      </w:pPr>
    </w:p>
    <w:p>
      <w:pPr>
        <w:ind w:left="600" w:right="140" w:hanging="547"/>
        <w:spacing w:after="0" w:line="237" w:lineRule="auto"/>
        <w:tabs>
          <w:tab w:leader="none" w:pos="6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79" w:lineRule="exact"/>
        <w:rPr>
          <w:rFonts w:ascii="Times New Roman" w:cs="Times New Roman" w:eastAsia="Times New Roman" w:hAnsi="Times New Roman"/>
          <w:sz w:val="18"/>
          <w:szCs w:val="18"/>
          <w:color w:val="auto"/>
        </w:rPr>
      </w:pPr>
    </w:p>
    <w:p>
      <w:pPr>
        <w:ind w:left="1140" w:right="620" w:hanging="547"/>
        <w:spacing w:after="0" w:line="237" w:lineRule="auto"/>
        <w:tabs>
          <w:tab w:leader="none" w:pos="114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9" w:lineRule="exact"/>
        <w:rPr>
          <w:rFonts w:ascii="Times New Roman" w:cs="Times New Roman" w:eastAsia="Times New Roman" w:hAnsi="Times New Roman"/>
          <w:sz w:val="18"/>
          <w:szCs w:val="18"/>
          <w:color w:val="auto"/>
        </w:rPr>
      </w:pPr>
    </w:p>
    <w:p>
      <w:pPr>
        <w:ind w:left="1140" w:right="320" w:hanging="547"/>
        <w:spacing w:after="0" w:line="237" w:lineRule="auto"/>
        <w:tabs>
          <w:tab w:leader="none" w:pos="114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5" w:lineRule="exact"/>
        <w:rPr>
          <w:sz w:val="20"/>
          <w:szCs w:val="20"/>
          <w:color w:val="auto"/>
        </w:rPr>
      </w:pPr>
    </w:p>
    <w:p>
      <w:pPr>
        <w:ind w:left="20"/>
        <w:spacing w:after="0"/>
        <w:tabs>
          <w:tab w:leader="none" w:pos="6220" w:val="left"/>
        </w:tabs>
        <w:rPr>
          <w:sz w:val="20"/>
          <w:szCs w:val="20"/>
          <w:color w:val="auto"/>
        </w:rPr>
      </w:pPr>
      <w:r>
        <w:rPr>
          <w:rFonts w:ascii="Times New Roman" w:cs="Times New Roman" w:eastAsia="Times New Roman" w:hAnsi="Times New Roman"/>
          <w:sz w:val="18"/>
          <w:szCs w:val="18"/>
          <w:color w:val="auto"/>
        </w:rPr>
        <w:t>Date: April 3, 2024</w:t>
      </w:r>
      <w:r>
        <w:rPr>
          <w:sz w:val="20"/>
          <w:szCs w:val="20"/>
          <w:color w:val="auto"/>
        </w:rPr>
        <w:tab/>
      </w:r>
      <w:r>
        <w:rPr>
          <w:rFonts w:ascii="Times New Roman" w:cs="Times New Roman" w:eastAsia="Times New Roman" w:hAnsi="Times New Roman"/>
          <w:sz w:val="18"/>
          <w:szCs w:val="18"/>
          <w:color w:val="auto"/>
        </w:rPr>
        <w:t>/s/ John Klinger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34290</wp:posOffset>
            </wp:positionV>
            <wp:extent cx="31635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8">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line="32"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Name: John Klinger</w:t>
      </w:r>
    </w:p>
    <w:p>
      <w:pPr>
        <w:ind w:left="6240"/>
        <w:spacing w:after="0"/>
        <w:tabs>
          <w:tab w:leader="none" w:pos="68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ectPr>
          <w:pgSz w:w="11900" w:h="16838" w:orient="portrait"/>
          <w:cols w:equalWidth="0" w:num="1">
            <w:col w:w="11240"/>
          </w:cols>
          <w:pgMar w:left="320" w:top="887"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0"/>
        <w:spacing w:after="0" w:line="273" w:lineRule="auto"/>
        <w:rPr>
          <w:sz w:val="20"/>
          <w:szCs w:val="20"/>
          <w:color w:val="auto"/>
        </w:rPr>
      </w:pPr>
      <w:r>
        <w:rPr>
          <w:rFonts w:ascii="Times New Roman" w:cs="Times New Roman" w:eastAsia="Times New Roman" w:hAnsi="Times New Roman"/>
          <w:sz w:val="18"/>
          <w:szCs w:val="18"/>
          <w:color w:val="auto"/>
        </w:rPr>
        <w:t>Pursuant to Section 1350, Chapter 63 of Title 18, United States Code, as adopted pursuant to Section 906 of the Sarbanes-Oxley Act of 2002, the undersigned, as Chief Executive Officer of The TJX Companies, Inc. (the “Company”), does hereby certify that to my knowledge:</w:t>
      </w:r>
    </w:p>
    <w:p>
      <w:pPr>
        <w:spacing w:after="0" w:line="2" w:lineRule="exact"/>
        <w:rPr>
          <w:sz w:val="20"/>
          <w:szCs w:val="20"/>
          <w:color w:val="auto"/>
        </w:rPr>
      </w:pPr>
    </w:p>
    <w:p>
      <w:pPr>
        <w:ind w:left="700" w:right="560" w:hanging="647"/>
        <w:spacing w:after="0" w:line="237" w:lineRule="auto"/>
        <w:tabs>
          <w:tab w:leader="none" w:pos="7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Form 10-K for the fiscal year ended February 3, 2024 fully complies with the requirements of Section 13(a) or 15(d) of the Securities Exchange Act of 1934; and</w:t>
      </w:r>
    </w:p>
    <w:p>
      <w:pPr>
        <w:spacing w:after="0" w:line="131" w:lineRule="exact"/>
        <w:rPr>
          <w:sz w:val="20"/>
          <w:szCs w:val="20"/>
          <w:color w:val="auto"/>
        </w:rPr>
      </w:pPr>
    </w:p>
    <w:p>
      <w:pPr>
        <w:ind w:left="700" w:right="360" w:hanging="647"/>
        <w:spacing w:after="0" w:line="237" w:lineRule="auto"/>
        <w:tabs>
          <w:tab w:leader="none" w:pos="7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Company’s Form 10-K for the fiscal year ended February 3, 2024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/s/ Ernie Herrman</w:t>
      </w:r>
    </w:p>
    <w:p>
      <w:pPr>
        <w:spacing w:after="0" w:line="27" w:lineRule="exact"/>
        <w:rPr>
          <w:sz w:val="20"/>
          <w:szCs w:val="20"/>
          <w:color w:val="auto"/>
        </w:rPr>
      </w:pPr>
    </w:p>
    <w:tbl>
      <w:tblPr>
        <w:tblLayout w:type="fixed"/>
        <w:tblInd w:w="6820" w:type="dxa"/>
        <w:tblCellMar>
          <w:top w:w="0" w:type="dxa"/>
          <w:left w:w="0" w:type="dxa"/>
          <w:bottom w:w="0" w:type="dxa"/>
          <w:right w:w="0" w:type="dxa"/>
        </w:tblCellMar>
      </w:tblPr>
      <w:tr>
        <w:trPr>
          <w:trHeight w:val="218"/>
        </w:trPr>
        <w:tc>
          <w:tcPr>
            <w:tcW w:w="7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68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Ernie Herrman</w:t>
            </w:r>
          </w:p>
        </w:tc>
      </w:tr>
      <w:tr>
        <w:trPr>
          <w:trHeight w:val="234"/>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3, 2024</w:t>
      </w:r>
    </w:p>
    <w:p>
      <w:pPr>
        <w:sectPr>
          <w:pgSz w:w="11900" w:h="16838" w:orient="portrait"/>
          <w:cols w:equalWidth="0" w:num="1">
            <w:col w:w="11240"/>
          </w:cols>
          <w:pgMar w:left="320" w:top="887"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0"/>
        <w:spacing w:after="0" w:line="273" w:lineRule="auto"/>
        <w:rPr>
          <w:sz w:val="20"/>
          <w:szCs w:val="20"/>
          <w:color w:val="auto"/>
        </w:rPr>
      </w:pPr>
      <w:r>
        <w:rPr>
          <w:rFonts w:ascii="Times New Roman" w:cs="Times New Roman" w:eastAsia="Times New Roman" w:hAnsi="Times New Roman"/>
          <w:sz w:val="18"/>
          <w:szCs w:val="18"/>
          <w:color w:val="auto"/>
        </w:rPr>
        <w:t>Pursuant to Section 1350, Chapter 63 of Title 18, United States Code, as adopted pursuant to Section 906 of the Sarbanes-Oxley Act of 2002, the undersigned, as Chief Financial Officer of The TJX Companies, Inc. (the “Company”), does hereby certify that to my knowledge:</w:t>
      </w:r>
    </w:p>
    <w:p>
      <w:pPr>
        <w:spacing w:after="0" w:line="2" w:lineRule="exact"/>
        <w:rPr>
          <w:sz w:val="20"/>
          <w:szCs w:val="20"/>
          <w:color w:val="auto"/>
        </w:rPr>
      </w:pPr>
    </w:p>
    <w:p>
      <w:pPr>
        <w:ind w:left="700" w:right="560" w:hanging="647"/>
        <w:spacing w:after="0" w:line="237" w:lineRule="auto"/>
        <w:tabs>
          <w:tab w:leader="none" w:pos="7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Form 10-K for the fiscal year ended February 3, 2024 fully complies with the requirements of Section 13(a) or 15(d) of the Securities Exchange Act of 1934; and</w:t>
      </w:r>
    </w:p>
    <w:p>
      <w:pPr>
        <w:spacing w:after="0" w:line="131" w:lineRule="exact"/>
        <w:rPr>
          <w:sz w:val="20"/>
          <w:szCs w:val="20"/>
          <w:color w:val="auto"/>
        </w:rPr>
      </w:pPr>
    </w:p>
    <w:p>
      <w:pPr>
        <w:ind w:left="700" w:right="360" w:hanging="647"/>
        <w:spacing w:after="0" w:line="237" w:lineRule="auto"/>
        <w:tabs>
          <w:tab w:leader="none" w:pos="7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Company’s Form 10-K for the fiscal year ended February 3, 2024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/s/ John Klinger</w:t>
      </w:r>
    </w:p>
    <w:p>
      <w:pPr>
        <w:spacing w:after="0" w:line="27" w:lineRule="exact"/>
        <w:rPr>
          <w:sz w:val="20"/>
          <w:szCs w:val="20"/>
          <w:color w:val="auto"/>
        </w:rPr>
      </w:pPr>
    </w:p>
    <w:tbl>
      <w:tblPr>
        <w:tblLayout w:type="fixed"/>
        <w:tblInd w:w="6820" w:type="dxa"/>
        <w:tblCellMar>
          <w:top w:w="0" w:type="dxa"/>
          <w:left w:w="0" w:type="dxa"/>
          <w:bottom w:w="0" w:type="dxa"/>
          <w:right w:w="0" w:type="dxa"/>
        </w:tblCellMar>
      </w:tblPr>
      <w:tr>
        <w:trPr>
          <w:trHeight w:val="218"/>
        </w:trPr>
        <w:tc>
          <w:tcPr>
            <w:tcW w:w="7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68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John Klinger</w:t>
            </w:r>
          </w:p>
        </w:tc>
      </w:tr>
      <w:tr>
        <w:trPr>
          <w:trHeight w:val="234"/>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3, 2024</w:t>
      </w:r>
    </w:p>
    <w:p>
      <w:pPr>
        <w:sectPr>
          <w:pgSz w:w="11900" w:h="16838" w:orient="portrait"/>
          <w:cols w:equalWidth="0" w:num="1">
            <w:col w:w="11240"/>
          </w:cols>
          <w:pgMar w:left="320" w:top="887"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TJX Companies,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Policy for Recovery of Executive Officer Incentive Compensation</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(Amended and restated as of October 2, 2023)</w:t>
      </w:r>
    </w:p>
    <w:p>
      <w:pPr>
        <w:spacing w:after="0" w:line="233" w:lineRule="exact"/>
        <w:rPr>
          <w:sz w:val="20"/>
          <w:szCs w:val="20"/>
          <w:color w:val="auto"/>
        </w:rPr>
      </w:pPr>
    </w:p>
    <w:p>
      <w:pPr>
        <w:jc w:val="both"/>
        <w:ind w:firstLine="324"/>
        <w:spacing w:after="0" w:line="234" w:lineRule="auto"/>
        <w:rPr>
          <w:sz w:val="20"/>
          <w:szCs w:val="20"/>
          <w:color w:val="auto"/>
        </w:rPr>
      </w:pPr>
      <w:r>
        <w:rPr>
          <w:rFonts w:ascii="Times New Roman" w:cs="Times New Roman" w:eastAsia="Times New Roman" w:hAnsi="Times New Roman"/>
          <w:sz w:val="22"/>
          <w:szCs w:val="22"/>
          <w:color w:val="auto"/>
        </w:rPr>
        <w:t>The Compensation Committee of the Board of Directors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of The TJX Companies,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has adopted this amended and restated Policy for Recovery of Executive Officer Incentive Compensation (the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in accordance with Section 10D of the Securities Exchange Act of 1934, as amended, and applicable Securities and Exchange Commission and New York Stock Exchange rules (the “</w:t>
      </w:r>
      <w:r>
        <w:rPr>
          <w:rFonts w:ascii="Times New Roman" w:cs="Times New Roman" w:eastAsia="Times New Roman" w:hAnsi="Times New Roman"/>
          <w:sz w:val="22"/>
          <w:szCs w:val="22"/>
          <w:u w:val="single" w:color="auto"/>
          <w:color w:val="auto"/>
        </w:rPr>
        <w:t>Final Rules</w:t>
      </w:r>
      <w:r>
        <w:rPr>
          <w:rFonts w:ascii="Times New Roman" w:cs="Times New Roman" w:eastAsia="Times New Roman" w:hAnsi="Times New Roman"/>
          <w:sz w:val="22"/>
          <w:szCs w:val="22"/>
          <w:color w:val="auto"/>
        </w:rPr>
        <w:t>”). The Policy provides for the Company’s recoupment of certain incentive-based compensation received by Covered Executives (as defined below) if the Company is required to prepare an accounting restatement due to its material noncompliance with any financial reporting requirement under the securities laws in accordance with the Final Rules.</w:t>
      </w:r>
    </w:p>
    <w:p>
      <w:pPr>
        <w:spacing w:after="0" w:line="200" w:lineRule="exact"/>
        <w:rPr>
          <w:sz w:val="20"/>
          <w:szCs w:val="20"/>
          <w:color w:val="auto"/>
        </w:rPr>
      </w:pPr>
    </w:p>
    <w:p>
      <w:pPr>
        <w:ind w:left="660" w:hanging="328"/>
        <w:spacing w:after="0"/>
        <w:tabs>
          <w:tab w:leader="none" w:pos="660"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Administration</w:t>
      </w:r>
    </w:p>
    <w:p>
      <w:pPr>
        <w:spacing w:after="0" w:line="237" w:lineRule="exact"/>
        <w:rPr>
          <w:sz w:val="20"/>
          <w:szCs w:val="20"/>
          <w:color w:val="auto"/>
        </w:rPr>
      </w:pPr>
    </w:p>
    <w:p>
      <w:pPr>
        <w:jc w:val="both"/>
        <w:ind w:firstLine="324"/>
        <w:spacing w:after="0" w:line="236" w:lineRule="auto"/>
        <w:rPr>
          <w:sz w:val="20"/>
          <w:szCs w:val="20"/>
          <w:color w:val="auto"/>
        </w:rPr>
      </w:pPr>
      <w:r>
        <w:rPr>
          <w:rFonts w:ascii="Times New Roman" w:cs="Times New Roman" w:eastAsia="Times New Roman" w:hAnsi="Times New Roman"/>
          <w:sz w:val="22"/>
          <w:szCs w:val="22"/>
          <w:color w:val="auto"/>
        </w:rPr>
        <w:t>Administration and enforcement of this Policy is delegated to the Compensation Committee of the Board (as constituted from time to time, and including any successor committee, the “</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The Committee shall make all determinations under this Policy in its sole discretion. Determinations of the Committee under this Policy need not be uniform with respect to any or all Covered Executives and will be final and binding.</w:t>
      </w:r>
    </w:p>
    <w:p>
      <w:pPr>
        <w:spacing w:after="0" w:line="202" w:lineRule="exact"/>
        <w:rPr>
          <w:sz w:val="20"/>
          <w:szCs w:val="20"/>
          <w:color w:val="auto"/>
        </w:rPr>
      </w:pPr>
    </w:p>
    <w:p>
      <w:pPr>
        <w:ind w:left="660" w:hanging="328"/>
        <w:spacing w:after="0"/>
        <w:tabs>
          <w:tab w:leader="none" w:pos="660"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Effective Date</w:t>
      </w:r>
    </w:p>
    <w:p>
      <w:pPr>
        <w:spacing w:after="0" w:line="23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22"/>
          <w:szCs w:val="22"/>
          <w:color w:val="auto"/>
        </w:rPr>
        <w:t>This Policy shall be effective as of October 2, 2023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and shall apply only to Covered Compensation (as defined below) that is received by a Covered Executive on or after the Effective Date.</w:t>
      </w:r>
    </w:p>
    <w:p>
      <w:pPr>
        <w:spacing w:after="0" w:line="181" w:lineRule="exact"/>
        <w:rPr>
          <w:sz w:val="20"/>
          <w:szCs w:val="20"/>
          <w:color w:val="auto"/>
        </w:rPr>
      </w:pPr>
    </w:p>
    <w:p>
      <w:pPr>
        <w:ind w:left="660" w:hanging="328"/>
        <w:spacing w:after="0"/>
        <w:tabs>
          <w:tab w:leader="none" w:pos="660" w:val="left"/>
        </w:tabs>
        <w:numPr>
          <w:ilvl w:val="0"/>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Covered Executives</w:t>
      </w:r>
    </w:p>
    <w:p>
      <w:pPr>
        <w:spacing w:after="0" w:line="237" w:lineRule="exact"/>
        <w:rPr>
          <w:sz w:val="20"/>
          <w:szCs w:val="20"/>
          <w:color w:val="auto"/>
        </w:rPr>
      </w:pPr>
    </w:p>
    <w:p>
      <w:pPr>
        <w:jc w:val="both"/>
        <w:ind w:firstLine="324"/>
        <w:spacing w:after="0" w:line="244" w:lineRule="auto"/>
        <w:rPr>
          <w:sz w:val="20"/>
          <w:szCs w:val="20"/>
          <w:color w:val="auto"/>
        </w:rPr>
      </w:pPr>
      <w:r>
        <w:rPr>
          <w:rFonts w:ascii="Times New Roman" w:cs="Times New Roman" w:eastAsia="Times New Roman" w:hAnsi="Times New Roman"/>
          <w:sz w:val="22"/>
          <w:szCs w:val="22"/>
          <w:color w:val="auto"/>
        </w:rPr>
        <w:t>This Policy covers each current or former officer of the Company subject to Section 16 of the Securities Exchange Act of 1934, as amended (each, a “</w:t>
      </w:r>
      <w:r>
        <w:rPr>
          <w:rFonts w:ascii="Times New Roman" w:cs="Times New Roman" w:eastAsia="Times New Roman" w:hAnsi="Times New Roman"/>
          <w:sz w:val="22"/>
          <w:szCs w:val="22"/>
          <w:u w:val="single" w:color="auto"/>
          <w:color w:val="auto"/>
        </w:rPr>
        <w:t>Covered Executive</w:t>
      </w:r>
      <w:r>
        <w:rPr>
          <w:rFonts w:ascii="Times New Roman" w:cs="Times New Roman" w:eastAsia="Times New Roman" w:hAnsi="Times New Roman"/>
          <w:sz w:val="22"/>
          <w:szCs w:val="22"/>
          <w:color w:val="auto"/>
        </w:rPr>
        <w:t>”). A Covered Executive shall remain subject to this Policy following termination of employment for any reason and whether or not the officer is a party to an employment agreement.</w:t>
      </w:r>
    </w:p>
    <w:p>
      <w:pPr>
        <w:spacing w:after="0" w:line="196" w:lineRule="exact"/>
        <w:rPr>
          <w:sz w:val="20"/>
          <w:szCs w:val="20"/>
          <w:color w:val="auto"/>
        </w:rPr>
      </w:pPr>
    </w:p>
    <w:p>
      <w:pPr>
        <w:ind w:left="660" w:hanging="328"/>
        <w:spacing w:after="0"/>
        <w:tabs>
          <w:tab w:leader="none" w:pos="660"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Covered Compensation</w:t>
      </w:r>
    </w:p>
    <w:p>
      <w:pPr>
        <w:spacing w:after="0" w:line="237" w:lineRule="exact"/>
        <w:rPr>
          <w:sz w:val="20"/>
          <w:szCs w:val="20"/>
          <w:color w:val="auto"/>
        </w:rPr>
      </w:pPr>
    </w:p>
    <w:p>
      <w:pPr>
        <w:jc w:val="both"/>
        <w:ind w:firstLine="324"/>
        <w:spacing w:after="0" w:line="234" w:lineRule="auto"/>
        <w:rPr>
          <w:sz w:val="20"/>
          <w:szCs w:val="20"/>
          <w:color w:val="auto"/>
        </w:rPr>
      </w:pPr>
      <w:r>
        <w:rPr>
          <w:rFonts w:ascii="Times New Roman" w:cs="Times New Roman" w:eastAsia="Times New Roman" w:hAnsi="Times New Roman"/>
          <w:sz w:val="22"/>
          <w:szCs w:val="22"/>
          <w:color w:val="auto"/>
        </w:rPr>
        <w:t>This Policy applies to any cash-based or equity-based incentive compensation, bonuses, and/or awards that are received by a Covered Executive and that are granted, paid, earned, or that become vested based, wholly or in part, upon the attainment of any financial reporting measure (“</w:t>
      </w:r>
      <w:r>
        <w:rPr>
          <w:rFonts w:ascii="Times New Roman" w:cs="Times New Roman" w:eastAsia="Times New Roman" w:hAnsi="Times New Roman"/>
          <w:sz w:val="22"/>
          <w:szCs w:val="22"/>
          <w:u w:val="single" w:color="auto"/>
          <w:color w:val="auto"/>
        </w:rPr>
        <w:t>Covered Compensation</w:t>
      </w:r>
      <w:r>
        <w:rPr>
          <w:rFonts w:ascii="Times New Roman" w:cs="Times New Roman" w:eastAsia="Times New Roman" w:hAnsi="Times New Roman"/>
          <w:sz w:val="22"/>
          <w:szCs w:val="22"/>
          <w:color w:val="auto"/>
        </w:rPr>
        <w:t>”). A Covered Executive will be deemed to have “received” Covered Compensation for purposes of this Policy in the Company’s fiscal period during which the financial reporting measure specified in the award is attained, even if the Covered Executive remains subject to additional payment conditions with respect to such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17" w:right="339" w:bottom="1440" w:gutter="0" w:footer="0" w:header="0"/>
        </w:sectPr>
      </w:pPr>
    </w:p>
    <w:bookmarkStart w:id="128" w:name="page129"/>
    <w:bookmarkEnd w:id="128"/>
    <w:p>
      <w:pPr>
        <w:jc w:val="both"/>
        <w:ind w:firstLine="324"/>
        <w:spacing w:after="0" w:line="244" w:lineRule="auto"/>
        <w:rPr>
          <w:sz w:val="20"/>
          <w:szCs w:val="20"/>
          <w:color w:val="auto"/>
        </w:rPr>
      </w:pPr>
      <w:r>
        <w:rPr>
          <w:rFonts w:ascii="Times New Roman" w:cs="Times New Roman" w:eastAsia="Times New Roman" w:hAnsi="Times New Roman"/>
          <w:sz w:val="22"/>
          <w:szCs w:val="22"/>
          <w:color w:val="auto"/>
        </w:rPr>
        <w:t>For the avoidance of doubt, none of the following shall be deemed to be Covered Compensation: base salary, a bonus that is paid solely at the discretion of the Committee or Board, and cash or equity-based awards that are earned solely upon satisfaction of a service-based vesting condition and/or one or more subjective or strategic standards.</w:t>
      </w:r>
    </w:p>
    <w:p>
      <w:pPr>
        <w:spacing w:after="0" w:line="200"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22"/>
          <w:szCs w:val="22"/>
          <w:color w:val="auto"/>
        </w:rPr>
        <w:t>This Policy shall apply to any Covered Compensation received by an employee who served as a Covered Executive at any time during the performance period applicable to that Covered Compensation.</w:t>
      </w:r>
    </w:p>
    <w:p>
      <w:pPr>
        <w:spacing w:after="0" w:line="195" w:lineRule="exact"/>
        <w:rPr>
          <w:sz w:val="20"/>
          <w:szCs w:val="20"/>
          <w:color w:val="auto"/>
        </w:rPr>
      </w:pPr>
    </w:p>
    <w:p>
      <w:pPr>
        <w:ind w:left="660" w:hanging="328"/>
        <w:spacing w:after="0"/>
        <w:tabs>
          <w:tab w:leader="none" w:pos="660" w:val="left"/>
        </w:tabs>
        <w:numPr>
          <w:ilvl w:val="0"/>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Financial Restatements; Recoupment</w:t>
      </w:r>
    </w:p>
    <w:p>
      <w:pPr>
        <w:spacing w:after="0" w:line="237" w:lineRule="exact"/>
        <w:rPr>
          <w:sz w:val="20"/>
          <w:szCs w:val="20"/>
          <w:color w:val="auto"/>
        </w:rPr>
      </w:pPr>
    </w:p>
    <w:p>
      <w:pPr>
        <w:jc w:val="both"/>
        <w:ind w:firstLine="324"/>
        <w:spacing w:after="0" w:line="235" w:lineRule="auto"/>
        <w:rPr>
          <w:sz w:val="20"/>
          <w:szCs w:val="20"/>
          <w:color w:val="auto"/>
        </w:rPr>
      </w:pPr>
      <w:r>
        <w:rPr>
          <w:rFonts w:ascii="Times New Roman" w:cs="Times New Roman" w:eastAsia="Times New Roman" w:hAnsi="Times New Roman"/>
          <w:sz w:val="22"/>
          <w:szCs w:val="22"/>
          <w:color w:val="auto"/>
        </w:rPr>
        <w:t>In the event that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(such an accounting restatement, a “</w:t>
      </w:r>
      <w:r>
        <w:rPr>
          <w:rFonts w:ascii="Times New Roman" w:cs="Times New Roman" w:eastAsia="Times New Roman" w:hAnsi="Times New Roman"/>
          <w:sz w:val="22"/>
          <w:szCs w:val="22"/>
          <w:u w:val="single" w:color="auto"/>
          <w:color w:val="auto"/>
        </w:rPr>
        <w:t>Restatement</w:t>
      </w:r>
      <w:r>
        <w:rPr>
          <w:rFonts w:ascii="Times New Roman" w:cs="Times New Roman" w:eastAsia="Times New Roman" w:hAnsi="Times New Roman"/>
          <w:sz w:val="22"/>
          <w:szCs w:val="22"/>
          <w:color w:val="auto"/>
        </w:rPr>
        <w:t>”), the Committee shall review the Covered Compensation received by a Covered Executive during the three-fiscal year period preceding the Determination Date as well as any transition period that results from a change in the Company’s fiscal year within or immediately following such three completed fiscal years.</w:t>
      </w:r>
    </w:p>
    <w:p>
      <w:pPr>
        <w:spacing w:after="0" w:line="210" w:lineRule="exact"/>
        <w:rPr>
          <w:sz w:val="20"/>
          <w:szCs w:val="20"/>
          <w:color w:val="auto"/>
        </w:rPr>
      </w:pPr>
    </w:p>
    <w:p>
      <w:pPr>
        <w:jc w:val="both"/>
        <w:ind w:firstLine="324"/>
        <w:spacing w:after="0" w:line="235" w:lineRule="auto"/>
        <w:rPr>
          <w:sz w:val="20"/>
          <w:szCs w:val="20"/>
          <w:color w:val="auto"/>
        </w:rPr>
      </w:pPr>
      <w:r>
        <w:rPr>
          <w:rFonts w:ascii="Times New Roman" w:cs="Times New Roman" w:eastAsia="Times New Roman" w:hAnsi="Times New Roman"/>
          <w:sz w:val="22"/>
          <w:szCs w:val="22"/>
          <w:color w:val="auto"/>
        </w:rPr>
        <w:t>In the event of a Restatement, regardless of whether the Company filed the restated financial statements, the amount of “</w:t>
      </w:r>
      <w:r>
        <w:rPr>
          <w:rFonts w:ascii="Times New Roman" w:cs="Times New Roman" w:eastAsia="Times New Roman" w:hAnsi="Times New Roman"/>
          <w:sz w:val="22"/>
          <w:szCs w:val="22"/>
          <w:u w:val="single" w:color="auto"/>
          <w:color w:val="auto"/>
        </w:rPr>
        <w:t>Erroneously-Awarded Compensation</w:t>
      </w:r>
      <w:r>
        <w:rPr>
          <w:rFonts w:ascii="Times New Roman" w:cs="Times New Roman" w:eastAsia="Times New Roman" w:hAnsi="Times New Roman"/>
          <w:sz w:val="22"/>
          <w:szCs w:val="22"/>
          <w:color w:val="auto"/>
        </w:rPr>
        <w:t>” that the Committee shall seek to recover from any Covered Executive (whether in the form of cash or equity) is the amount of Covered Compensation received by the Covered Executive that exceeds the amount of Covered Compensation that would have been received by such Covered Executive had it been determined based on the restated amounts, computed without regard to any taxes paid in accordance with the Final Rules.</w:t>
      </w:r>
    </w:p>
    <w:p>
      <w:pPr>
        <w:spacing w:after="0" w:line="206" w:lineRule="exact"/>
        <w:rPr>
          <w:sz w:val="20"/>
          <w:szCs w:val="20"/>
          <w:color w:val="auto"/>
        </w:rPr>
      </w:pPr>
    </w:p>
    <w:p>
      <w:pPr>
        <w:jc w:val="both"/>
        <w:ind w:firstLine="324"/>
        <w:spacing w:after="0" w:line="244" w:lineRule="auto"/>
        <w:rPr>
          <w:sz w:val="20"/>
          <w:szCs w:val="20"/>
          <w:color w:val="auto"/>
        </w:rPr>
      </w:pPr>
      <w:r>
        <w:rPr>
          <w:rFonts w:ascii="Times New Roman" w:cs="Times New Roman" w:eastAsia="Times New Roman" w:hAnsi="Times New Roman"/>
          <w:sz w:val="22"/>
          <w:szCs w:val="22"/>
          <w:color w:val="auto"/>
        </w:rPr>
        <w:t>To the extent Covered Compensation was based on the achievement of a financial reporting measure, but the amount of such Covered Compensation was not awarded or paid on a formulaic basis, the Committee shall determine the amount, if any, of such Covered Compensation that is deemed to be Erroneously-Awarded Compensation in accordance with the Final Rules.</w:t>
      </w:r>
    </w:p>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For purposes of this Policy, the “</w:t>
      </w:r>
      <w:r>
        <w:rPr>
          <w:rFonts w:ascii="Times New Roman" w:cs="Times New Roman" w:eastAsia="Times New Roman" w:hAnsi="Times New Roman"/>
          <w:sz w:val="22"/>
          <w:szCs w:val="22"/>
          <w:u w:val="single" w:color="auto"/>
          <w:color w:val="auto"/>
        </w:rPr>
        <w:t>Determination Date</w:t>
      </w:r>
      <w:r>
        <w:rPr>
          <w:rFonts w:ascii="Times New Roman" w:cs="Times New Roman" w:eastAsia="Times New Roman" w:hAnsi="Times New Roman"/>
          <w:sz w:val="22"/>
          <w:szCs w:val="22"/>
          <w:color w:val="auto"/>
        </w:rPr>
        <w:t>” is the earlier to occur of:</w:t>
      </w:r>
    </w:p>
    <w:p>
      <w:pPr>
        <w:spacing w:after="0" w:line="233" w:lineRule="exact"/>
        <w:rPr>
          <w:sz w:val="20"/>
          <w:szCs w:val="20"/>
          <w:color w:val="auto"/>
        </w:rPr>
      </w:pPr>
    </w:p>
    <w:p>
      <w:pPr>
        <w:ind w:left="660" w:hanging="328"/>
        <w:spacing w:after="0" w:line="282" w:lineRule="auto"/>
        <w:tabs>
          <w:tab w:leader="none" w:pos="648"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date the Board, a committee of the Board, or any officer or officers authorized to take such action if Board action is not required, concludes, or reasonably should have concluded, that the Company is required to prepare a Restatement; or</w:t>
      </w:r>
    </w:p>
    <w:p>
      <w:pPr>
        <w:spacing w:after="0" w:line="161" w:lineRule="exact"/>
        <w:rPr>
          <w:rFonts w:ascii="Times New Roman" w:cs="Times New Roman" w:eastAsia="Times New Roman" w:hAnsi="Times New Roman"/>
          <w:sz w:val="21"/>
          <w:szCs w:val="21"/>
          <w:color w:val="auto"/>
        </w:rPr>
      </w:pPr>
    </w:p>
    <w:p>
      <w:pPr>
        <w:ind w:left="660" w:hanging="328"/>
        <w:spacing w:after="0"/>
        <w:tabs>
          <w:tab w:leader="none" w:pos="6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a court, regulator, or other legally authorized body directs the Company to prepare a Restatement.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152" w:right="339" w:bottom="1440" w:gutter="0" w:footer="0" w:header="0"/>
        </w:sectPr>
      </w:pPr>
    </w:p>
    <w:bookmarkStart w:id="129" w:name="page130"/>
    <w:bookmarkEnd w:id="129"/>
    <w:p>
      <w:pPr>
        <w:ind w:left="660" w:hanging="328"/>
        <w:spacing w:after="0"/>
        <w:tabs>
          <w:tab w:leader="none" w:pos="660"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Method of Recoupment</w:t>
      </w:r>
    </w:p>
    <w:p>
      <w:pPr>
        <w:spacing w:after="0" w:line="23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22"/>
          <w:szCs w:val="22"/>
          <w:color w:val="auto"/>
        </w:rPr>
        <w:t>The Committee will determine, in its sole discretion, the method for recouping Erroneously-Awarded Compensation, which may include, without limitation:</w:t>
      </w:r>
    </w:p>
    <w:p>
      <w:pPr>
        <w:spacing w:after="0" w:line="185" w:lineRule="exact"/>
        <w:rPr>
          <w:sz w:val="20"/>
          <w:szCs w:val="20"/>
          <w:color w:val="auto"/>
        </w:rPr>
      </w:pPr>
    </w:p>
    <w:p>
      <w:pPr>
        <w:ind w:left="640" w:hanging="308"/>
        <w:spacing w:after="0"/>
        <w:tabs>
          <w:tab w:leader="none" w:pos="64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requiring reimbursement of cash incentive compensation previously paid;</w:t>
      </w:r>
    </w:p>
    <w:p>
      <w:pPr>
        <w:spacing w:after="0" w:line="21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cancelling or rescinding some or all outstanding vested or unvested equity (and/or equity-based) awards;</w:t>
      </w:r>
    </w:p>
    <w:p>
      <w:pPr>
        <w:spacing w:after="0" w:line="233" w:lineRule="exact"/>
        <w:rPr>
          <w:rFonts w:ascii="Times New Roman" w:cs="Times New Roman" w:eastAsia="Times New Roman" w:hAnsi="Times New Roman"/>
          <w:sz w:val="22"/>
          <w:szCs w:val="22"/>
          <w:color w:val="auto"/>
        </w:rPr>
      </w:pPr>
    </w:p>
    <w:p>
      <w:pPr>
        <w:ind w:left="640" w:hanging="308"/>
        <w:spacing w:after="0"/>
        <w:tabs>
          <w:tab w:leader="none" w:pos="64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adjusting or withholding from unpaid compensation or other set-off to the extent permitted by applicable law; and/or</w:t>
      </w:r>
    </w:p>
    <w:p>
      <w:pPr>
        <w:spacing w:after="0" w:line="233" w:lineRule="exact"/>
        <w:rPr>
          <w:rFonts w:ascii="Times New Roman" w:cs="Times New Roman" w:eastAsia="Times New Roman" w:hAnsi="Times New Roman"/>
          <w:sz w:val="22"/>
          <w:szCs w:val="22"/>
          <w:color w:val="auto"/>
        </w:rPr>
      </w:pPr>
    </w:p>
    <w:p>
      <w:pPr>
        <w:ind w:left="660" w:right="20" w:hanging="328"/>
        <w:spacing w:after="0" w:line="258" w:lineRule="auto"/>
        <w:tabs>
          <w:tab w:leader="none" w:pos="66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reducing or eliminating future salary increases, cash-based or equity-based incentive compensation, bonuses, awards, or severance.</w:t>
      </w:r>
    </w:p>
    <w:p>
      <w:pPr>
        <w:spacing w:after="0" w:line="181" w:lineRule="exact"/>
        <w:rPr>
          <w:sz w:val="20"/>
          <w:szCs w:val="20"/>
          <w:color w:val="auto"/>
        </w:rPr>
      </w:pPr>
    </w:p>
    <w:p>
      <w:pPr>
        <w:ind w:left="660" w:hanging="328"/>
        <w:spacing w:after="0"/>
        <w:tabs>
          <w:tab w:leader="none" w:pos="660" w:val="left"/>
        </w:tabs>
        <w:numPr>
          <w:ilvl w:val="0"/>
          <w:numId w:val="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Impracticability Exceptions</w:t>
      </w:r>
    </w:p>
    <w:p>
      <w:pPr>
        <w:spacing w:after="0" w:line="23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22"/>
          <w:szCs w:val="22"/>
          <w:color w:val="auto"/>
        </w:rPr>
        <w:t>The Committee shall not seek recoupment of any Erroneously-Awarded Compensation to the extent it determines, in accordance with and subject to the Final Rules, that recovery would be impracticable and that:</w:t>
      </w:r>
    </w:p>
    <w:p>
      <w:pPr>
        <w:spacing w:after="0" w:line="185" w:lineRule="exact"/>
        <w:rPr>
          <w:sz w:val="20"/>
          <w:szCs w:val="20"/>
          <w:color w:val="auto"/>
        </w:rPr>
      </w:pPr>
    </w:p>
    <w:p>
      <w:pPr>
        <w:jc w:val="both"/>
        <w:ind w:left="660" w:hanging="328"/>
        <w:spacing w:after="0" w:line="236" w:lineRule="auto"/>
        <w:tabs>
          <w:tab w:leader="none" w:pos="648"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direct expense paid to a third party to assist in enforcing this Policy would exceed the amount of Erroneously-Awarded Compensation to be recovered, provided that the Company made a reasonable attempt to recover such Erroneously-Awarded Compensation and provided applicable documentation to the New York Stock Exchange in accordance with the Final Rules;</w:t>
      </w:r>
    </w:p>
    <w:p>
      <w:pPr>
        <w:spacing w:after="0" w:line="206" w:lineRule="exact"/>
        <w:rPr>
          <w:rFonts w:ascii="Times New Roman" w:cs="Times New Roman" w:eastAsia="Times New Roman" w:hAnsi="Times New Roman"/>
          <w:sz w:val="22"/>
          <w:szCs w:val="22"/>
          <w:color w:val="auto"/>
        </w:rPr>
      </w:pPr>
    </w:p>
    <w:p>
      <w:pPr>
        <w:jc w:val="both"/>
        <w:ind w:left="660" w:hanging="328"/>
        <w:spacing w:after="0" w:line="244" w:lineRule="auto"/>
        <w:tabs>
          <w:tab w:leader="none" w:pos="66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recovery would violate home country law where that law was adopted prior to November 28, 2022, provided that the Company has obtained an opinion of home country counsel that recovery would result in such a violation and provided such opinion to the New York Stock Exchange in accordance with the Final Rules; and/or</w:t>
      </w:r>
    </w:p>
    <w:p>
      <w:pPr>
        <w:spacing w:after="0" w:line="200" w:lineRule="exact"/>
        <w:rPr>
          <w:rFonts w:ascii="Times New Roman" w:cs="Times New Roman" w:eastAsia="Times New Roman" w:hAnsi="Times New Roman"/>
          <w:sz w:val="22"/>
          <w:szCs w:val="22"/>
          <w:color w:val="auto"/>
        </w:rPr>
      </w:pPr>
    </w:p>
    <w:p>
      <w:pPr>
        <w:jc w:val="both"/>
        <w:ind w:left="660" w:hanging="328"/>
        <w:spacing w:after="0" w:line="244" w:lineRule="auto"/>
        <w:tabs>
          <w:tab w:leader="none" w:pos="648"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recovery would likely cause an otherwise tax-qualified retirement plan, under which benefits are broadly available to Company employees, to fail to meet the requirements of Sections 401(a)(13) and 411(a) of the Internal Revenue Code of 1986, as amended, and the regulations thereunder.</w:t>
      </w:r>
    </w:p>
    <w:p>
      <w:pPr>
        <w:spacing w:after="0" w:line="196" w:lineRule="exact"/>
        <w:rPr>
          <w:sz w:val="20"/>
          <w:szCs w:val="20"/>
          <w:color w:val="auto"/>
        </w:rPr>
      </w:pPr>
    </w:p>
    <w:p>
      <w:pPr>
        <w:ind w:left="660" w:hanging="328"/>
        <w:spacing w:after="0"/>
        <w:tabs>
          <w:tab w:leader="none" w:pos="660" w:val="left"/>
        </w:tabs>
        <w:numPr>
          <w:ilvl w:val="0"/>
          <w:numId w:val="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Indemnification</w:t>
      </w:r>
    </w:p>
    <w:p>
      <w:pPr>
        <w:spacing w:after="0" w:line="237" w:lineRule="exact"/>
        <w:rPr>
          <w:sz w:val="20"/>
          <w:szCs w:val="20"/>
          <w:color w:val="auto"/>
        </w:rPr>
      </w:pPr>
    </w:p>
    <w:p>
      <w:pPr>
        <w:jc w:val="both"/>
        <w:ind w:firstLine="324"/>
        <w:spacing w:after="0" w:line="236" w:lineRule="auto"/>
        <w:rPr>
          <w:sz w:val="20"/>
          <w:szCs w:val="20"/>
          <w:color w:val="auto"/>
        </w:rPr>
      </w:pPr>
      <w:r>
        <w:rPr>
          <w:rFonts w:ascii="Times New Roman" w:cs="Times New Roman" w:eastAsia="Times New Roman" w:hAnsi="Times New Roman"/>
          <w:sz w:val="22"/>
          <w:szCs w:val="22"/>
          <w:color w:val="auto"/>
        </w:rPr>
        <w:t>For the avoidance of doubt, the Company is prohibited from indemnifying any Covered Executive against the loss of any Erroneously-Awarded Compensation, any Covered Compensation that is recouped pursuant to the terms of this Policy, or any claims relating to the Company’s enforcement of its rights under this Policy. Further, the Company is prohibited from paying or reimbursing a Covered Executive for purchasing insurance to cover such a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148" w:right="339" w:bottom="1440" w:gutter="0" w:footer="0" w:header="0"/>
        </w:sectPr>
      </w:pPr>
    </w:p>
    <w:bookmarkStart w:id="130" w:name="page131"/>
    <w:bookmarkEnd w:id="130"/>
    <w:p>
      <w:pPr>
        <w:ind w:left="660" w:hanging="328"/>
        <w:spacing w:after="0"/>
        <w:tabs>
          <w:tab w:leader="none" w:pos="660" w:val="left"/>
        </w:tabs>
        <w:numPr>
          <w:ilvl w:val="0"/>
          <w:numId w:val="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Severability</w:t>
      </w:r>
    </w:p>
    <w:p>
      <w:pPr>
        <w:spacing w:after="0" w:line="237" w:lineRule="exact"/>
        <w:rPr>
          <w:sz w:val="20"/>
          <w:szCs w:val="20"/>
          <w:color w:val="auto"/>
        </w:rPr>
      </w:pPr>
    </w:p>
    <w:p>
      <w:pPr>
        <w:jc w:val="both"/>
        <w:ind w:firstLine="324"/>
        <w:spacing w:after="0" w:line="236" w:lineRule="auto"/>
        <w:rPr>
          <w:sz w:val="20"/>
          <w:szCs w:val="20"/>
          <w:color w:val="auto"/>
        </w:rPr>
      </w:pPr>
      <w:r>
        <w:rPr>
          <w:rFonts w:ascii="Times New Roman" w:cs="Times New Roman" w:eastAsia="Times New Roman" w:hAnsi="Times New Roman"/>
          <w:sz w:val="22"/>
          <w:szCs w:val="22"/>
          <w:color w:val="auto"/>
        </w:rPr>
        <w:t>If any provision of this Policy or the application of any such provision to any Covered Executive shall be adjudicated to be invalid, illegal, or unenforceable in any respect, such invalidity, illegality, or unenforceability shall not affect any other provisions of this Policy, and the invalid, illegal, or unenforceable provisions shall be deemed amended to the minimum extent necessary to render any such provision or application enforceable.</w:t>
      </w:r>
    </w:p>
    <w:p>
      <w:pPr>
        <w:spacing w:after="0" w:line="202" w:lineRule="exact"/>
        <w:rPr>
          <w:sz w:val="20"/>
          <w:szCs w:val="20"/>
          <w:color w:val="auto"/>
        </w:rPr>
      </w:pPr>
    </w:p>
    <w:p>
      <w:pPr>
        <w:ind w:left="660" w:hanging="328"/>
        <w:spacing w:after="0"/>
        <w:tabs>
          <w:tab w:leader="none" w:pos="660" w:val="left"/>
        </w:tabs>
        <w:numPr>
          <w:ilvl w:val="0"/>
          <w:numId w:val="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Amendments</w:t>
      </w:r>
    </w:p>
    <w:p>
      <w:pPr>
        <w:spacing w:after="0" w:line="237" w:lineRule="exact"/>
        <w:rPr>
          <w:sz w:val="20"/>
          <w:szCs w:val="20"/>
          <w:color w:val="auto"/>
        </w:rPr>
      </w:pPr>
    </w:p>
    <w:p>
      <w:pPr>
        <w:jc w:val="both"/>
        <w:ind w:firstLine="324"/>
        <w:spacing w:after="0" w:line="244" w:lineRule="auto"/>
        <w:rPr>
          <w:sz w:val="20"/>
          <w:szCs w:val="20"/>
          <w:color w:val="auto"/>
        </w:rPr>
      </w:pPr>
      <w:r>
        <w:rPr>
          <w:rFonts w:ascii="Times New Roman" w:cs="Times New Roman" w:eastAsia="Times New Roman" w:hAnsi="Times New Roman"/>
          <w:sz w:val="22"/>
          <w:szCs w:val="22"/>
          <w:color w:val="auto"/>
        </w:rPr>
        <w:t>The Committee or Board may amend, supplement or terminate this Policy in whole or in part at any time and may adopt such rules and procedures that it deems necessary or appropriate to implement this Policy or to comply with applicable laws and regulations.</w:t>
      </w:r>
    </w:p>
    <w:p>
      <w:pPr>
        <w:spacing w:after="0" w:line="196" w:lineRule="exact"/>
        <w:rPr>
          <w:sz w:val="20"/>
          <w:szCs w:val="20"/>
          <w:color w:val="auto"/>
        </w:rPr>
      </w:pPr>
    </w:p>
    <w:p>
      <w:pPr>
        <w:ind w:left="640" w:hanging="308"/>
        <w:spacing w:after="0"/>
        <w:tabs>
          <w:tab w:leader="none" w:pos="640" w:val="left"/>
        </w:tabs>
        <w:numPr>
          <w:ilvl w:val="0"/>
          <w:numId w:val="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Successors</w:t>
      </w:r>
    </w:p>
    <w:p>
      <w:pPr>
        <w:spacing w:after="0" w:line="23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22"/>
          <w:szCs w:val="22"/>
          <w:color w:val="auto"/>
        </w:rPr>
        <w:t>This Policy is binding and enforceable against all Covered Executives and their beneficiaries, heirs, executors, administrators, or other legal representatives.</w:t>
      </w:r>
    </w:p>
    <w:p>
      <w:pPr>
        <w:spacing w:after="0" w:line="181" w:lineRule="exact"/>
        <w:rPr>
          <w:sz w:val="20"/>
          <w:szCs w:val="20"/>
          <w:color w:val="auto"/>
        </w:rPr>
      </w:pPr>
    </w:p>
    <w:p>
      <w:pPr>
        <w:ind w:left="660" w:hanging="328"/>
        <w:spacing w:after="0"/>
        <w:tabs>
          <w:tab w:leader="none" w:pos="660" w:val="left"/>
        </w:tabs>
        <w:numPr>
          <w:ilvl w:val="0"/>
          <w:numId w:val="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Disclosures</w:t>
      </w: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The Company shall file all disclosures with respect to this Policy in accordance with the requirements of the Final Rules.</w:t>
      </w:r>
    </w:p>
    <w:p>
      <w:pPr>
        <w:spacing w:after="0" w:line="216" w:lineRule="exact"/>
        <w:rPr>
          <w:sz w:val="20"/>
          <w:szCs w:val="20"/>
          <w:color w:val="auto"/>
        </w:rPr>
      </w:pPr>
    </w:p>
    <w:p>
      <w:pPr>
        <w:ind w:left="660" w:hanging="328"/>
        <w:spacing w:after="0"/>
        <w:tabs>
          <w:tab w:leader="none" w:pos="660" w:val="left"/>
        </w:tabs>
        <w:numPr>
          <w:ilvl w:val="0"/>
          <w:numId w:val="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Impairment of Other Remedies</w:t>
      </w:r>
    </w:p>
    <w:p>
      <w:pPr>
        <w:spacing w:after="0" w:line="237" w:lineRule="exact"/>
        <w:rPr>
          <w:sz w:val="20"/>
          <w:szCs w:val="20"/>
          <w:color w:val="auto"/>
        </w:rPr>
      </w:pPr>
    </w:p>
    <w:p>
      <w:pPr>
        <w:jc w:val="both"/>
        <w:ind w:firstLine="324"/>
        <w:spacing w:after="0" w:line="235" w:lineRule="auto"/>
        <w:rPr>
          <w:sz w:val="20"/>
          <w:szCs w:val="20"/>
          <w:color w:val="auto"/>
        </w:rPr>
      </w:pPr>
      <w:r>
        <w:rPr>
          <w:rFonts w:ascii="Times New Roman" w:cs="Times New Roman" w:eastAsia="Times New Roman" w:hAnsi="Times New Roman"/>
          <w:sz w:val="22"/>
          <w:szCs w:val="22"/>
          <w:color w:val="auto"/>
        </w:rPr>
        <w:t>The remedies under this Policy are in addition to, and not in lieu of, any legal and equitable claims the Company may have; any remedies the Company may have for the adjustment, forfeiture, or recoupment of compensation under any employment agreement or other Company policy, plan, program, or agreement; or any actions that may be imposed by law enforcement agencies, regulators or other authorities. Notwithstanding the foregoing, if there is a conflict between the application of this Policy and the terms of any employment agreement or other Company policy, plan, program, or agreement, the provisions of this Policy shall control. Nothing in this Policy shall prohibit the Company from adopting or amending additional terms providing for the adjustment, forfeiture or recoupment of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sectPr>
      <w:pgSz w:w="11900" w:h="16838" w:orient="portrait"/>
      <w:cols w:equalWidth="0" w:num="1">
        <w:col w:w="11240"/>
      </w:cols>
      <w:pgMar w:left="320" w:top="114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1)"/>
      <w:numFmt w:val="lowerLetter"/>
      <w:start w:val="1"/>
    </w:lvl>
  </w:abstractNum>
  <w:abstractNum w:abstractNumId="3">
    <w:nsid w:val="2463B9EA"/>
    <w:multiLevelType w:val="hybridMultilevel"/>
    <w:lvl w:ilvl="0">
      <w:lvlJc w:val="left"/>
      <w:lvlText w:val="\endash "/>
      <w:numFmt w:val="bullet"/>
      <w:start w:val="1"/>
    </w:lvl>
  </w:abstractNum>
  <w:abstractNum w:abstractNumId="4">
    <w:nsid w:val="5E884ADC"/>
    <w:multiLevelType w:val="hybridMultilevel"/>
    <w:lvl w:ilvl="0">
      <w:lvlJc w:val="left"/>
      <w:lvlText w:val="\endash "/>
      <w:numFmt w:val="bullet"/>
      <w:start w:val="1"/>
    </w:lvl>
  </w:abstractNum>
  <w:abstractNum w:abstractNumId="5">
    <w:nsid w:val="51EAD36B"/>
    <w:multiLevelType w:val="hybridMultilevel"/>
    <w:lvl w:ilvl="0">
      <w:lvlJc w:val="left"/>
      <w:lvlText w:val="\endash "/>
      <w:numFmt w:val="bullet"/>
      <w:start w:val="1"/>
    </w:lvl>
  </w:abstractNum>
  <w:abstractNum w:abstractNumId="6">
    <w:nsid w:val="2D517796"/>
    <w:multiLevelType w:val="hybridMultilevel"/>
    <w:lvl w:ilvl="0">
      <w:lvlJc w:val="left"/>
      <w:lvlText w:val="(%1)"/>
      <w:numFmt w:val="lowerLetter"/>
      <w:start w:val="1"/>
    </w:lvl>
  </w:abstractNum>
  <w:abstractNum w:abstractNumId="7">
    <w:nsid w:val="580BD78F"/>
    <w:multiLevelType w:val="hybridMultilevel"/>
    <w:lvl w:ilvl="0">
      <w:lvlJc w:val="left"/>
      <w:lvlText w:val="(%1)"/>
      <w:numFmt w:val="lowerLetter"/>
      <w:start w:val="1"/>
    </w:lvl>
  </w:abstractNum>
  <w:abstractNum w:abstractNumId="8">
    <w:nsid w:val="153EA438"/>
    <w:multiLevelType w:val="hybridMultilevel"/>
    <w:lvl w:ilvl="0">
      <w:lvlJc w:val="left"/>
      <w:lvlText w:val="\endash "/>
      <w:numFmt w:val="bullet"/>
      <w:start w:val="1"/>
    </w:lvl>
  </w:abstractNum>
  <w:abstractNum w:abstractNumId="9">
    <w:nsid w:val="3855585C"/>
    <w:multiLevelType w:val="hybridMultilevel"/>
    <w:lvl w:ilvl="0">
      <w:lvlJc w:val="left"/>
      <w:lvlText w:val="\endash "/>
      <w:numFmt w:val="bullet"/>
      <w:start w:val="1"/>
    </w:lvl>
  </w:abstractNum>
  <w:abstractNum w:abstractNumId="10">
    <w:nsid w:val="70A64E2A"/>
    <w:multiLevelType w:val="hybridMultilevel"/>
    <w:lvl w:ilvl="0">
      <w:lvlJc w:val="left"/>
      <w:lvlText w:val="(%1)"/>
      <w:numFmt w:val="lowerLetter"/>
      <w:start w:val="1"/>
    </w:lvl>
  </w:abstractNum>
  <w:abstractNum w:abstractNumId="11">
    <w:nsid w:val="6A2342EC"/>
    <w:multiLevelType w:val="hybridMultilevel"/>
    <w:lvl w:ilvl="0">
      <w:lvlJc w:val="left"/>
      <w:lvlText w:val="(%1)"/>
      <w:numFmt w:val="lowerLetter"/>
      <w:start w:val="1"/>
    </w:lvl>
  </w:abstractNum>
  <w:abstractNum w:abstractNumId="12">
    <w:nsid w:val="2A487CB0"/>
    <w:multiLevelType w:val="hybridMultilevel"/>
    <w:lvl w:ilvl="0">
      <w:lvlJc w:val="left"/>
      <w:lvlText w:val="\endash "/>
      <w:numFmt w:val="bullet"/>
      <w:start w:val="1"/>
    </w:lvl>
  </w:abstractNum>
  <w:abstractNum w:abstractNumId="13">
    <w:nsid w:val="1D4ED43B"/>
    <w:multiLevelType w:val="hybridMultilevel"/>
    <w:lvl w:ilvl="0">
      <w:lvlJc w:val="left"/>
      <w:lvlText w:val="\endash "/>
      <w:numFmt w:val="bullet"/>
      <w:start w:val="1"/>
    </w:lvl>
  </w:abstractNum>
  <w:abstractNum w:abstractNumId="14">
    <w:nsid w:val="725A06FB"/>
    <w:multiLevelType w:val="hybridMultilevel"/>
    <w:lvl w:ilvl="0">
      <w:lvlJc w:val="left"/>
      <w:lvlText w:val="%1"/>
      <w:numFmt w:val="decimal"/>
      <w:start w:val="21"/>
    </w:lvl>
  </w:abstractNum>
  <w:abstractNum w:abstractNumId="15">
    <w:nsid w:val="2CD89A32"/>
    <w:multiLevelType w:val="hybridMultilevel"/>
    <w:lvl w:ilvl="0">
      <w:lvlJc w:val="left"/>
      <w:lvlText w:val="%1"/>
      <w:numFmt w:val="decimal"/>
      <w:start w:val="23"/>
    </w:lvl>
  </w:abstractNum>
  <w:abstractNum w:abstractNumId="16">
    <w:nsid w:val="57E4CCAF"/>
    <w:multiLevelType w:val="hybridMultilevel"/>
    <w:lvl w:ilvl="0">
      <w:lvlJc w:val="left"/>
      <w:lvlText w:val="%1"/>
      <w:numFmt w:val="decimal"/>
      <w:start w:val="97"/>
    </w:lvl>
  </w:abstractNum>
  <w:abstractNum w:abstractNumId="17">
    <w:nsid w:val="7A6D8D3C"/>
    <w:multiLevelType w:val="hybridMultilevel"/>
    <w:lvl w:ilvl="0">
      <w:lvlJc w:val="left"/>
      <w:lvlText w:val="%1"/>
      <w:numFmt w:val="decimal"/>
      <w:start w:val="101"/>
    </w:lvl>
  </w:abstractNum>
  <w:abstractNum w:abstractNumId="18">
    <w:nsid w:val="4B588F54"/>
    <w:multiLevelType w:val="hybridMultilevel"/>
    <w:lvl w:ilvl="0">
      <w:lvlJc w:val="left"/>
      <w:lvlText w:val="*"/>
      <w:numFmt w:val="bullet"/>
      <w:start w:val="1"/>
    </w:lvl>
    <w:lvl w:ilvl="1">
      <w:lvlJc w:val="left"/>
      <w:lvlText w:val="%2"/>
      <w:numFmt w:val="decimal"/>
      <w:start w:val="104"/>
    </w:lvl>
  </w:abstractNum>
  <w:abstractNum w:abstractNumId="19">
    <w:nsid w:val="542289EC"/>
    <w:multiLevelType w:val="hybridMultilevel"/>
    <w:lvl w:ilvl="0">
      <w:lvlJc w:val="left"/>
      <w:lvlText w:val="**"/>
      <w:numFmt w:val="bullet"/>
      <w:start w:val="1"/>
    </w:lvl>
    <w:lvl w:ilvl="1">
      <w:lvlJc w:val="left"/>
      <w:lvlText w:val="%2"/>
      <w:numFmt w:val="decimal"/>
      <w:start w:val="1"/>
    </w:lvl>
  </w:abstractNum>
  <w:abstractNum w:abstractNumId="20">
    <w:nsid w:val="6DE91B18"/>
    <w:multiLevelType w:val="hybridMultilevel"/>
    <w:lvl w:ilvl="0">
      <w:lvlJc w:val="left"/>
      <w:lvlText w:val="(%1)"/>
      <w:numFmt w:val="lowerLetter"/>
      <w:start w:val="1"/>
    </w:lvl>
  </w:abstractNum>
  <w:abstractNum w:abstractNumId="21">
    <w:nsid w:val="38437FDB"/>
    <w:multiLevelType w:val="hybridMultilevel"/>
    <w:lvl w:ilvl="0">
      <w:lvlJc w:val="left"/>
      <w:lvlText w:val="(%1)"/>
      <w:numFmt w:val="lowerLetter"/>
      <w:start w:val="1"/>
    </w:lvl>
  </w:abstractNum>
  <w:abstractNum w:abstractNumId="22">
    <w:nsid w:val="7644A45C"/>
    <w:multiLevelType w:val="hybridMultilevel"/>
    <w:lvl w:ilvl="0">
      <w:lvlJc w:val="left"/>
      <w:lvlText w:val="(%1)"/>
      <w:numFmt w:val="lowerLetter"/>
      <w:start w:val="1"/>
    </w:lvl>
  </w:abstractNum>
  <w:abstractNum w:abstractNumId="23">
    <w:nsid w:val="32FFF902"/>
    <w:multiLevelType w:val="hybridMultilevel"/>
    <w:lvl w:ilvl="0">
      <w:lvlJc w:val="left"/>
      <w:lvlText w:val="(%1)"/>
      <w:numFmt w:val="lowerRoman"/>
      <w:start w:val="2"/>
    </w:lvl>
  </w:abstractNum>
  <w:abstractNum w:abstractNumId="24">
    <w:nsid w:val="684A481A"/>
    <w:multiLevelType w:val="hybridMultilevel"/>
    <w:lvl w:ilvl="0">
      <w:lvlJc w:val="left"/>
      <w:lvlText w:val="%1."/>
      <w:numFmt w:val="decimal"/>
      <w:start w:val="1"/>
    </w:lvl>
  </w:abstractNum>
  <w:abstractNum w:abstractNumId="25">
    <w:nsid w:val="579478FE"/>
    <w:multiLevelType w:val="hybridMultilevel"/>
    <w:lvl w:ilvl="0">
      <w:lvlJc w:val="left"/>
      <w:lvlText w:val="%1."/>
      <w:numFmt w:val="decimal"/>
      <w:start w:val="1"/>
    </w:lvl>
  </w:abstractNum>
  <w:abstractNum w:abstractNumId="26">
    <w:nsid w:val="749ABB43"/>
    <w:multiLevelType w:val="hybridMultilevel"/>
    <w:lvl w:ilvl="0">
      <w:lvlJc w:val="left"/>
      <w:lvlText w:val="%1."/>
      <w:numFmt w:val="decimal"/>
      <w:start w:val="4"/>
    </w:lvl>
    <w:lvl w:ilvl="1">
      <w:lvlJc w:val="left"/>
      <w:lvlText w:val="(%2)"/>
      <w:numFmt w:val="lowerLetter"/>
      <w:start w:val="1"/>
    </w:lvl>
  </w:abstractNum>
  <w:abstractNum w:abstractNumId="27">
    <w:nsid w:val="3DC240FB"/>
    <w:multiLevelType w:val="hybridMultilevel"/>
    <w:lvl w:ilvl="0">
      <w:lvlJc w:val="left"/>
      <w:lvlText w:val="(%1)"/>
      <w:numFmt w:val="lowerLetter"/>
      <w:start w:val="2"/>
    </w:lvl>
  </w:abstractNum>
  <w:abstractNum w:abstractNumId="28">
    <w:nsid w:val="1BA026FA"/>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9">
    <w:nsid w:val="79A1DEAA"/>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30">
    <w:nsid w:val="75C6C33A"/>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31">
    <w:nsid w:val="12E685FB"/>
    <w:multiLevelType w:val="hybridMultilevel"/>
    <w:lvl w:ilvl="0">
      <w:lvlJc w:val="left"/>
      <w:lvlText w:val="(%1)"/>
      <w:numFmt w:val="lowerLetter"/>
      <w:start w:val="3"/>
    </w:lvl>
  </w:abstractNum>
  <w:abstractNum w:abstractNumId="32">
    <w:nsid w:val="70C6A529"/>
    <w:multiLevelType w:val="hybridMultilevel"/>
    <w:lvl w:ilvl="0">
      <w:lvlJc w:val="left"/>
      <w:lvlText w:val="%1"/>
      <w:numFmt w:val="decimal"/>
      <w:start w:val="1"/>
    </w:lvl>
    <w:lvl w:ilvl="1">
      <w:lvlJc w:val="left"/>
      <w:lvlText w:val="(%2)"/>
      <w:numFmt w:val="lowerLetter"/>
      <w:start w:val="6"/>
    </w:lvl>
  </w:abstractNum>
  <w:abstractNum w:abstractNumId="33">
    <w:nsid w:val="520EEDD1"/>
    <w:multiLevelType w:val="hybridMultilevel"/>
    <w:lvl w:ilvl="0">
      <w:lvlJc w:val="left"/>
      <w:lvlText w:val="%1."/>
      <w:numFmt w:val="decimal"/>
      <w:start w:val="9"/>
    </w:lvl>
    <w:lvl w:ilvl="1">
      <w:lvlJc w:val="left"/>
      <w:lvlText w:val="%2"/>
      <w:numFmt w:val="lowerLetter"/>
      <w:start w:val="1"/>
    </w:lvl>
  </w:abstractNum>
  <w:abstractNum w:abstractNumId="34">
    <w:nsid w:val="374A3FE6"/>
    <w:multiLevelType w:val="hybridMultilevel"/>
    <w:lvl w:ilvl="0">
      <w:lvlJc w:val="left"/>
      <w:lvlText w:val="%1."/>
      <w:numFmt w:val="decimal"/>
      <w:start w:val="10"/>
    </w:lvl>
    <w:lvl w:ilvl="1">
      <w:lvlJc w:val="left"/>
      <w:lvlText w:val="(%2)"/>
      <w:numFmt w:val="lowerLetter"/>
      <w:start w:val="1"/>
    </w:lvl>
  </w:abstractNum>
  <w:abstractNum w:abstractNumId="35">
    <w:nsid w:val="4F4EF005"/>
    <w:multiLevelType w:val="hybridMultilevel"/>
    <w:lvl w:ilvl="0">
      <w:lvlJc w:val="left"/>
      <w:lvlText w:val="(%1)"/>
      <w:numFmt w:val="lowerLetter"/>
      <w:start w:val="5"/>
    </w:lvl>
  </w:abstractNum>
  <w:abstractNum w:abstractNumId="36">
    <w:nsid w:val="23F9C13C"/>
    <w:multiLevelType w:val="hybridMultilevel"/>
    <w:lvl w:ilvl="0">
      <w:lvlJc w:val="left"/>
      <w:lvlText w:val="(%1)"/>
      <w:numFmt w:val="lowerLetter"/>
      <w:start w:val="7"/>
    </w:lvl>
  </w:abstractNum>
  <w:abstractNum w:abstractNumId="37">
    <w:nsid w:val="649BB77C"/>
    <w:multiLevelType w:val="hybridMultilevel"/>
    <w:lvl w:ilvl="0">
      <w:lvlJc w:val="left"/>
      <w:lvlText w:val="(%1)"/>
      <w:numFmt w:val="lowerLetter"/>
      <w:start w:val="1"/>
    </w:lvl>
  </w:abstractNum>
  <w:abstractNum w:abstractNumId="38">
    <w:nsid w:val="275AC794"/>
    <w:multiLevelType w:val="hybridMultilevel"/>
    <w:lvl w:ilvl="0">
      <w:lvlJc w:val="left"/>
      <w:lvlText w:val="(%1)"/>
      <w:numFmt w:val="lowerLetter"/>
      <w:start w:val="5"/>
    </w:lvl>
  </w:abstractNum>
  <w:abstractNum w:abstractNumId="39">
    <w:nsid w:val="39386575"/>
    <w:multiLevelType w:val="hybridMultilevel"/>
    <w:lvl w:ilvl="0">
      <w:lvlJc w:val="left"/>
      <w:lvlText w:val="(%1)"/>
      <w:numFmt w:val="lowerLetter"/>
      <w:start w:val="11"/>
    </w:lvl>
  </w:abstractNum>
  <w:abstractNum w:abstractNumId="40">
    <w:nsid w:val="1CF10FD8"/>
    <w:multiLevelType w:val="hybridMultilevel"/>
    <w:lvl w:ilvl="0">
      <w:lvlJc w:val="left"/>
      <w:lvlText w:val="(%1)"/>
      <w:numFmt w:val="lowerLetter"/>
      <w:start w:val="17"/>
    </w:lvl>
    <w:lvl w:ilvl="1">
      <w:lvlJc w:val="left"/>
      <w:lvlText w:val="•"/>
      <w:numFmt w:val="bullet"/>
      <w:start w:val="1"/>
    </w:lvl>
  </w:abstractNum>
  <w:abstractNum w:abstractNumId="41">
    <w:nsid w:val="180115BE"/>
    <w:multiLevelType w:val="hybridMultilevel"/>
    <w:lvl w:ilvl="0">
      <w:lvlJc w:val="left"/>
      <w:lvlText w:val="(%1)"/>
      <w:numFmt w:val="lowerLetter"/>
      <w:start w:val="21"/>
    </w:lvl>
  </w:abstractNum>
  <w:abstractNum w:abstractNumId="42">
    <w:nsid w:val="235BA861"/>
    <w:multiLevelType w:val="hybridMultilevel"/>
    <w:lvl w:ilvl="0">
      <w:lvlJc w:val="left"/>
      <w:lvlText w:val="(%1)"/>
      <w:numFmt w:val="lowerLetter"/>
      <w:start w:val="27"/>
    </w:lvl>
  </w:abstractNum>
  <w:abstractNum w:abstractNumId="43">
    <w:nsid w:val="47398C89"/>
    <w:multiLevelType w:val="hybridMultilevel"/>
    <w:lvl w:ilvl="0">
      <w:lvlJc w:val="left"/>
      <w:lvlText w:val="(%1)"/>
      <w:numFmt w:val="lowerLetter"/>
      <w:start w:val="30"/>
    </w:lvl>
  </w:abstractNum>
  <w:abstractNum w:abstractNumId="44">
    <w:nsid w:val="354FE9F9"/>
    <w:multiLevelType w:val="hybridMultilevel"/>
    <w:lvl w:ilvl="0">
      <w:lvlJc w:val="left"/>
      <w:lvlText w:val="(%1)"/>
      <w:numFmt w:val="lowerLetter"/>
      <w:start w:val="1"/>
    </w:lvl>
  </w:abstractNum>
  <w:abstractNum w:abstractNumId="45">
    <w:nsid w:val="15B5AF5C"/>
    <w:multiLevelType w:val="hybridMultilevel"/>
    <w:lvl w:ilvl="0">
      <w:lvlJc w:val="left"/>
      <w:lvlText w:val="(%1)"/>
      <w:numFmt w:val="lowerLetter"/>
      <w:start w:val="5"/>
    </w:lvl>
  </w:abstractNum>
  <w:abstractNum w:abstractNumId="46">
    <w:nsid w:val="741226BB"/>
    <w:multiLevelType w:val="hybridMultilevel"/>
    <w:lvl w:ilvl="0">
      <w:lvlJc w:val="left"/>
      <w:lvlText w:val="%1."/>
      <w:numFmt w:val="decimal"/>
      <w:start w:val="1"/>
    </w:lvl>
  </w:abstractNum>
  <w:abstractNum w:abstractNumId="47">
    <w:nsid w:val="D34B6A8"/>
    <w:multiLevelType w:val="hybridMultilevel"/>
    <w:lvl w:ilvl="0">
      <w:lvlJc w:val="left"/>
      <w:lvlText w:val="(%1)"/>
      <w:numFmt w:val="lowerLetter"/>
      <w:start w:val="1"/>
    </w:lvl>
  </w:abstractNum>
  <w:abstractNum w:abstractNumId="48">
    <w:nsid w:val="10233C99"/>
    <w:multiLevelType w:val="hybridMultilevel"/>
    <w:lvl w:ilvl="0">
      <w:lvlJc w:val="left"/>
      <w:lvlText w:val="(%1)"/>
      <w:numFmt w:val="lowerLetter"/>
      <w:start w:val="2"/>
    </w:lvl>
    <w:lvl w:ilvl="1">
      <w:lvlJc w:val="left"/>
      <w:lvlText w:val="(%2)"/>
      <w:numFmt w:val="lowerLetter"/>
      <w:start w:val="9"/>
    </w:lvl>
  </w:abstractNum>
  <w:abstractNum w:abstractNumId="49">
    <w:nsid w:val="3F6AB60F"/>
    <w:multiLevelType w:val="hybridMultilevel"/>
    <w:lvl w:ilvl="0">
      <w:lvlJc w:val="left"/>
      <w:lvlText w:val="%1"/>
      <w:numFmt w:val="lowerLetter"/>
      <w:start w:val="1"/>
    </w:lvl>
    <w:lvl w:ilvl="1">
      <w:lvlJc w:val="left"/>
      <w:lvlText w:val="(%2)"/>
      <w:numFmt w:val="lowerRoman"/>
      <w:start w:val="2"/>
    </w:lvl>
  </w:abstractNum>
  <w:abstractNum w:abstractNumId="50">
    <w:nsid w:val="61574095"/>
    <w:multiLevelType w:val="hybridMultilevel"/>
    <w:lvl w:ilvl="0">
      <w:lvlJc w:val="left"/>
      <w:lvlText w:val="(%1)"/>
      <w:numFmt w:val="lowerLetter"/>
      <w:start w:val="3"/>
    </w:lvl>
    <w:lvl w:ilvl="1">
      <w:lvlJc w:val="left"/>
      <w:lvlText w:val="%2"/>
      <w:numFmt w:val="lowerRoman"/>
      <w:start w:val="1"/>
    </w:lvl>
  </w:abstractNum>
  <w:abstractNum w:abstractNumId="51">
    <w:nsid w:val="7E0C57B1"/>
    <w:multiLevelType w:val="hybridMultilevel"/>
    <w:lvl w:ilvl="0">
      <w:lvlJc w:val="left"/>
      <w:lvlText w:val="%1."/>
      <w:numFmt w:val="decimal"/>
      <w:start w:val="1"/>
    </w:lvl>
    <w:lvl w:ilvl="1">
      <w:lvlJc w:val="left"/>
      <w:lvlText w:val="(%2)"/>
      <w:numFmt w:val="lowerLetter"/>
      <w:start w:val="1"/>
    </w:lvl>
  </w:abstractNum>
  <w:abstractNum w:abstractNumId="52">
    <w:nsid w:val="77AE35EB"/>
    <w:multiLevelType w:val="hybridMultilevel"/>
    <w:lvl w:ilvl="0">
      <w:lvlJc w:val="left"/>
      <w:lvlText w:val="%1."/>
      <w:numFmt w:val="decimal"/>
      <w:start w:val="1"/>
    </w:lvl>
    <w:lvl w:ilvl="1">
      <w:lvlJc w:val="left"/>
      <w:lvlText w:val="(%2)"/>
      <w:numFmt w:val="lowerLetter"/>
      <w:start w:val="1"/>
    </w:lvl>
  </w:abstractNum>
  <w:abstractNum w:abstractNumId="53">
    <w:nsid w:val="579BE4F1"/>
    <w:multiLevelType w:val="hybridMultilevel"/>
    <w:lvl w:ilvl="0">
      <w:lvlJc w:val="left"/>
      <w:lvlText w:val="1"/>
      <w:numFmt w:val="bullet"/>
      <w:start w:val="1"/>
    </w:lvl>
  </w:abstractNum>
  <w:abstractNum w:abstractNumId="54">
    <w:nsid w:val="310C50B3"/>
    <w:multiLevelType w:val="hybridMultilevel"/>
    <w:lvl w:ilvl="0">
      <w:lvlJc w:val="left"/>
      <w:lvlText w:val="2"/>
      <w:numFmt w:val="bullet"/>
      <w:start w:val="1"/>
    </w:lvl>
  </w:abstractNum>
  <w:abstractNum w:abstractNumId="55">
    <w:nsid w:val="5FF87E05"/>
    <w:multiLevelType w:val="hybridMultilevel"/>
    <w:lvl w:ilvl="0">
      <w:lvlJc w:val="left"/>
      <w:lvlText w:val="1"/>
      <w:numFmt w:val="bullet"/>
      <w:start w:val="1"/>
    </w:lvl>
  </w:abstractNum>
  <w:abstractNum w:abstractNumId="56">
    <w:nsid w:val="2F305DEF"/>
    <w:multiLevelType w:val="hybridMultilevel"/>
    <w:lvl w:ilvl="0">
      <w:lvlJc w:val="left"/>
      <w:lvlText w:val="2"/>
      <w:numFmt w:val="bullet"/>
      <w:start w:val="1"/>
    </w:lvl>
  </w:abstractNum>
  <w:abstractNum w:abstractNumId="57">
    <w:nsid w:val="25A70BF7"/>
    <w:multiLevelType w:val="hybridMultilevel"/>
    <w:lvl w:ilvl="0">
      <w:lvlJc w:val="left"/>
      <w:lvlText w:val="%1."/>
      <w:numFmt w:val="decimal"/>
      <w:start w:val="1"/>
    </w:lvl>
  </w:abstractNum>
  <w:abstractNum w:abstractNumId="58">
    <w:nsid w:val="1DBABF00"/>
    <w:multiLevelType w:val="hybridMultilevel"/>
    <w:lvl w:ilvl="0">
      <w:lvlJc w:val="left"/>
      <w:lvlText w:val="%1."/>
      <w:numFmt w:val="decimal"/>
      <w:start w:val="2"/>
    </w:lvl>
  </w:abstractNum>
  <w:abstractNum w:abstractNumId="59">
    <w:nsid w:val="4AD084E9"/>
    <w:multiLevelType w:val="hybridMultilevel"/>
    <w:lvl w:ilvl="0">
      <w:lvlJc w:val="left"/>
      <w:lvlText w:val="%1."/>
      <w:numFmt w:val="decimal"/>
      <w:start w:val="3"/>
    </w:lvl>
  </w:abstractNum>
  <w:abstractNum w:abstractNumId="60">
    <w:nsid w:val="1F48EAA1"/>
    <w:multiLevelType w:val="hybridMultilevel"/>
    <w:lvl w:ilvl="0">
      <w:lvlJc w:val="left"/>
      <w:lvlText w:val="%1."/>
      <w:numFmt w:val="decimal"/>
      <w:start w:val="4"/>
    </w:lvl>
  </w:abstractNum>
  <w:abstractNum w:abstractNumId="61">
    <w:nsid w:val="1381823A"/>
    <w:multiLevelType w:val="hybridMultilevel"/>
    <w:lvl w:ilvl="0">
      <w:lvlJc w:val="left"/>
      <w:lvlText w:val="%1."/>
      <w:numFmt w:val="decimal"/>
      <w:start w:val="5"/>
    </w:lvl>
  </w:abstractNum>
  <w:abstractNum w:abstractNumId="62">
    <w:nsid w:val="5DB70AE5"/>
    <w:multiLevelType w:val="hybridMultilevel"/>
    <w:lvl w:ilvl="0">
      <w:lvlJc w:val="left"/>
      <w:lvlText w:val="%1."/>
      <w:numFmt w:val="lowerLetter"/>
      <w:start w:val="1"/>
    </w:lvl>
  </w:abstractNum>
  <w:abstractNum w:abstractNumId="63">
    <w:nsid w:val="100F8FCA"/>
    <w:multiLevelType w:val="hybridMultilevel"/>
    <w:lvl w:ilvl="0">
      <w:lvlJc w:val="left"/>
      <w:lvlText w:val="%1."/>
      <w:numFmt w:val="decimal"/>
      <w:start w:val="6"/>
    </w:lvl>
  </w:abstractNum>
  <w:abstractNum w:abstractNumId="64">
    <w:nsid w:val="6590700B"/>
    <w:multiLevelType w:val="hybridMultilevel"/>
    <w:lvl w:ilvl="0">
      <w:lvlJc w:val="left"/>
      <w:lvlText w:val="%1."/>
      <w:numFmt w:val="lowerLetter"/>
      <w:start w:val="1"/>
    </w:lvl>
  </w:abstractNum>
  <w:abstractNum w:abstractNumId="65">
    <w:nsid w:val="15014ACB"/>
    <w:multiLevelType w:val="hybridMultilevel"/>
    <w:lvl w:ilvl="0">
      <w:lvlJc w:val="left"/>
      <w:lvlText w:val="%1."/>
      <w:numFmt w:val="decimal"/>
      <w:start w:val="7"/>
    </w:lvl>
  </w:abstractNum>
  <w:abstractNum w:abstractNumId="66">
    <w:nsid w:val="5F5E7FD0"/>
    <w:multiLevelType w:val="hybridMultilevel"/>
    <w:lvl w:ilvl="0">
      <w:lvlJc w:val="left"/>
      <w:lvlText w:val="%1."/>
      <w:numFmt w:val="lowerLetter"/>
      <w:start w:val="1"/>
    </w:lvl>
  </w:abstractNum>
  <w:abstractNum w:abstractNumId="67">
    <w:nsid w:val="98A3148"/>
    <w:multiLevelType w:val="hybridMultilevel"/>
    <w:lvl w:ilvl="0">
      <w:lvlJc w:val="left"/>
      <w:lvlText w:val="%1."/>
      <w:numFmt w:val="decimal"/>
      <w:start w:val="8"/>
    </w:lvl>
  </w:abstractNum>
  <w:abstractNum w:abstractNumId="68">
    <w:nsid w:val="799D0247"/>
    <w:multiLevelType w:val="hybridMultilevel"/>
    <w:lvl w:ilvl="0">
      <w:lvlJc w:val="left"/>
      <w:lvlText w:val="%1."/>
      <w:numFmt w:val="decimal"/>
      <w:start w:val="9"/>
    </w:lvl>
  </w:abstractNum>
  <w:abstractNum w:abstractNumId="69">
    <w:nsid w:val="6B94764"/>
    <w:multiLevelType w:val="hybridMultilevel"/>
    <w:lvl w:ilvl="0">
      <w:lvlJc w:val="left"/>
      <w:lvlText w:val="%1."/>
      <w:numFmt w:val="decimal"/>
      <w:start w:val="10"/>
    </w:lvl>
  </w:abstractNum>
  <w:abstractNum w:abstractNumId="70">
    <w:nsid w:val="42C296BD"/>
    <w:multiLevelType w:val="hybridMultilevel"/>
    <w:lvl w:ilvl="0">
      <w:lvlJc w:val="left"/>
      <w:lvlText w:val="%1."/>
      <w:numFmt w:val="decimal"/>
      <w:start w:val="11"/>
    </w:lvl>
  </w:abstractNum>
  <w:abstractNum w:abstractNumId="71">
    <w:nsid w:val="168E121F"/>
    <w:multiLevelType w:val="hybridMultilevel"/>
    <w:lvl w:ilvl="0">
      <w:lvlJc w:val="left"/>
      <w:lvlText w:val="%1."/>
      <w:numFmt w:val="decimal"/>
      <w:start w:val="12"/>
    </w:lvl>
  </w:abstractNum>
  <w:abstractNum w:abstractNumId="72">
    <w:nsid w:val="1EBA5D23"/>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77" Type="http://schemas.openxmlformats.org/officeDocument/2006/relationships/image" Target="media/image45.png"/><Relationship Id="rId107" Type="http://schemas.openxmlformats.org/officeDocument/2006/relationships/image" Target="media/image46.png"/><Relationship Id="rId111" Type="http://schemas.openxmlformats.org/officeDocument/2006/relationships/image" Target="media/image47.png"/><Relationship Id="rId112" Type="http://schemas.openxmlformats.org/officeDocument/2006/relationships/image" Target="media/image48.png"/><Relationship Id="rId113" Type="http://schemas.openxmlformats.org/officeDocument/2006/relationships/image" Target="media/image49.png"/><Relationship Id="rId114" Type="http://schemas.openxmlformats.org/officeDocument/2006/relationships/image" Target="media/image50.png"/><Relationship Id="rId115" Type="http://schemas.openxmlformats.org/officeDocument/2006/relationships/image" Target="media/image51.png"/><Relationship Id="rId116" Type="http://schemas.openxmlformats.org/officeDocument/2006/relationships/image" Target="media/image52.png"/><Relationship Id="rId117" Type="http://schemas.openxmlformats.org/officeDocument/2006/relationships/image" Target="media/image53.png"/><Relationship Id="rId118" Type="http://schemas.openxmlformats.org/officeDocument/2006/relationships/image" Target="media/image54.png"/><Relationship Id="rId119" Type="http://schemas.openxmlformats.org/officeDocument/2006/relationships/image" Target="media/image55.png"/><Relationship Id="rId120" Type="http://schemas.openxmlformats.org/officeDocument/2006/relationships/image" Target="media/image56.png"/><Relationship Id="rId121" Type="http://schemas.openxmlformats.org/officeDocument/2006/relationships/image" Target="media/image57.png"/><Relationship Id="rId122" Type="http://schemas.openxmlformats.org/officeDocument/2006/relationships/image" Target="media/image58.png"/><Relationship Id="rId123" Type="http://schemas.openxmlformats.org/officeDocument/2006/relationships/image" Target="media/image59.png"/><Relationship Id="rId124" Type="http://schemas.openxmlformats.org/officeDocument/2006/relationships/image" Target="media/image60.png"/><Relationship Id="rId125" Type="http://schemas.openxmlformats.org/officeDocument/2006/relationships/image" Target="media/image61.png"/><Relationship Id="rId126" Type="http://schemas.openxmlformats.org/officeDocument/2006/relationships/image" Target="media/image62.png"/><Relationship Id="rId127" Type="http://schemas.openxmlformats.org/officeDocument/2006/relationships/image" Target="media/image63.png"/><Relationship Id="rId128" Type="http://schemas.openxmlformats.org/officeDocument/2006/relationships/image" Target="media/image64.png"/><Relationship Id="rId129" Type="http://schemas.openxmlformats.org/officeDocument/2006/relationships/image" Target="media/image65.png"/><Relationship Id="rId130" Type="http://schemas.openxmlformats.org/officeDocument/2006/relationships/image" Target="media/image66.png"/><Relationship Id="rId131" Type="http://schemas.openxmlformats.org/officeDocument/2006/relationships/image" Target="media/image67.png"/><Relationship Id="rId132" Type="http://schemas.openxmlformats.org/officeDocument/2006/relationships/image" Target="media/image68.png"/><Relationship Id="rId133" Type="http://schemas.openxmlformats.org/officeDocument/2006/relationships/image" Target="media/image69.png"/><Relationship Id="rId134" Type="http://schemas.openxmlformats.org/officeDocument/2006/relationships/image" Target="media/image70.png"/><Relationship Id="rId135" Type="http://schemas.openxmlformats.org/officeDocument/2006/relationships/image" Target="media/image71.png"/><Relationship Id="rId136" Type="http://schemas.openxmlformats.org/officeDocument/2006/relationships/image" Target="media/image72.png"/><Relationship Id="rId137" Type="http://schemas.openxmlformats.org/officeDocument/2006/relationships/image" Target="media/image73.png"/><Relationship Id="rId138" Type="http://schemas.openxmlformats.org/officeDocument/2006/relationships/image" Target="media/image74.png"/><Relationship Id="rId139" Type="http://schemas.openxmlformats.org/officeDocument/2006/relationships/image" Target="media/image75.png"/><Relationship Id="rId140" Type="http://schemas.openxmlformats.org/officeDocument/2006/relationships/image" Target="media/image76.png"/><Relationship Id="rId141" Type="http://schemas.openxmlformats.org/officeDocument/2006/relationships/image" Target="media/image77.png"/><Relationship Id="rId142" Type="http://schemas.openxmlformats.org/officeDocument/2006/relationships/image" Target="media/image78.png"/><Relationship Id="rId143" Type="http://schemas.openxmlformats.org/officeDocument/2006/relationships/image" Target="media/image79.png"/><Relationship Id="rId144" Type="http://schemas.openxmlformats.org/officeDocument/2006/relationships/image" Target="media/image80.png"/><Relationship Id="rId145" Type="http://schemas.openxmlformats.org/officeDocument/2006/relationships/image" Target="media/image81.png"/><Relationship Id="rId146" Type="http://schemas.openxmlformats.org/officeDocument/2006/relationships/image" Target="media/image82.png"/><Relationship Id="rId147" Type="http://schemas.openxmlformats.org/officeDocument/2006/relationships/image" Target="media/image83.png"/><Relationship Id="rId148" Type="http://schemas.openxmlformats.org/officeDocument/2006/relationships/image" Target="media/image84.png"/><Relationship Id="rId149" Type="http://schemas.openxmlformats.org/officeDocument/2006/relationships/image" Target="media/image85.png"/><Relationship Id="rId150" Type="http://schemas.openxmlformats.org/officeDocument/2006/relationships/image" Target="media/image86.png"/><Relationship Id="rId151" Type="http://schemas.openxmlformats.org/officeDocument/2006/relationships/image" Target="media/image87.png"/><Relationship Id="rId152" Type="http://schemas.openxmlformats.org/officeDocument/2006/relationships/image" Target="media/image88.png"/><Relationship Id="rId153" Type="http://schemas.openxmlformats.org/officeDocument/2006/relationships/image" Target="media/image89.png"/><Relationship Id="rId154" Type="http://schemas.openxmlformats.org/officeDocument/2006/relationships/image" Target="media/image90.png"/><Relationship Id="rId155" Type="http://schemas.openxmlformats.org/officeDocument/2006/relationships/image" Target="media/image91.png"/><Relationship Id="rId156" Type="http://schemas.openxmlformats.org/officeDocument/2006/relationships/image" Target="media/image92.png"/><Relationship Id="rId157" Type="http://schemas.openxmlformats.org/officeDocument/2006/relationships/image" Target="media/image93.png"/><Relationship Id="rId158" Type="http://schemas.openxmlformats.org/officeDocument/2006/relationships/image" Target="media/image94.png"/><Relationship Id="rId159" Type="http://schemas.openxmlformats.org/officeDocument/2006/relationships/image" Target="media/image95.png"/><Relationship Id="rId160" Type="http://schemas.openxmlformats.org/officeDocument/2006/relationships/image" Target="media/image96.png"/><Relationship Id="rId161" Type="http://schemas.openxmlformats.org/officeDocument/2006/relationships/image" Target="media/image97.png"/><Relationship Id="rId162" Type="http://schemas.openxmlformats.org/officeDocument/2006/relationships/image" Target="media/image98.png"/><Relationship Id="rId163" Type="http://schemas.openxmlformats.org/officeDocument/2006/relationships/image" Target="media/image99.png"/><Relationship Id="rId164" Type="http://schemas.openxmlformats.org/officeDocument/2006/relationships/image" Target="media/image100.png"/><Relationship Id="rId165" Type="http://schemas.openxmlformats.org/officeDocument/2006/relationships/image" Target="media/image101.png"/><Relationship Id="rId166" Type="http://schemas.openxmlformats.org/officeDocument/2006/relationships/image" Target="media/image102.png"/><Relationship Id="rId167" Type="http://schemas.openxmlformats.org/officeDocument/2006/relationships/image" Target="media/image103.png"/><Relationship Id="rId168" Type="http://schemas.openxmlformats.org/officeDocument/2006/relationships/image" Target="media/image104.png"/><Relationship Id="rId169" Type="http://schemas.openxmlformats.org/officeDocument/2006/relationships/image" Target="media/image105.png"/><Relationship Id="rId170" Type="http://schemas.openxmlformats.org/officeDocument/2006/relationships/image" Target="media/image106.png"/><Relationship Id="rId171" Type="http://schemas.openxmlformats.org/officeDocument/2006/relationships/image" Target="media/image107.png"/><Relationship Id="rId172" Type="http://schemas.openxmlformats.org/officeDocument/2006/relationships/image" Target="media/image108.jpeg"/><Relationship Id="rId173" Type="http://schemas.openxmlformats.org/officeDocument/2006/relationships/image" Target="media/image109.jpeg"/><Relationship Id="rId174" Type="http://schemas.openxmlformats.org/officeDocument/2006/relationships/image" Target="media/image110.png"/><Relationship Id="rId175" Type="http://schemas.openxmlformats.org/officeDocument/2006/relationships/image" Target="media/image111.png"/><Relationship Id="rId176" Type="http://schemas.openxmlformats.org/officeDocument/2006/relationships/image" Target="media/image112.png"/><Relationship Id="rId177" Type="http://schemas.openxmlformats.org/officeDocument/2006/relationships/image" Target="media/image113.png"/><Relationship Id="rId178" Type="http://schemas.openxmlformats.org/officeDocument/2006/relationships/image" Target="media/image114.png"/><Relationship Id="rId52" Type="http://schemas.openxmlformats.org/officeDocument/2006/relationships/hyperlink" Target="https://www.sec.gov/Archives/edgar/data/109198/000162828019003834/tjx-20190202exhibit3i1.htm" TargetMode="External"/><Relationship Id="rId53" Type="http://schemas.openxmlformats.org/officeDocument/2006/relationships/hyperlink" Target="https://www.sec.gov/Archives/edgar/data/109198/000119312518031707/d527262dex31.htm" TargetMode="External"/><Relationship Id="rId54" Type="http://schemas.openxmlformats.org/officeDocument/2006/relationships/hyperlink" Target="https://www.sec.gov/Archives/edgar/data/109198/000119312516707413/d252599dex41.htm" TargetMode="External"/><Relationship Id="rId55" Type="http://schemas.openxmlformats.org/officeDocument/2006/relationships/hyperlink" Target="https://www.sec.gov/Archives/edgar/data/109198/000119312516707413/d252599dex42.htm" TargetMode="External"/><Relationship Id="rId56" Type="http://schemas.openxmlformats.org/officeDocument/2006/relationships/hyperlink" Target="https://www.sec.gov/Archives/edgar/data/109198/000119312520094680/d911649dex41.htm" TargetMode="External"/><Relationship Id="rId57" Type="http://schemas.openxmlformats.org/officeDocument/2006/relationships/hyperlink" Target="https://www.sec.gov/Archives/edgar/data/109198/000119312520094680/d911649dex44.htm" TargetMode="External"/><Relationship Id="rId58" Type="http://schemas.openxmlformats.org/officeDocument/2006/relationships/hyperlink" Target="https://www.sec.gov/Archives/edgar/data/109198/000119312520094680/d911649dex45.htm" TargetMode="External"/><Relationship Id="rId59" Type="http://schemas.openxmlformats.org/officeDocument/2006/relationships/hyperlink" Target="https://www.sec.gov/Archives/edgar/data/109198/000119312520309635/d83075dex41.htm" TargetMode="External"/><Relationship Id="rId60" Type="http://schemas.openxmlformats.org/officeDocument/2006/relationships/hyperlink" Target="https://www.sec.gov/Archives/edgar/data/109198/000119312520309635/d83075dex42.htm" TargetMode="External"/><Relationship Id="rId61" Type="http://schemas.openxmlformats.org/officeDocument/2006/relationships/hyperlink" Target="https://www.sec.gov/Archives/edgar/data/109198/000010919820000004/tjx-20200201exhibit406.htm" TargetMode="External"/><Relationship Id="rId62" Type="http://schemas.openxmlformats.org/officeDocument/2006/relationships/hyperlink" Target="https://www.sec.gov/Archives/edgar/data/109198/000162828018014818/tjx-20181103xex102.htm" TargetMode="External"/><Relationship Id="rId63" Type="http://schemas.openxmlformats.org/officeDocument/2006/relationships/hyperlink" Target="https://www.sec.gov/Archives/edgar/data/109198/000162828018014818/tjx-20181103xex103.htm" TargetMode="External"/><Relationship Id="rId64" Type="http://schemas.openxmlformats.org/officeDocument/2006/relationships/hyperlink" Target="https://www.sec.gov/Archives/edgar/data/109198/000162828019003834/tjx-10kx20190202exhibit1003.htm" TargetMode="External"/><Relationship Id="rId65" Type="http://schemas.openxmlformats.org/officeDocument/2006/relationships/hyperlink" Target="https://www.sec.gov/Archives/edgar/data/109198/000010919822000008/tjx-20220129exhibit1004.htm" TargetMode="External"/><Relationship Id="rId66" Type="http://schemas.openxmlformats.org/officeDocument/2006/relationships/hyperlink" Target="https://www.sec.gov/Archives/edgar/data/109198/000162828018014818/tjx-20181103xex104.htm" TargetMode="External"/><Relationship Id="rId67" Type="http://schemas.openxmlformats.org/officeDocument/2006/relationships/hyperlink" Target="https://www.sec.gov/Archives/edgar/data/109198/000162828019003834/tjx-10kx20190202exhibit1005.htm" TargetMode="External"/><Relationship Id="rId68" Type="http://schemas.openxmlformats.org/officeDocument/2006/relationships/hyperlink" Target="https://www.sec.gov/Archives/edgar/data/109198/000010919822000008/tjx-20220129exhibit1007.htm" TargetMode="External"/><Relationship Id="rId69" Type="http://schemas.openxmlformats.org/officeDocument/2006/relationships/hyperlink" Target="https://www.sec.gov/Archives/edgar/data/109198/000119312518107423/d518812dex105.htm" TargetMode="External"/><Relationship Id="rId70" Type="http://schemas.openxmlformats.org/officeDocument/2006/relationships/hyperlink" Target="https://www.sec.gov/Archives/edgar/data/109198/000162828018014818/tjx-20181103xex105.htm" TargetMode="External"/><Relationship Id="rId71" Type="http://schemas.openxmlformats.org/officeDocument/2006/relationships/hyperlink" Target="https://www.sec.gov/Archives/edgar/data/109198/000162828019003834/tjx-10kx20190202exhibit1013.htm" TargetMode="External"/><Relationship Id="rId72" Type="http://schemas.openxmlformats.org/officeDocument/2006/relationships/hyperlink" Target="https://www.sec.gov/Archives/edgar/data/0000109198/000010919821000006/tjx-20210130exhibit1013.htm" TargetMode="External"/><Relationship Id="rId73" Type="http://schemas.openxmlformats.org/officeDocument/2006/relationships/hyperlink" Target="https://www.sec.gov/Archives/edgar/data/109198/000119312518107423/d518812dex106.htm" TargetMode="External"/><Relationship Id="rId74" Type="http://schemas.openxmlformats.org/officeDocument/2006/relationships/hyperlink" Target="https://www.sec.gov/Archives/edgar/data/109198/000162828018014818/tjx-20181103xex107.htm" TargetMode="External"/><Relationship Id="rId75" Type="http://schemas.openxmlformats.org/officeDocument/2006/relationships/hyperlink" Target="https://www.sec.gov/Archives/edgar/data/109198/000162828019003834/tjx-10kx20190202exhibit1016.htm" TargetMode="External"/><Relationship Id="rId76" Type="http://schemas.openxmlformats.org/officeDocument/2006/relationships/hyperlink" Target="https://www.sec.gov/Archives/edgar/data/0000109198/000010919821000006/tjx-20210130exhibit1017.htm" TargetMode="External"/><Relationship Id="rId78" Type="http://schemas.openxmlformats.org/officeDocument/2006/relationships/hyperlink" Target="https://www.sec.gov/Archives/edgar/data/109198/000010919822000044/tjx-20221029xex106.htm" TargetMode="External"/><Relationship Id="rId79" Type="http://schemas.openxmlformats.org/officeDocument/2006/relationships/hyperlink" Target="https://www.sec.gov/Archives/edgar/data/109198/000119312518107423/d518812dex107.htm" TargetMode="External"/><Relationship Id="rId80" Type="http://schemas.openxmlformats.org/officeDocument/2006/relationships/hyperlink" Target="https://www.sec.gov/Archives/edgar/data/109198/000162828018014818/tjx-20181103xex108.htm" TargetMode="External"/><Relationship Id="rId81" Type="http://schemas.openxmlformats.org/officeDocument/2006/relationships/hyperlink" Target="https://www.sec.gov/Archives/edgar/data/109198/000162828019003834/tjx-10kx20190202exhibit1019.htm" TargetMode="External"/><Relationship Id="rId82" Type="http://schemas.openxmlformats.org/officeDocument/2006/relationships/hyperlink" Target="https://www.sec.gov/Archives/edgar/data/109198/000010919821000006/tjx-20210130exhibit1021.htm" TargetMode="External"/><Relationship Id="rId83" Type="http://schemas.openxmlformats.org/officeDocument/2006/relationships/hyperlink" Target="https://www.sec.gov/Archives/edgar/data/109198/000010919822000041/tjx-20220730xex101.htm" TargetMode="External"/><Relationship Id="rId84" Type="http://schemas.openxmlformats.org/officeDocument/2006/relationships/hyperlink" Target="https://www.sec.gov/Archives/edgar/data/109198/000010919822000044/tjx-20221029xex103.htm" TargetMode="External"/><Relationship Id="rId85" Type="http://schemas.openxmlformats.org/officeDocument/2006/relationships/hyperlink" Target="https://www.sec.gov/Archives/edgar/data/109198/000119312514430808/d810740dex104.htm" TargetMode="External"/><Relationship Id="rId86" Type="http://schemas.openxmlformats.org/officeDocument/2006/relationships/hyperlink" Target="https://www.sec.gov/Archives/edgar/data/109198/000119312514430808/d810740dex105.htm" TargetMode="External"/><Relationship Id="rId87" Type="http://schemas.openxmlformats.org/officeDocument/2006/relationships/hyperlink" Target="https://www.sec.gov/Archives/edgar/data/109198/000119312515391899/d60764dex101.htm" TargetMode="External"/><Relationship Id="rId88" Type="http://schemas.openxmlformats.org/officeDocument/2006/relationships/hyperlink" Target="https://www.sec.gov/Archives/edgar/data/109198/000119312515391899/d60764dex102.htm" TargetMode="External"/><Relationship Id="rId89" Type="http://schemas.openxmlformats.org/officeDocument/2006/relationships/hyperlink" Target="https://www.sec.gov/Archives/edgar/data/109198/000010919822000044/tjx-20221029xex102.htm" TargetMode="External"/><Relationship Id="rId90" Type="http://schemas.openxmlformats.org/officeDocument/2006/relationships/hyperlink" Target="https://www.sec.gov/Archives/edgar/data/109198/000119312516521424/d110852dex1019.htm" TargetMode="External"/><Relationship Id="rId91" Type="http://schemas.openxmlformats.org/officeDocument/2006/relationships/hyperlink" Target="https://www.sec.gov/Archives/edgar/data/109198/000010919821000019/tjx-20210501xex101.htm" TargetMode="External"/><Relationship Id="rId92" Type="http://schemas.openxmlformats.org/officeDocument/2006/relationships/hyperlink" Target="https://www.sec.gov/Archives/edgar/data/109198/000010919821000019/tjx-20210501xex102.htm" TargetMode="External"/><Relationship Id="rId93" Type="http://schemas.openxmlformats.org/officeDocument/2006/relationships/hyperlink" Target="https://www.sec.gov/Archives/edgar/data/109198/000010919822000029/tjx-20220430xex102.htm" TargetMode="External"/><Relationship Id="rId94" Type="http://schemas.openxmlformats.org/officeDocument/2006/relationships/hyperlink" Target="https://www.sec.gov/Archives/edgar/data/109198/000010919822000029/tjx-20220430xex103.htm" TargetMode="External"/><Relationship Id="rId95" Type="http://schemas.openxmlformats.org/officeDocument/2006/relationships/hyperlink" Target="https://www.sec.gov/Archives/edgar/data/109198/000119312515114276/d855793dex1020.htm" TargetMode="External"/><Relationship Id="rId96" Type="http://schemas.openxmlformats.org/officeDocument/2006/relationships/hyperlink" Target="https://www.sec.gov/Archives/edgar/data/109198/000119312516693604/d67632dex102.htm" TargetMode="External"/><Relationship Id="rId97" Type="http://schemas.openxmlformats.org/officeDocument/2006/relationships/hyperlink" Target="https://www.sec.gov/Archives/edgar/data/109198/000010919823000060/tjx-20231028xex101.htm" TargetMode="External"/><Relationship Id="rId98" Type="http://schemas.openxmlformats.org/officeDocument/2006/relationships/hyperlink" Target="https://www.sec.gov/Archives/edgar/data/109198/000119312513138497/d472940dex1022.htm" TargetMode="External"/><Relationship Id="rId99" Type="http://schemas.openxmlformats.org/officeDocument/2006/relationships/hyperlink" Target="https://www.sec.gov/Archives/edgar/data/109198/0000950135-99-002215.txt" TargetMode="External"/><Relationship Id="rId100" Type="http://schemas.openxmlformats.org/officeDocument/2006/relationships/hyperlink" Target="https://www.sec.gov/Archives/edgar/data/109198/000095013500002394/0000950135-00-002394.txt" TargetMode="External"/><Relationship Id="rId101" Type="http://schemas.openxmlformats.org/officeDocument/2006/relationships/hyperlink" Target="https://www.sec.gov/Archives/edgar/data/109198/000095013506001903/b58738tjexv10w17.txt" TargetMode="External"/><Relationship Id="rId102" Type="http://schemas.openxmlformats.org/officeDocument/2006/relationships/hyperlink" Target="https://www.sec.gov/Archives/edgar/data/109198/000095013509002399/b73492tjexv10w17.htm" TargetMode="External"/><Relationship Id="rId103" Type="http://schemas.openxmlformats.org/officeDocument/2006/relationships/hyperlink" Target="https://www.sec.gov/Archives/edgar/data/109198/000119312515206466/d928268dex103.htm" TargetMode="External"/><Relationship Id="rId104" Type="http://schemas.openxmlformats.org/officeDocument/2006/relationships/hyperlink" Target="https://www.sec.gov/Archives/edgar/data/109198/000010919822000008/tjx-20220129exhibit1046.htm" TargetMode="External"/><Relationship Id="rId105" Type="http://schemas.openxmlformats.org/officeDocument/2006/relationships/hyperlink" Target="https://www.sec.gov/Archives/edgar/data/109198/000010919823000031/tjx-2023429xex101.htm" TargetMode="External"/><Relationship Id="rId106" Type="http://schemas.openxmlformats.org/officeDocument/2006/relationships/hyperlink" Target="https://www.sec.gov/Archives/edgar/data/109198/000010919823000004/tjx-20230128exhibit1055.htm" TargetMode="External"/><Relationship Id="rId108" Type="http://schemas.openxmlformats.org/officeDocument/2006/relationships/hyperlink" Target="https://www.sec.gov/Archives/edgar/data/0000109198/000119312521202939/d169110dex101.htm" TargetMode="External"/><Relationship Id="rId109" Type="http://schemas.openxmlformats.org/officeDocument/2006/relationships/hyperlink" Target="https://www.sec.gov/Archives/edgar/data/109198/000010919823000031/tjx-2023429xex103.htm" TargetMode="External"/><Relationship Id="rId110" Type="http://schemas.openxmlformats.org/officeDocument/2006/relationships/hyperlink" Target="https://www.sec.gov/Archives/edgar/data/109198/000010919823000031/tjx-2023429x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2024-04-03T11:07:34Z</dcterms:created>
  <dcterms:modified xsi:type="dcterms:W3CDTF">2024-04-03T11:07:34Z</dcterms:modified>
</cp:coreProperties>
</file>