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color w:val="auto"/>
        </w:rPr>
        <w:t>As filed with the Securities and Exchange Commission on May 29, 2026</w:t>
      </w:r>
    </w:p>
    <w:p>
      <w:pPr>
        <w:spacing w:after="0" w:line="15" w:lineRule="exact"/>
        <w:rPr>
          <w:sz w:val="24"/>
          <w:szCs w:val="24"/>
          <w:color w:val="auto"/>
        </w:rPr>
      </w:pPr>
    </w:p>
    <w:p>
      <w:pPr>
        <w:ind w:left="9840"/>
        <w:spacing w:after="0"/>
        <w:rPr>
          <w:sz w:val="20"/>
          <w:szCs w:val="20"/>
          <w:color w:val="auto"/>
        </w:rPr>
      </w:pPr>
      <w:r>
        <w:rPr>
          <w:rFonts w:ascii="Times New Roman" w:cs="Times New Roman" w:eastAsia="Times New Roman" w:hAnsi="Times New Roman"/>
          <w:sz w:val="15"/>
          <w:szCs w:val="15"/>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7139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7139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S-3</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39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The TJX Companies,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180975</wp:posOffset>
            </wp:positionV>
            <wp:extent cx="7139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20"/>
          </w:cols>
          <w:pgMar w:left="320" w:top="1029"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04-2207613</w:t>
      </w:r>
    </w:p>
    <w:p>
      <w:pPr>
        <w:spacing w:after="0" w:line="73" w:lineRule="exact"/>
        <w:rPr>
          <w:sz w:val="24"/>
          <w:szCs w:val="24"/>
          <w:color w:val="auto"/>
        </w:rPr>
      </w:pPr>
    </w:p>
    <w:p>
      <w:pPr>
        <w:sectPr>
          <w:pgSz w:w="11900" w:h="16838" w:orient="portrait"/>
          <w:cols w:equalWidth="0" w:num="2">
            <w:col w:w="7260" w:space="720"/>
            <w:col w:w="3240"/>
          </w:cols>
          <w:pgMar w:left="320" w:top="1029" w:right="35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p>
      <w:pPr>
        <w:spacing w:after="0" w:line="211" w:lineRule="exact"/>
        <w:rPr>
          <w:sz w:val="24"/>
          <w:szCs w:val="24"/>
          <w:color w:val="auto"/>
        </w:rPr>
      </w:pPr>
    </w:p>
    <w:p>
      <w:pPr>
        <w:sectPr>
          <w:pgSz w:w="11900" w:h="16838" w:orient="portrait"/>
          <w:cols w:equalWidth="0" w:num="2">
            <w:col w:w="6680" w:space="720"/>
            <w:col w:w="3820"/>
          </w:cols>
          <w:pgMar w:left="320" w:top="1029" w:right="359" w:bottom="1440" w:gutter="0" w:footer="0" w:header="0"/>
          <w:type w:val="continuous"/>
        </w:sectPr>
      </w:pPr>
    </w:p>
    <w:p>
      <w:pPr>
        <w:spacing w:after="0" w:line="3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770 Cochituate Road, Framingham, MA 01701</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(508) 390-1000</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Alicia C. Kelly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Vice President, Secretary and General Counsel</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TJX Companies, Inc.</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770 Cochituate Road</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Framingham, MA 01701</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(508) 390-1000</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39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Tara Fisher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Ropes &amp; Gray LLP</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800 Boylston Street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Prudential Tower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Boston, Massachusetts 02199</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39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of the Securities to the Public: </w:t>
      </w:r>
      <w:r>
        <w:rPr>
          <w:rFonts w:ascii="Times New Roman" w:cs="Times New Roman" w:eastAsia="Times New Roman" w:hAnsi="Times New Roman"/>
          <w:sz w:val="17"/>
          <w:szCs w:val="17"/>
          <w:color w:val="auto"/>
        </w:rPr>
        <w:t>From time to time after the effective date of this Registration Statement.</w:t>
      </w:r>
    </w:p>
    <w:p>
      <w:pPr>
        <w:sectPr>
          <w:pgSz w:w="11900" w:h="16838" w:orient="portrait"/>
          <w:cols w:equalWidth="0" w:num="1">
            <w:col w:w="11220"/>
          </w:cols>
          <w:pgMar w:left="320" w:top="1029" w:right="359" w:bottom="1440" w:gutter="0" w:footer="0" w:header="0"/>
          <w:type w:val="continuous"/>
        </w:sectPr>
      </w:pPr>
    </w:p>
    <w:bookmarkStart w:id="1" w:name="page2"/>
    <w:bookmarkEnd w:id="1"/>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53" w:lineRule="exact"/>
        <w:rPr>
          <w:sz w:val="20"/>
          <w:szCs w:val="20"/>
          <w:color w:val="auto"/>
        </w:rPr>
      </w:pPr>
    </w:p>
    <w:p>
      <w:pPr>
        <w:ind w:right="100"/>
        <w:spacing w:after="0" w:line="227"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62" w:lineRule="exact"/>
        <w:rPr>
          <w:sz w:val="20"/>
          <w:szCs w:val="20"/>
          <w:color w:val="auto"/>
        </w:rPr>
      </w:pPr>
    </w:p>
    <w:p>
      <w:pPr>
        <w:ind w:right="400"/>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2" w:lineRule="exact"/>
        <w:rPr>
          <w:sz w:val="20"/>
          <w:szCs w:val="20"/>
          <w:color w:val="auto"/>
        </w:rPr>
      </w:pPr>
    </w:p>
    <w:p>
      <w:pPr>
        <w:ind w:right="300"/>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2" w:lineRule="exact"/>
        <w:rPr>
          <w:sz w:val="20"/>
          <w:szCs w:val="20"/>
          <w:color w:val="auto"/>
        </w:rPr>
      </w:pPr>
    </w:p>
    <w:p>
      <w:pPr>
        <w:ind w:right="280"/>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162" w:lineRule="exact"/>
        <w:rPr>
          <w:sz w:val="20"/>
          <w:szCs w:val="20"/>
          <w:color w:val="auto"/>
        </w:rPr>
      </w:pPr>
    </w:p>
    <w:p>
      <w:pPr>
        <w:ind w:right="300"/>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62"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87"/>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48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Accelerated filer</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36"/>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4800" w:type="dxa"/>
            <w:vAlign w:val="bottom"/>
          </w:tcPr>
          <w:p>
            <w:pPr>
              <w:ind w:left="3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tc>
        <w:tc>
          <w:tcPr>
            <w:tcW w:w="332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49"/>
        </w:trPr>
        <w:tc>
          <w:tcPr>
            <w:tcW w:w="18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32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Emerging growth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00" w:lineRule="exact"/>
        <w:rPr>
          <w:sz w:val="20"/>
          <w:szCs w:val="20"/>
          <w:color w:val="auto"/>
        </w:rPr>
      </w:pPr>
    </w:p>
    <w:p>
      <w:pPr>
        <w:spacing w:after="0" w:line="257" w:lineRule="exact"/>
        <w:rPr>
          <w:sz w:val="20"/>
          <w:szCs w:val="20"/>
          <w:color w:val="auto"/>
        </w:rPr>
      </w:pPr>
    </w:p>
    <w:p>
      <w:pPr>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ectPr>
          <w:pgSz w:w="11900" w:h="16838" w:orient="portrait"/>
          <w:cols w:equalWidth="0" w:num="1">
            <w:col w:w="11240"/>
          </w:cols>
          <w:pgMar w:left="320" w:top="8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417830</wp:posOffset>
            </wp:positionV>
            <wp:extent cx="976630" cy="569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76630" cy="56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21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TJX Companies, Inc. may offer debt securities from time to time, in one or more offerings. This prospectus describes some of the general terms of these securities. The specific terms of the debt securities to be offered and other information as to the terms and matters related to a specific offering will be described in one or more prospectus supplements to this prospectus. The prospectus supplements may also add to, update or change the information contained in this prospectus. This prospectus may not be used to offer or sell any debt securities unless accompanied by a prospectus supplement. You should read carefully both this prospectus and any prospectus supplement before making your investment decision.</w:t>
      </w:r>
    </w:p>
    <w:p>
      <w:pPr>
        <w:spacing w:after="0" w:line="17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We may offer and sell the debt securities on an immediate, continuous or delayed basis directly to investors or through underwriters, dealers or agents, or through a combination of these methods at prices and on terms determined at the time of offering. If agents, underwriters or dealers are used to sell the securities, we will name them and describe their compensation in a prospectus supplement.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Investing in these securities involves risks that will be described in “Risk Factors”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7139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address of our principal executive offices is 770 Cochituate Road, Framingham, MA 01701, and our telephone number is (508) 390-1000.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139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date of this prospectus is May 29, 2026.</w:t>
      </w:r>
    </w:p>
    <w:p>
      <w:pPr>
        <w:sectPr>
          <w:pgSz w:w="11900" w:h="16838" w:orient="portrait"/>
          <w:cols w:equalWidth="0" w:num="1">
            <w:col w:w="11220"/>
          </w:cols>
          <w:pgMar w:left="320" w:top="914"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6"/>
        </w:trPr>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54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448"/>
        </w:trPr>
        <w:tc>
          <w:tcPr>
            <w:tcW w:w="1720" w:type="dxa"/>
            <w:vAlign w:val="bottom"/>
            <w:gridSpan w:val="4"/>
          </w:tcPr>
          <w:p>
            <w:pPr>
              <w:spacing w:after="0"/>
              <w:rPr>
                <w:sz w:val="20"/>
                <w:szCs w:val="20"/>
                <w:color w:val="auto"/>
              </w:rPr>
            </w:pPr>
            <w:r>
              <w:rPr>
                <w:rFonts w:ascii="Times New Roman" w:cs="Times New Roman" w:eastAsia="Times New Roman" w:hAnsi="Times New Roman"/>
                <w:sz w:val="19"/>
                <w:szCs w:val="19"/>
                <w:color w:val="0000FF"/>
                <w:w w:val="98"/>
              </w:rPr>
              <w:t>About This Prospectus</w:t>
            </w:r>
          </w:p>
        </w:tc>
        <w:tc>
          <w:tcPr>
            <w:tcW w:w="2540" w:type="dxa"/>
            <w:vAlign w:val="bottom"/>
            <w:gridSpan w:val="6"/>
          </w:tcPr>
          <w:p>
            <w:pPr>
              <w:spacing w:after="0"/>
              <w:rPr>
                <w:sz w:val="24"/>
                <w:szCs w:val="24"/>
                <w:color w:val="auto"/>
              </w:rPr>
            </w:pPr>
          </w:p>
        </w:tc>
        <w:tc>
          <w:tcPr>
            <w:tcW w:w="6440" w:type="dxa"/>
            <w:vAlign w:val="bottom"/>
            <w:gridSpan w:val="2"/>
          </w:tcPr>
          <w:p>
            <w:pPr>
              <w:ind w:left="6360"/>
              <w:spacing w:after="0"/>
              <w:rPr>
                <w:sz w:val="20"/>
                <w:szCs w:val="20"/>
                <w:color w:val="auto"/>
              </w:rPr>
            </w:pPr>
            <w:r>
              <w:rPr>
                <w:rFonts w:ascii="Times New Roman" w:cs="Times New Roman" w:eastAsia="Times New Roman" w:hAnsi="Times New Roman"/>
                <w:sz w:val="17"/>
                <w:szCs w:val="17"/>
                <w:color w:val="0000FF"/>
                <w:w w:val="70"/>
              </w:rPr>
              <w:t>2</w:t>
            </w:r>
          </w:p>
        </w:tc>
        <w:tc>
          <w:tcPr>
            <w:tcW w:w="100" w:type="dxa"/>
            <w:vAlign w:val="bottom"/>
          </w:tcPr>
          <w:p>
            <w:pPr>
              <w:spacing w:after="0"/>
              <w:rPr>
                <w:sz w:val="24"/>
                <w:szCs w:val="24"/>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4"/>
        </w:trPr>
        <w:tc>
          <w:tcPr>
            <w:tcW w:w="3000" w:type="dxa"/>
            <w:vAlign w:val="bottom"/>
            <w:gridSpan w:val="8"/>
          </w:tcPr>
          <w:p>
            <w:pPr>
              <w:spacing w:after="0"/>
              <w:rPr>
                <w:sz w:val="20"/>
                <w:szCs w:val="20"/>
                <w:color w:val="auto"/>
              </w:rPr>
            </w:pPr>
            <w:r>
              <w:rPr>
                <w:rFonts w:ascii="Times New Roman" w:cs="Times New Roman" w:eastAsia="Times New Roman" w:hAnsi="Times New Roman"/>
                <w:sz w:val="19"/>
                <w:szCs w:val="19"/>
                <w:color w:val="0000FF"/>
                <w:w w:val="97"/>
              </w:rPr>
              <w:t>Where You Can Find More Information</w:t>
            </w:r>
          </w:p>
        </w:tc>
        <w:tc>
          <w:tcPr>
            <w:tcW w:w="1260" w:type="dxa"/>
            <w:vAlign w:val="bottom"/>
            <w:gridSpan w:val="2"/>
          </w:tcPr>
          <w:p>
            <w:pPr>
              <w:spacing w:after="0"/>
              <w:rPr>
                <w:sz w:val="24"/>
                <w:szCs w:val="24"/>
                <w:color w:val="auto"/>
              </w:rPr>
            </w:pPr>
          </w:p>
        </w:tc>
        <w:tc>
          <w:tcPr>
            <w:tcW w:w="6440" w:type="dxa"/>
            <w:vAlign w:val="bottom"/>
            <w:gridSpan w:val="2"/>
          </w:tcPr>
          <w:p>
            <w:pPr>
              <w:ind w:left="6360"/>
              <w:spacing w:after="0"/>
              <w:rPr>
                <w:sz w:val="20"/>
                <w:szCs w:val="20"/>
                <w:color w:val="auto"/>
              </w:rPr>
            </w:pPr>
            <w:r>
              <w:rPr>
                <w:rFonts w:ascii="Times New Roman" w:cs="Times New Roman" w:eastAsia="Times New Roman" w:hAnsi="Times New Roman"/>
                <w:sz w:val="17"/>
                <w:szCs w:val="17"/>
                <w:color w:val="0000FF"/>
                <w:w w:val="70"/>
              </w:rPr>
              <w:t>3</w:t>
            </w:r>
          </w:p>
        </w:tc>
        <w:tc>
          <w:tcPr>
            <w:tcW w:w="100" w:type="dxa"/>
            <w:vAlign w:val="bottom"/>
          </w:tcPr>
          <w:p>
            <w:pPr>
              <w:spacing w:after="0"/>
              <w:rPr>
                <w:sz w:val="24"/>
                <w:szCs w:val="24"/>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4"/>
        </w:trPr>
        <w:tc>
          <w:tcPr>
            <w:tcW w:w="4260" w:type="dxa"/>
            <w:vAlign w:val="bottom"/>
            <w:gridSpan w:val="10"/>
          </w:tcPr>
          <w:p>
            <w:pPr>
              <w:spacing w:after="0"/>
              <w:rPr>
                <w:sz w:val="20"/>
                <w:szCs w:val="20"/>
                <w:color w:val="auto"/>
              </w:rPr>
            </w:pPr>
            <w:r>
              <w:rPr>
                <w:rFonts w:ascii="Times New Roman" w:cs="Times New Roman" w:eastAsia="Times New Roman" w:hAnsi="Times New Roman"/>
                <w:sz w:val="19"/>
                <w:szCs w:val="19"/>
                <w:color w:val="0000FF"/>
              </w:rPr>
              <w:t>Incorporation of Certain Information By Reference</w:t>
            </w:r>
          </w:p>
        </w:tc>
        <w:tc>
          <w:tcPr>
            <w:tcW w:w="6440" w:type="dxa"/>
            <w:vAlign w:val="bottom"/>
            <w:gridSpan w:val="2"/>
          </w:tcPr>
          <w:p>
            <w:pPr>
              <w:ind w:left="6360"/>
              <w:spacing w:after="0"/>
              <w:rPr>
                <w:sz w:val="20"/>
                <w:szCs w:val="20"/>
                <w:color w:val="auto"/>
              </w:rPr>
            </w:pPr>
            <w:r>
              <w:rPr>
                <w:rFonts w:ascii="Times New Roman" w:cs="Times New Roman" w:eastAsia="Times New Roman" w:hAnsi="Times New Roman"/>
                <w:sz w:val="17"/>
                <w:szCs w:val="17"/>
                <w:color w:val="0000FF"/>
                <w:w w:val="70"/>
              </w:rPr>
              <w:t>3</w:t>
            </w:r>
          </w:p>
        </w:tc>
        <w:tc>
          <w:tcPr>
            <w:tcW w:w="100" w:type="dxa"/>
            <w:vAlign w:val="bottom"/>
          </w:tcPr>
          <w:p>
            <w:pPr>
              <w:spacing w:after="0"/>
              <w:rPr>
                <w:sz w:val="24"/>
                <w:szCs w:val="24"/>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4"/>
        </w:trPr>
        <w:tc>
          <w:tcPr>
            <w:tcW w:w="1940" w:type="dxa"/>
            <w:vAlign w:val="bottom"/>
            <w:gridSpan w:val="5"/>
          </w:tcPr>
          <w:p>
            <w:pPr>
              <w:spacing w:after="0"/>
              <w:rPr>
                <w:sz w:val="20"/>
                <w:szCs w:val="20"/>
                <w:color w:val="auto"/>
              </w:rPr>
            </w:pPr>
            <w:r>
              <w:rPr>
                <w:rFonts w:ascii="Times New Roman" w:cs="Times New Roman" w:eastAsia="Times New Roman" w:hAnsi="Times New Roman"/>
                <w:sz w:val="19"/>
                <w:szCs w:val="19"/>
                <w:color w:val="0000FF"/>
                <w:w w:val="98"/>
              </w:rPr>
              <w:t>The TJX Companies, Inc.</w:t>
            </w:r>
          </w:p>
        </w:tc>
        <w:tc>
          <w:tcPr>
            <w:tcW w:w="190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6440" w:type="dxa"/>
            <w:vAlign w:val="bottom"/>
            <w:gridSpan w:val="2"/>
          </w:tcPr>
          <w:p>
            <w:pPr>
              <w:ind w:left="6360"/>
              <w:spacing w:after="0"/>
              <w:rPr>
                <w:sz w:val="20"/>
                <w:szCs w:val="20"/>
                <w:color w:val="auto"/>
              </w:rPr>
            </w:pPr>
            <w:r>
              <w:rPr>
                <w:rFonts w:ascii="Times New Roman" w:cs="Times New Roman" w:eastAsia="Times New Roman" w:hAnsi="Times New Roman"/>
                <w:sz w:val="17"/>
                <w:szCs w:val="17"/>
                <w:color w:val="0000FF"/>
                <w:w w:val="70"/>
              </w:rPr>
              <w:t>4</w:t>
            </w:r>
          </w:p>
        </w:tc>
        <w:tc>
          <w:tcPr>
            <w:tcW w:w="100" w:type="dxa"/>
            <w:vAlign w:val="bottom"/>
          </w:tcPr>
          <w:p>
            <w:pPr>
              <w:spacing w:after="0"/>
              <w:rPr>
                <w:sz w:val="24"/>
                <w:szCs w:val="24"/>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4"/>
        </w:trPr>
        <w:tc>
          <w:tcPr>
            <w:tcW w:w="1940" w:type="dxa"/>
            <w:vAlign w:val="bottom"/>
            <w:gridSpan w:val="5"/>
          </w:tcPr>
          <w:p>
            <w:pPr>
              <w:spacing w:after="0"/>
              <w:rPr>
                <w:sz w:val="20"/>
                <w:szCs w:val="20"/>
                <w:color w:val="auto"/>
              </w:rPr>
            </w:pPr>
            <w:r>
              <w:rPr>
                <w:rFonts w:ascii="Times New Roman" w:cs="Times New Roman" w:eastAsia="Times New Roman" w:hAnsi="Times New Roman"/>
                <w:sz w:val="19"/>
                <w:szCs w:val="19"/>
                <w:color w:val="0000FF"/>
              </w:rPr>
              <w:t>Use of Proceeds</w:t>
            </w:r>
          </w:p>
        </w:tc>
        <w:tc>
          <w:tcPr>
            <w:tcW w:w="2320" w:type="dxa"/>
            <w:vAlign w:val="bottom"/>
            <w:gridSpan w:val="5"/>
          </w:tcPr>
          <w:p>
            <w:pPr>
              <w:spacing w:after="0"/>
              <w:rPr>
                <w:sz w:val="24"/>
                <w:szCs w:val="24"/>
                <w:color w:val="auto"/>
              </w:rPr>
            </w:pPr>
          </w:p>
        </w:tc>
        <w:tc>
          <w:tcPr>
            <w:tcW w:w="6440" w:type="dxa"/>
            <w:vAlign w:val="bottom"/>
            <w:gridSpan w:val="2"/>
          </w:tcPr>
          <w:p>
            <w:pPr>
              <w:ind w:left="6360"/>
              <w:spacing w:after="0"/>
              <w:rPr>
                <w:sz w:val="20"/>
                <w:szCs w:val="20"/>
                <w:color w:val="auto"/>
              </w:rPr>
            </w:pPr>
            <w:r>
              <w:rPr>
                <w:rFonts w:ascii="Times New Roman" w:cs="Times New Roman" w:eastAsia="Times New Roman" w:hAnsi="Times New Roman"/>
                <w:sz w:val="17"/>
                <w:szCs w:val="17"/>
                <w:color w:val="0000FF"/>
                <w:w w:val="70"/>
              </w:rPr>
              <w:t>5</w:t>
            </w:r>
          </w:p>
        </w:tc>
        <w:tc>
          <w:tcPr>
            <w:tcW w:w="100" w:type="dxa"/>
            <w:vAlign w:val="bottom"/>
          </w:tcPr>
          <w:p>
            <w:pPr>
              <w:spacing w:after="0"/>
              <w:rPr>
                <w:sz w:val="24"/>
                <w:szCs w:val="24"/>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4"/>
        </w:trPr>
        <w:tc>
          <w:tcPr>
            <w:tcW w:w="2620" w:type="dxa"/>
            <w:vAlign w:val="bottom"/>
            <w:gridSpan w:val="7"/>
          </w:tcPr>
          <w:p>
            <w:pPr>
              <w:spacing w:after="0"/>
              <w:rPr>
                <w:sz w:val="20"/>
                <w:szCs w:val="20"/>
                <w:color w:val="auto"/>
              </w:rPr>
            </w:pPr>
            <w:r>
              <w:rPr>
                <w:rFonts w:ascii="Times New Roman" w:cs="Times New Roman" w:eastAsia="Times New Roman" w:hAnsi="Times New Roman"/>
                <w:sz w:val="19"/>
                <w:szCs w:val="19"/>
                <w:color w:val="0000FF"/>
                <w:w w:val="98"/>
              </w:rPr>
              <w:t>Description of The Debt Securities</w:t>
            </w:r>
          </w:p>
        </w:tc>
        <w:tc>
          <w:tcPr>
            <w:tcW w:w="1640" w:type="dxa"/>
            <w:vAlign w:val="bottom"/>
            <w:gridSpan w:val="3"/>
          </w:tcPr>
          <w:p>
            <w:pPr>
              <w:spacing w:after="0"/>
              <w:rPr>
                <w:sz w:val="24"/>
                <w:szCs w:val="24"/>
                <w:color w:val="auto"/>
              </w:rPr>
            </w:pPr>
          </w:p>
        </w:tc>
        <w:tc>
          <w:tcPr>
            <w:tcW w:w="6440" w:type="dxa"/>
            <w:vAlign w:val="bottom"/>
            <w:gridSpan w:val="2"/>
          </w:tcPr>
          <w:p>
            <w:pPr>
              <w:ind w:left="6360"/>
              <w:spacing w:after="0"/>
              <w:rPr>
                <w:sz w:val="20"/>
                <w:szCs w:val="20"/>
                <w:color w:val="auto"/>
              </w:rPr>
            </w:pPr>
            <w:r>
              <w:rPr>
                <w:rFonts w:ascii="Times New Roman" w:cs="Times New Roman" w:eastAsia="Times New Roman" w:hAnsi="Times New Roman"/>
                <w:sz w:val="17"/>
                <w:szCs w:val="17"/>
                <w:color w:val="0000FF"/>
                <w:w w:val="70"/>
              </w:rPr>
              <w:t>6</w:t>
            </w:r>
          </w:p>
        </w:tc>
        <w:tc>
          <w:tcPr>
            <w:tcW w:w="100" w:type="dxa"/>
            <w:vAlign w:val="bottom"/>
          </w:tcPr>
          <w:p>
            <w:pPr>
              <w:spacing w:after="0"/>
              <w:rPr>
                <w:sz w:val="24"/>
                <w:szCs w:val="24"/>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4"/>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color w:val="0000FF"/>
                <w:w w:val="98"/>
              </w:rPr>
              <w:t>Plan of Distribution</w:t>
            </w:r>
          </w:p>
        </w:tc>
        <w:tc>
          <w:tcPr>
            <w:tcW w:w="1120" w:type="dxa"/>
            <w:vAlign w:val="bottom"/>
            <w:gridSpan w:val="4"/>
          </w:tcPr>
          <w:p>
            <w:pPr>
              <w:spacing w:after="0"/>
              <w:rPr>
                <w:sz w:val="24"/>
                <w:szCs w:val="24"/>
                <w:color w:val="auto"/>
              </w:rPr>
            </w:pPr>
          </w:p>
        </w:tc>
        <w:tc>
          <w:tcPr>
            <w:tcW w:w="1640" w:type="dxa"/>
            <w:vAlign w:val="bottom"/>
            <w:gridSpan w:val="3"/>
          </w:tcPr>
          <w:p>
            <w:pPr>
              <w:spacing w:after="0"/>
              <w:rPr>
                <w:sz w:val="24"/>
                <w:szCs w:val="24"/>
                <w:color w:val="auto"/>
              </w:rPr>
            </w:pPr>
          </w:p>
        </w:tc>
        <w:tc>
          <w:tcPr>
            <w:tcW w:w="6540" w:type="dxa"/>
            <w:vAlign w:val="bottom"/>
            <w:gridSpan w:val="3"/>
          </w:tcPr>
          <w:p>
            <w:pPr>
              <w:ind w:left="6360"/>
              <w:spacing w:after="0"/>
              <w:rPr>
                <w:sz w:val="20"/>
                <w:szCs w:val="20"/>
                <w:color w:val="auto"/>
              </w:rPr>
            </w:pPr>
            <w:r>
              <w:rPr>
                <w:rFonts w:ascii="Times New Roman" w:cs="Times New Roman" w:eastAsia="Times New Roman" w:hAnsi="Times New Roman"/>
                <w:sz w:val="19"/>
                <w:szCs w:val="19"/>
                <w:color w:val="0000FF"/>
                <w:w w:val="83"/>
              </w:rPr>
              <w:t>11</w:t>
            </w:r>
          </w:p>
        </w:tc>
      </w:tr>
      <w:tr>
        <w:trPr>
          <w:trHeight w:val="20"/>
        </w:trPr>
        <w:tc>
          <w:tcPr>
            <w:tcW w:w="5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4"/>
        </w:trPr>
        <w:tc>
          <w:tcPr>
            <w:tcW w:w="2000" w:type="dxa"/>
            <w:vAlign w:val="bottom"/>
            <w:gridSpan w:val="6"/>
          </w:tcPr>
          <w:p>
            <w:pPr>
              <w:spacing w:after="0"/>
              <w:rPr>
                <w:sz w:val="20"/>
                <w:szCs w:val="20"/>
                <w:color w:val="auto"/>
              </w:rPr>
            </w:pPr>
            <w:r>
              <w:rPr>
                <w:rFonts w:ascii="Times New Roman" w:cs="Times New Roman" w:eastAsia="Times New Roman" w:hAnsi="Times New Roman"/>
                <w:sz w:val="19"/>
                <w:szCs w:val="19"/>
                <w:color w:val="0000FF"/>
                <w:w w:val="96"/>
              </w:rPr>
              <w:t>Validity of Debt Securities</w:t>
            </w:r>
          </w:p>
        </w:tc>
        <w:tc>
          <w:tcPr>
            <w:tcW w:w="2260" w:type="dxa"/>
            <w:vAlign w:val="bottom"/>
            <w:gridSpan w:val="4"/>
          </w:tcPr>
          <w:p>
            <w:pPr>
              <w:spacing w:after="0"/>
              <w:rPr>
                <w:sz w:val="24"/>
                <w:szCs w:val="24"/>
                <w:color w:val="auto"/>
              </w:rPr>
            </w:pPr>
          </w:p>
        </w:tc>
        <w:tc>
          <w:tcPr>
            <w:tcW w:w="6540" w:type="dxa"/>
            <w:vAlign w:val="bottom"/>
            <w:gridSpan w:val="3"/>
          </w:tcPr>
          <w:p>
            <w:pPr>
              <w:ind w:left="6360"/>
              <w:spacing w:after="0"/>
              <w:rPr>
                <w:sz w:val="20"/>
                <w:szCs w:val="20"/>
                <w:color w:val="auto"/>
              </w:rPr>
            </w:pPr>
            <w:r>
              <w:rPr>
                <w:rFonts w:ascii="Times New Roman" w:cs="Times New Roman" w:eastAsia="Times New Roman" w:hAnsi="Times New Roman"/>
                <w:sz w:val="19"/>
                <w:szCs w:val="19"/>
                <w:color w:val="0000FF"/>
                <w:w w:val="83"/>
              </w:rPr>
              <w:t>13</w:t>
            </w:r>
          </w:p>
        </w:tc>
      </w:tr>
      <w:tr>
        <w:trPr>
          <w:trHeight w:val="20"/>
        </w:trPr>
        <w:tc>
          <w:tcPr>
            <w:tcW w:w="58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4"/>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0000FF"/>
                <w:w w:val="96"/>
              </w:rPr>
              <w:t>Experts</w:t>
            </w:r>
          </w:p>
        </w:tc>
        <w:tc>
          <w:tcPr>
            <w:tcW w:w="1420" w:type="dxa"/>
            <w:vAlign w:val="bottom"/>
            <w:gridSpan w:val="5"/>
          </w:tcPr>
          <w:p>
            <w:pPr>
              <w:spacing w:after="0"/>
              <w:rPr>
                <w:sz w:val="24"/>
                <w:szCs w:val="24"/>
                <w:color w:val="auto"/>
              </w:rPr>
            </w:pPr>
          </w:p>
        </w:tc>
        <w:tc>
          <w:tcPr>
            <w:tcW w:w="2260" w:type="dxa"/>
            <w:vAlign w:val="bottom"/>
            <w:gridSpan w:val="4"/>
          </w:tcPr>
          <w:p>
            <w:pPr>
              <w:spacing w:after="0"/>
              <w:rPr>
                <w:sz w:val="24"/>
                <w:szCs w:val="24"/>
                <w:color w:val="auto"/>
              </w:rPr>
            </w:pPr>
          </w:p>
        </w:tc>
        <w:tc>
          <w:tcPr>
            <w:tcW w:w="6540" w:type="dxa"/>
            <w:vAlign w:val="bottom"/>
            <w:gridSpan w:val="3"/>
          </w:tcPr>
          <w:p>
            <w:pPr>
              <w:ind w:left="6360"/>
              <w:spacing w:after="0"/>
              <w:rPr>
                <w:sz w:val="20"/>
                <w:szCs w:val="20"/>
                <w:color w:val="auto"/>
              </w:rPr>
            </w:pPr>
            <w:r>
              <w:rPr>
                <w:rFonts w:ascii="Times New Roman" w:cs="Times New Roman" w:eastAsia="Times New Roman" w:hAnsi="Times New Roman"/>
                <w:sz w:val="19"/>
                <w:szCs w:val="19"/>
                <w:color w:val="0000FF"/>
                <w:w w:val="83"/>
              </w:rPr>
              <w:t>13</w:t>
            </w:r>
          </w:p>
        </w:tc>
      </w:tr>
      <w:tr>
        <w:trPr>
          <w:trHeight w:val="20"/>
        </w:trPr>
        <w:tc>
          <w:tcPr>
            <w:tcW w:w="5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0800"/>
          </w:cols>
          <w:pgMar w:left="340" w:top="1350" w:right="759" w:bottom="1440" w:gutter="0" w:footer="0" w:header="0"/>
        </w:sectPr>
      </w:pPr>
    </w:p>
    <w:bookmarkStart w:id="4" w:name="page5"/>
    <w:bookmarkEnd w:id="4"/>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This prospectus is part of an automatically effective shelf registration statement that we filed with the Securities and Exchange Commission, or the SEC. By using a shelf registration statement, we may, at any time and from time to time, in one or more offerings, sell the debt securities described in this prospectus. Each time we offer debt securities using this prospectus, we will provide the specific terms and offering prices and will describe the specific manner in which we will offer these securities in a supplement to this prospectus. Therefore, if there is any inconsistency between the information in this prospectus and the prospectus supplement, you should rely on the information in the prospectus supplement.</w:t>
      </w:r>
    </w:p>
    <w:p>
      <w:pPr>
        <w:spacing w:after="0" w:line="1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applicable prospectus supplement also may contain important information about U.S. federal income tax consequences and, in certain circumstances, consequences under other countries’ tax laws to which you may become subject if you acquire the debt securities being offered by that prospectus supplement. You should read carefully this prospectus, any prospectus supplement and the additional information described under the heading “Where You Can Find More Information.”</w:t>
      </w:r>
    </w:p>
    <w:p>
      <w:pPr>
        <w:spacing w:after="0" w:line="17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We are not making an offer of these debt securities in any jurisdiction where the offer is not permitted. You should not assume that the information in this prospectus or any applicable prospectus supplement is accurate as of any date other than the date of the document. We have not authorized anyone to provide you with different information.</w:t>
      </w:r>
    </w:p>
    <w:p>
      <w:pPr>
        <w:spacing w:after="0" w:line="166"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7"/>
          <w:szCs w:val="17"/>
          <w:color w:val="auto"/>
        </w:rPr>
        <w:t>In this prospectus, unless otherwise stated or the context otherwise requires, references to “TJX,” the “Company,” “we,” “us” and “our” refer to The TJX Companies, Inc. and its subsidiaries.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TJ Maxx, Marshalls, HomeGoods, Winners, Homesense/HomeSense, TK Maxx and Sierra are our registered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20"/>
          </w:cols>
          <w:pgMar w:left="320" w:top="1440" w:right="359" w:bottom="1440" w:gutter="0" w:footer="0" w:header="0"/>
        </w:sectPr>
      </w:pPr>
    </w:p>
    <w:bookmarkStart w:id="5" w:name="page6"/>
    <w:bookmarkEnd w:id="5"/>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We file annual reports on Form 10-K, quarterly reports on Form 10-Q, current reports on Form 8-K, proxy statements and other information with the SEC. The SEC maintains a website containing all reports, proxies, information statements and all other information (http://www.sec.gov).</w:t>
      </w:r>
    </w:p>
    <w:p>
      <w:pPr>
        <w:spacing w:after="0" w:line="15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This prospectus constitutes a part of a registration statement on Form S-3, referred to herein, including all amendments and exhibits, as the Registration Statement that we have filed with the SEC under the Securities Act of 1933, as amended, or the Securities Act. This prospectus does not contain all of the information contained in the Registration Statement, certain parts of which are omitted in accordance with the rules and regulations of the SEC. We refer you to the Registration Statement and related exhibits for further information regarding us and our debt securities. The Registration Statement may be inspected at the SEC’s website at http://www.sec.gov.</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SEC’s rules allow us to “incorporate by reference” the information we file with the SEC, which means that we can disclose important information to you by referring you to those documents. The information incorporated by reference is an important part of this prospectus, and information that we file subsequently with the SEC will automatically update and supersede the information included and incorporated by reference in this prospectus. We incorporate by reference into this prospectus the documents listed below and any future filings made by us with the SEC under Sections 13(a), 13(c), 14 or 15(d) of the Securities Exchange Act of 1934, as amended, or the Exchange Act (other than documents or information deemed to have been furnished and not filed in accordance with SEC rules) after the initial filing of the registration statement that contains this prospectus and prior to the time that we sell all of the securities offered by this prospectus:</w:t>
      </w:r>
    </w:p>
    <w:p>
      <w:pPr>
        <w:spacing w:after="0" w:line="162" w:lineRule="exact"/>
        <w:rPr>
          <w:sz w:val="20"/>
          <w:szCs w:val="20"/>
          <w:color w:val="auto"/>
        </w:rPr>
      </w:pPr>
    </w:p>
    <w:p>
      <w:pPr>
        <w:ind w:left="620" w:hanging="310"/>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17">
        <w:r>
          <w:rPr>
            <w:rFonts w:ascii="Times New Roman" w:cs="Times New Roman" w:eastAsia="Times New Roman" w:hAnsi="Times New Roman"/>
            <w:sz w:val="17"/>
            <w:szCs w:val="17"/>
            <w:u w:val="single" w:color="auto"/>
            <w:color w:val="0000FF"/>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January 31, 2026 filed on March 31, 2026;</w:t>
      </w:r>
    </w:p>
    <w:p>
      <w:pPr>
        <w:spacing w:after="0" w:line="8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Proxy Statement on </w:t>
      </w:r>
      <w:hyperlink r:id="rId18">
        <w:r>
          <w:rPr>
            <w:rFonts w:ascii="Times New Roman" w:cs="Times New Roman" w:eastAsia="Times New Roman" w:hAnsi="Times New Roman"/>
            <w:sz w:val="17"/>
            <w:szCs w:val="17"/>
            <w:u w:val="single" w:color="auto"/>
            <w:color w:val="0000FF"/>
          </w:rPr>
          <w:t>Schedule 14A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filed on April 30, 2026, as supplemented by the additional definitive materials filed on </w:t>
      </w:r>
      <w:hyperlink r:id="rId19">
        <w:r>
          <w:rPr>
            <w:rFonts w:ascii="Times New Roman" w:cs="Times New Roman" w:eastAsia="Times New Roman" w:hAnsi="Times New Roman"/>
            <w:sz w:val="17"/>
            <w:szCs w:val="17"/>
            <w:u w:val="single" w:color="auto"/>
            <w:color w:val="0000FF"/>
          </w:rPr>
          <w:t>April 30, 2026</w:t>
        </w:r>
      </w:hyperlink>
      <w:r>
        <w:rPr>
          <w:rFonts w:ascii="Times New Roman" w:cs="Times New Roman" w:eastAsia="Times New Roman" w:hAnsi="Times New Roman"/>
          <w:sz w:val="17"/>
          <w:szCs w:val="17"/>
          <w:color w:val="auto"/>
        </w:rPr>
        <w:t>; and</w:t>
      </w:r>
    </w:p>
    <w:p>
      <w:pPr>
        <w:spacing w:after="0" w:line="73"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 on </w:t>
      </w:r>
      <w:hyperlink r:id="rId20">
        <w:r>
          <w:rPr>
            <w:rFonts w:ascii="Times New Roman" w:cs="Times New Roman" w:eastAsia="Times New Roman" w:hAnsi="Times New Roman"/>
            <w:sz w:val="17"/>
            <w:szCs w:val="17"/>
            <w:u w:val="single" w:color="auto"/>
            <w:color w:val="0000FF"/>
          </w:rPr>
          <w:t>Form 10-Q</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quarter ended May 2, 2026 filed on May 29, 2026.</w:t>
      </w:r>
    </w:p>
    <w:p>
      <w:pPr>
        <w:spacing w:after="0" w:line="9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You may obtain documents incorporated by reference into this prospectus at no cost by requesting them in writing or telephoning us at the following address:</w:t>
      </w:r>
    </w:p>
    <w:p>
      <w:pPr>
        <w:spacing w:after="0" w:line="215"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TJX Companies, Inc.</w:t>
      </w:r>
    </w:p>
    <w:p>
      <w:pPr>
        <w:spacing w:after="0" w:line="27"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Attn: Global Communications</w:t>
      </w:r>
    </w:p>
    <w:p>
      <w:pPr>
        <w:spacing w:after="0" w:line="10"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770 Cochituate Road</w:t>
      </w:r>
    </w:p>
    <w:p>
      <w:pPr>
        <w:spacing w:after="0" w:line="10"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Framingham, MA 01701</w:t>
      </w:r>
    </w:p>
    <w:p>
      <w:pPr>
        <w:spacing w:after="0" w:line="10"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(508) 390-2323</w:t>
      </w:r>
    </w:p>
    <w:p>
      <w:pPr>
        <w:spacing w:after="0" w:line="198" w:lineRule="exact"/>
        <w:rPr>
          <w:rFonts w:ascii="Times New Roman" w:cs="Times New Roman" w:eastAsia="Times New Roman" w:hAnsi="Times New Roman"/>
          <w:sz w:val="17"/>
          <w:szCs w:val="17"/>
          <w:color w:val="auto"/>
        </w:rPr>
      </w:pPr>
    </w:p>
    <w:p>
      <w:pPr>
        <w:ind w:right="60"/>
        <w:spacing w:after="0" w:line="284" w:lineRule="auto"/>
        <w:rPr>
          <w:sz w:val="20"/>
          <w:szCs w:val="20"/>
          <w:color w:val="auto"/>
        </w:rPr>
      </w:pPr>
      <w:r>
        <w:rPr>
          <w:rFonts w:ascii="Times New Roman" w:cs="Times New Roman" w:eastAsia="Times New Roman" w:hAnsi="Times New Roman"/>
          <w:sz w:val="17"/>
          <w:szCs w:val="17"/>
          <w:color w:val="auto"/>
        </w:rPr>
        <w:t>Copies of these filings are also available, without charge, on our website at http://www.tjx.com. The contents of our website have not been incorporated into and do not form a part of this prospectus.</w:t>
      </w:r>
    </w:p>
    <w:p>
      <w:pPr>
        <w:spacing w:after="0" w:line="153" w:lineRule="exact"/>
        <w:rPr>
          <w:rFonts w:ascii="Times New Roman" w:cs="Times New Roman" w:eastAsia="Times New Roman" w:hAnsi="Times New Roman"/>
          <w:sz w:val="17"/>
          <w:szCs w:val="17"/>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Statements contained in this prospectus or in a document incorporated or deemed to be incorporated by reference herein concerning the provisions of any document filed as an exhibit to the Registration Statement are not necessarily complete and, in each instance, reference is made to the copy of such document filed as an exhibit to the Registration Statement or otherwise filed with the SEC. Each such statement is qualified in its entirety by such reference.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2"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THE TJX COMPANIES, INC.</w:t>
      </w:r>
    </w:p>
    <w:p>
      <w:pPr>
        <w:spacing w:after="0" w:line="19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7"/>
          <w:szCs w:val="17"/>
          <w:color w:val="auto"/>
        </w:rPr>
        <w:t>We are the leading off-price apparel and home fashions retailer in the United States and worldwide. We have over 5,200 stores and six branded e-commerce sites that offer a rapidly changing assortment of quality, fashionable, brand name and designer merchandise at prices generally 20% to 60% below full-price retailers’ (including department, specialty, and major online retailers) regular prices on comparable merchandise, every day.</w:t>
      </w:r>
    </w:p>
    <w:p>
      <w:pPr>
        <w:spacing w:after="0" w:line="16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mission is to deliver great value to our customers every day. In our stores and online, we offer consumers our value proposition of brand, fashion, price and quality. Our opportunistic buying strategies and flexible business model differentiate us from traditional retailers. We offer a treasure hunt shopping experience and a rapid turn of inventories relative to traditional retailers. Our goal is to create a sense of excitement and urgency for our customers and encourage frequent customer visits. We acquire merchandise in a variety of ways to support that goal. We reach a broad range of customers across income levels with our value proposition on a wide range of items. Our strategies and operations are synergistic across our retail chains. As a result, we are able to leverage our expertise throughout our business, sharing information, best practices, initiatives and new ideas, and to develop talent across our company. Further, we can leverage the substantial buying power of our businesses with our global vendor relationships.</w:t>
      </w:r>
    </w:p>
    <w:p>
      <w:pPr>
        <w:spacing w:after="0" w:line="17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7"/>
          <w:szCs w:val="17"/>
          <w:color w:val="auto"/>
        </w:rPr>
        <w:t>We operate our business in four segments: Marmaxx and HomeGoods, both in the U.S., TJX Canada and TJX International, including Europe and Australia. In addition to our four segments, we operate the Sierra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1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color w:val="auto"/>
        </w:rPr>
        <w:t>We are incorporated in the State of Delaware, and our principal executive offices are located at 770 Cochituate Road, Framingham, Massachusetts 01701 and our telephone number is (508) 390-1000.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160"/>
          </w:cols>
          <w:pgMar w:left="320" w:top="1440" w:right="419" w:bottom="1440" w:gutter="0" w:footer="0" w:header="0"/>
        </w:sectPr>
      </w:pPr>
    </w:p>
    <w:bookmarkStart w:id="7" w:name="page8"/>
    <w:bookmarkEnd w:id="7"/>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we will use the net proceeds from the sale of our debt securities offered by this prospectus for working capital and other general corporate purposes. Working capital and general corporate purposes may include repayment of debt, repurchase of shares of our common stock, capital expenditures, payment of dividends, possible acquisitions and any other purposes that may be stated in any prospectus supplement. The net proceeds may be invested temporarily or applied to repay short-term or revolving debt until they are used for their stated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100"/>
          </w:cols>
          <w:pgMar w:left="320" w:top="1440" w:right="479" w:bottom="1440" w:gutter="0" w:footer="0" w:header="0"/>
        </w:sectPr>
      </w:pPr>
    </w:p>
    <w:bookmarkStart w:id="8" w:name="page9"/>
    <w:bookmarkEnd w:id="8"/>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DEBT SECURITIES</w:t>
      </w:r>
    </w:p>
    <w:p>
      <w:pPr>
        <w:spacing w:after="0" w:line="21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The following description of the debt securities sets forth the material terms and provisions of the debt securities. The debt securities will be issued under the indenture, between The TJX Companies, Inc. and U.S. Bank Trust Company, National Association (as successor in interest to U.S. Bank National Association), as Trustee, which is filed as an exhibit to the registration statement that contains this prospectus. The specific terms applicable to a particular issuance of debt securities and any variations from the terms set forth below will be set forth in the applicable prospectus supplement.</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The following is a summary of the material terms and provisions of the indenture and the debt securities. You should refer to the indenture, any supplemental indenture and the applicable prospectus supplement for complete information regarding the terms and provisions of the indenture, the supplemental indenture and the debt securities. In this “Description of the Debt Securities” section, the terms “we,” “our,” “us,” the “Company” and “TJX” refer solely to The TJX Companies, Inc. and do not include its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debt securities will be our senior unsecured obligations and will rank equal in right of payment to all of our existing and future indebtedness and other liabilities that are not, by their terms, expressly subordinated in right of payment to the debt securities.</w:t>
      </w:r>
    </w:p>
    <w:p>
      <w:pPr>
        <w:spacing w:after="0" w:line="15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7"/>
          <w:szCs w:val="17"/>
          <w:color w:val="auto"/>
        </w:rPr>
        <w:t>A prospectus supplement relating to any series of debt securities being offered will include specific terms relating to the offering. Under the indenture, the specific terms of a particular series of debt securities will include the following:</w:t>
      </w:r>
    </w:p>
    <w:p>
      <w:pPr>
        <w:spacing w:after="0" w:line="140" w:lineRule="exact"/>
        <w:rPr>
          <w:sz w:val="20"/>
          <w:szCs w:val="20"/>
          <w:color w:val="auto"/>
        </w:rPr>
      </w:pPr>
    </w:p>
    <w:p>
      <w:pPr>
        <w:ind w:left="620" w:hanging="310"/>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title of the debt securities;</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any limit on the amount(s) that may be issued;</w:t>
      </w:r>
    </w:p>
    <w:p>
      <w:pPr>
        <w:spacing w:after="0" w:line="73"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person to whom any interest on the debt securities shall be payable if other than the registered holder;</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maturity date(s) or the method by which this date or these dates will be determined;</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interest rate, if any, or the method of computing the interest rate;</w:t>
      </w:r>
    </w:p>
    <w:p>
      <w:pPr>
        <w:spacing w:after="0" w:line="73" w:lineRule="exact"/>
        <w:rPr>
          <w:rFonts w:ascii="Times New Roman" w:cs="Times New Roman" w:eastAsia="Times New Roman" w:hAnsi="Times New Roman"/>
          <w:sz w:val="14"/>
          <w:szCs w:val="14"/>
          <w:color w:val="auto"/>
        </w:rPr>
      </w:pPr>
    </w:p>
    <w:p>
      <w:pPr>
        <w:ind w:left="620" w:right="100" w:hanging="310"/>
        <w:spacing w:after="0" w:line="253" w:lineRule="auto"/>
        <w:tabs>
          <w:tab w:leader="none" w:pos="6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date or dates from which interest will accrue, or how this date or these dates will be determined, and the interest payment date or dates, if any, and any related record dates;</w:t>
      </w:r>
    </w:p>
    <w:p>
      <w:pPr>
        <w:spacing w:after="0" w:line="3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place(s) where payments, if any, will be made on the debt securities and the place(s) where debt securities may be presented for transfer or exchange;</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period or periods within which, the price or prices at which and the terms and conditions on which we may redeem the debt securities;</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period or periods within which, the price or prices at which and the terms and conditions on which we may be required to redeem the debt securities;</w:t>
      </w:r>
    </w:p>
    <w:p>
      <w:pPr>
        <w:spacing w:after="0" w:line="73"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any mandatory or optional sinking fund or similar provisions;</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if other than denominations of $2,000 and integral multiples of $1,000 in excess thereof, the denominations in which any debt securities shall be issuable;</w:t>
      </w:r>
    </w:p>
    <w:p>
      <w:pPr>
        <w:spacing w:after="0" w:line="86" w:lineRule="exact"/>
        <w:rPr>
          <w:rFonts w:ascii="Times New Roman" w:cs="Times New Roman" w:eastAsia="Times New Roman" w:hAnsi="Times New Roman"/>
          <w:sz w:val="14"/>
          <w:szCs w:val="14"/>
          <w:color w:val="auto"/>
        </w:rPr>
      </w:pPr>
    </w:p>
    <w:p>
      <w:pPr>
        <w:ind w:left="620" w:right="260" w:hanging="310"/>
        <w:spacing w:after="0" w:line="238" w:lineRule="auto"/>
        <w:tabs>
          <w:tab w:leader="none" w:pos="6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if other than the full principal amount, the portion of the principal amount, or the method by which the portion will be determined, of the debt securities that will be payable upon declaration of acceleration of the maturity of the debt securities;</w:t>
      </w:r>
    </w:p>
    <w:p>
      <w:pPr>
        <w:spacing w:after="0" w:line="60" w:lineRule="exact"/>
        <w:rPr>
          <w:rFonts w:ascii="Times New Roman" w:cs="Times New Roman" w:eastAsia="Times New Roman" w:hAnsi="Times New Roman"/>
          <w:sz w:val="14"/>
          <w:szCs w:val="14"/>
          <w:color w:val="auto"/>
        </w:rPr>
      </w:pPr>
    </w:p>
    <w:p>
      <w:pPr>
        <w:ind w:left="620" w:right="220" w:hanging="310"/>
        <w:spacing w:after="0" w:line="238" w:lineRule="auto"/>
        <w:tabs>
          <w:tab w:leader="none" w:pos="6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if other than United States dollars, the foreign currency or units of two or more foreign currencies in which payment of the principal of (and premium, if any) or interest on the debt securities may be made;</w:t>
      </w:r>
    </w:p>
    <w:p>
      <w:pPr>
        <w:spacing w:after="0" w:line="60" w:lineRule="exact"/>
        <w:rPr>
          <w:rFonts w:ascii="Times New Roman" w:cs="Times New Roman" w:eastAsia="Times New Roman" w:hAnsi="Times New Roman"/>
          <w:sz w:val="14"/>
          <w:szCs w:val="14"/>
          <w:color w:val="auto"/>
        </w:rPr>
      </w:pPr>
    </w:p>
    <w:p>
      <w:pPr>
        <w:ind w:left="620" w:right="60" w:hanging="310"/>
        <w:spacing w:after="0" w:line="232" w:lineRule="auto"/>
        <w:tabs>
          <w:tab w:leader="none" w:pos="6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if the principal of (and premium, if any) or interest on the debt securities is payable, at our election or election of the holders, in a foreign currency or units of two or more foreign currencies other than that in which the debt securities are stated to be payable, the period or periods within which, and the terms and conditions, upon which, such election may be made;</w:t>
      </w:r>
    </w:p>
    <w:p>
      <w:pPr>
        <w:spacing w:after="0" w:line="48"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any index used to determine the amount of payment of the principal of (and premium, if any) or interest on the debt securities;</w:t>
      </w:r>
    </w:p>
    <w:p>
      <w:pPr>
        <w:spacing w:after="0" w:line="73"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whether the debt securities will be subject to defeasance in advance of the date for redemption or the stated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07" w:lineRule="exact"/>
        <w:rPr>
          <w:sz w:val="20"/>
          <w:szCs w:val="20"/>
          <w:color w:val="auto"/>
        </w:rPr>
      </w:pPr>
    </w:p>
    <w:p>
      <w:pPr>
        <w:ind w:left="620" w:right="280" w:hanging="310"/>
        <w:spacing w:after="0" w:line="253" w:lineRule="auto"/>
        <w:tabs>
          <w:tab w:leader="none" w:pos="6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whether the debt securities will be issued in the form of one or more global securities and, if so, the identity of the depositary for the global security or securities;</w:t>
      </w:r>
    </w:p>
    <w:p>
      <w:pPr>
        <w:spacing w:after="0" w:line="3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any additional or different events of default and any change in the right of the trustee or the holders to declare principal due and payable;</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any additional or different covenants;</w:t>
      </w:r>
    </w:p>
    <w:p>
      <w:pPr>
        <w:spacing w:after="0" w:line="73"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form of the notes to be issued; and</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any other terms of the debt securities.</w:t>
      </w:r>
    </w:p>
    <w:p>
      <w:pPr>
        <w:spacing w:after="0" w:line="99"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7"/>
          <w:szCs w:val="17"/>
          <w:color w:val="auto"/>
        </w:rPr>
        <w:t>We will have the ability under the indenture to “reopen” a previously issued series of debt securities and issue additional debt securities of that series or establish additional terms of that series.</w:t>
      </w:r>
    </w:p>
    <w:p>
      <w:pPr>
        <w:spacing w:after="0" w:line="15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color w:val="auto"/>
        </w:rPr>
        <w:t>Debt securities may be issued under the indenture as original issue discount securities. An original issue discount security is a security, including any zero-coupon security, which:</w:t>
      </w:r>
    </w:p>
    <w:p>
      <w:pPr>
        <w:spacing w:after="0" w:line="140" w:lineRule="exact"/>
        <w:rPr>
          <w:sz w:val="20"/>
          <w:szCs w:val="20"/>
          <w:color w:val="auto"/>
        </w:rPr>
      </w:pPr>
    </w:p>
    <w:p>
      <w:pPr>
        <w:ind w:left="620" w:hanging="310"/>
        <w:spacing w:after="0"/>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is issued at a price lower than the amount payable upon its stated maturity; and</w:t>
      </w:r>
    </w:p>
    <w:p>
      <w:pPr>
        <w:spacing w:after="0" w:line="73" w:lineRule="exact"/>
        <w:rPr>
          <w:rFonts w:ascii="Times New Roman" w:cs="Times New Roman" w:eastAsia="Times New Roman" w:hAnsi="Times New Roman"/>
          <w:sz w:val="14"/>
          <w:szCs w:val="14"/>
          <w:color w:val="auto"/>
        </w:rPr>
      </w:pPr>
    </w:p>
    <w:p>
      <w:pPr>
        <w:ind w:left="620" w:right="300" w:hanging="310"/>
        <w:spacing w:after="0" w:line="253" w:lineRule="auto"/>
        <w:tabs>
          <w:tab w:leader="none" w:pos="6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provides that upon redemption or acceleration of the maturity, an amount less than the amount payable upon the stated maturity, shall become due and payable.</w:t>
      </w:r>
    </w:p>
    <w:p>
      <w:pPr>
        <w:spacing w:after="0" w:line="49"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7"/>
          <w:szCs w:val="17"/>
          <w:color w:val="auto"/>
        </w:rPr>
        <w:t>If a series of debt securities is issued as original issue discount securities, the special U.S. federal income tax, accounting and other considerations applicable to original issue discount securities will be discussed in the applicable prospectus supplement.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Exchange and Transfer</w:t>
      </w:r>
    </w:p>
    <w:p>
      <w:pPr>
        <w:spacing w:after="0" w:line="219"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7"/>
          <w:szCs w:val="17"/>
          <w:color w:val="auto"/>
        </w:rPr>
        <w:t>The debt securities will be issuable as registered securities. The ownership or transfer of debt securities will be listed in the security register described in the indenture.</w:t>
      </w:r>
    </w:p>
    <w:p>
      <w:pPr>
        <w:spacing w:after="0" w:line="15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The indenture provides that debt securities may be issuable in global form which will be deposited with, or on behalf of, a depositary, identified in an applicable prospectus supplement. If debt securities are issued in global form, one certificate will represent a large number of outstanding debt securities, which may be held by separate persons, rather than each debt security being represented by a separate certificate.</w:t>
      </w:r>
    </w:p>
    <w:p>
      <w:pPr>
        <w:spacing w:after="0" w:line="16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If the purchase price, or the principal of, or any premium or interest on any debt securities is payable in, or if any debt securities are denominated in, one or more foreign currencies, the restrictions, elections, U.S. federal income tax considerations, specific terms and other information will be set forth in the applicable prospectus supplement.</w:t>
      </w:r>
    </w:p>
    <w:p>
      <w:pPr>
        <w:spacing w:after="0" w:line="16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Unless otherwise specified in the applicable prospectus supplement, debt securities denominated in U.S. dollars will be issued only in denominations of $2,000 and integral multiples of $1,000 in excess thereof.</w:t>
      </w:r>
    </w:p>
    <w:p>
      <w:pPr>
        <w:spacing w:after="0" w:line="15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7"/>
          <w:szCs w:val="17"/>
          <w:color w:val="auto"/>
        </w:rPr>
        <w:t>Debt securities may be presented for registration of transfer with the applicable form of transfer duly executed, at the office of the Security Registrar, as defined in the indenture, without service charge and upon payments of any taxes and other governmental charges as described in the indenture. This registration of transfer or exchange will be effected upon the Security Registrar being satisfied with the documents of title and identity of the person making the request.</w:t>
      </w:r>
    </w:p>
    <w:p>
      <w:pPr>
        <w:spacing w:after="0" w:line="166"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7"/>
          <w:szCs w:val="17"/>
          <w:color w:val="auto"/>
        </w:rPr>
        <w:t>A debt security in global form may not be transferred except as a whole by or between the depositary for the debt security and any of its nominees or successors. If any debt security of a series is issuable in global form, the applicable prospectus supplement will describe:</w:t>
      </w:r>
    </w:p>
    <w:p>
      <w:pPr>
        <w:spacing w:after="0" w:line="140" w:lineRule="exact"/>
        <w:rPr>
          <w:sz w:val="20"/>
          <w:szCs w:val="20"/>
          <w:color w:val="auto"/>
        </w:rPr>
      </w:pPr>
    </w:p>
    <w:p>
      <w:pPr>
        <w:ind w:left="620" w:right="60" w:hanging="310"/>
        <w:spacing w:after="0" w:line="253" w:lineRule="auto"/>
        <w:tabs>
          <w:tab w:leader="none" w:pos="6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any circumstances under which beneficial owners of interests in that global debt security may exchange their interests for definitive debt securities of that series of like tenor and principal amount in any authorized form and denomination,</w:t>
      </w:r>
    </w:p>
    <w:p>
      <w:pPr>
        <w:spacing w:after="0" w:line="3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manner of payment of principal, premium and interest, if any, on that global debt security, and</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specific terms of the depositary arrangement with respect to that global debt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180"/>
          </w:cols>
          <w:pgMar w:left="320" w:top="1440" w:right="399" w:bottom="1440" w:gutter="0" w:footer="0" w:header="0"/>
        </w:sectPr>
      </w:pPr>
    </w:p>
    <w:bookmarkStart w:id="10" w:name="page11"/>
    <w:bookmarkEnd w:id="10"/>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Payment and Paying Agents</w:t>
      </w:r>
    </w:p>
    <w:p>
      <w:pPr>
        <w:spacing w:after="0" w:line="2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Unless otherwise specified in an applicable prospectus supplement, we will pay principal, any premium and interest on debt securities at the office of the paying agents we have designated, except that we may pay interest by check mailed to, or wire transfer to the account of, the holder. Unless otherwise specified in any applicable prospectus supplement, payment of any installment of interest on debt securities will be made to the person in whose name the debt security is registered at the close of business on the record date for this interest payment.</w:t>
      </w:r>
    </w:p>
    <w:p>
      <w:pPr>
        <w:spacing w:after="0" w:line="17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7"/>
          <w:szCs w:val="17"/>
          <w:color w:val="auto"/>
        </w:rPr>
        <w:t>The paying agents outside the United States initially appointed by us for a series of debt securities, if any, will be named in the applicable prospectus supplement. In addition, we will be required to maintain at least one paying agent in each place of payment for the series.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Consolidation, Merger or Conveyance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the ability to merge or consolidate with, or convey, transfer or lease all or substantially all of our property, to another corporation, provided that:</w:t>
      </w:r>
    </w:p>
    <w:p>
      <w:pPr>
        <w:spacing w:after="0" w:line="202" w:lineRule="exact"/>
        <w:rPr>
          <w:sz w:val="20"/>
          <w:szCs w:val="20"/>
          <w:color w:val="auto"/>
        </w:rPr>
      </w:pPr>
    </w:p>
    <w:p>
      <w:pPr>
        <w:ind w:left="620" w:right="20" w:hanging="310"/>
        <w:spacing w:after="0" w:line="221" w:lineRule="auto"/>
        <w:tabs>
          <w:tab w:leader="none" w:pos="6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in the case we consolidate with or merge into another corporation or convey, transfer or lease our properties and assets substantially as an entirety to any person, the corporation formed by such consolidation or into which we are merged or the person which acquires by conveyance or transfer, or which leases, our properties and assets substantially as an entirety is a corporation organized and existing under the laws of the United States of America, any State thereof or the District of Columbia and expressly assumes, by a supplemental indenture, executed and delivered to the trustee, in form reasonably satisfactory to the trustee, the due and punctual payment of the principal of (and premium, if any) and interest on all the securities and the performance and observance of every covenant in the indenture on the part of us to be performed or observed;</w:t>
      </w:r>
    </w:p>
    <w:p>
      <w:pPr>
        <w:spacing w:after="0" w:line="48" w:lineRule="exact"/>
        <w:rPr>
          <w:rFonts w:ascii="Times New Roman" w:cs="Times New Roman" w:eastAsia="Times New Roman" w:hAnsi="Times New Roman"/>
          <w:sz w:val="14"/>
          <w:szCs w:val="14"/>
          <w:color w:val="auto"/>
        </w:rPr>
      </w:pPr>
    </w:p>
    <w:p>
      <w:pPr>
        <w:ind w:left="620" w:hanging="310"/>
        <w:spacing w:after="0" w:line="232" w:lineRule="auto"/>
        <w:tabs>
          <w:tab w:leader="none" w:pos="6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immediately after giving effect to such transaction and treating any indebtedness which becomes an obligation of ours or a subsidiary as a result of such transaction as having been incurred by us or such subsidiary at the time of such transaction, no event of default, and no event which, after notice or lapse of time or both, would become an event of default, has happened and is continuing; and</w:t>
      </w:r>
    </w:p>
    <w:p>
      <w:pPr>
        <w:spacing w:after="0" w:line="61" w:lineRule="exact"/>
        <w:rPr>
          <w:rFonts w:ascii="Times New Roman" w:cs="Times New Roman" w:eastAsia="Times New Roman" w:hAnsi="Times New Roman"/>
          <w:sz w:val="14"/>
          <w:szCs w:val="14"/>
          <w:color w:val="auto"/>
        </w:rPr>
      </w:pPr>
    </w:p>
    <w:p>
      <w:pPr>
        <w:ind w:left="620" w:right="180" w:hanging="310"/>
        <w:spacing w:after="0" w:line="232" w:lineRule="auto"/>
        <w:tabs>
          <w:tab w:leader="none" w:pos="6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we have delivered to the trustee an officer’s certificate and an opinion of counsel, each stating that such consolidation, merger, conveyance, transfer or lease and, if a supplemental indenture is required in connection with such transaction, such supplemental indenture complies with all requirements of the indenture and that all conditions precedent to the transaction have been complied with.</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otherwise specified in the applicable prospectus supplement, the following are events of default with respect to any series of debt securities issued:</w:t>
      </w:r>
    </w:p>
    <w:p>
      <w:pPr>
        <w:spacing w:after="0" w:line="202" w:lineRule="exact"/>
        <w:rPr>
          <w:sz w:val="20"/>
          <w:szCs w:val="20"/>
          <w:color w:val="auto"/>
        </w:rPr>
      </w:pPr>
    </w:p>
    <w:p>
      <w:pPr>
        <w:ind w:left="620" w:right="60" w:hanging="310"/>
        <w:spacing w:after="0" w:line="253" w:lineRule="auto"/>
        <w:tabs>
          <w:tab w:leader="none" w:pos="6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default in the payment of any interest upon any security of that series when it becomes due and payable, and continuance of such default for a period of 30 days;</w:t>
      </w:r>
    </w:p>
    <w:p>
      <w:pPr>
        <w:spacing w:after="0" w:line="3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default in the payment of the principal of (or premium, if any, on) any security of that series at its maturity;</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default in the deposit of any sinking fund payment, when and as due by the terms of a security of that series;</w:t>
      </w:r>
    </w:p>
    <w:p>
      <w:pPr>
        <w:spacing w:after="0" w:line="73" w:lineRule="exact"/>
        <w:rPr>
          <w:rFonts w:ascii="Times New Roman" w:cs="Times New Roman" w:eastAsia="Times New Roman" w:hAnsi="Times New Roman"/>
          <w:sz w:val="14"/>
          <w:szCs w:val="14"/>
          <w:color w:val="auto"/>
        </w:rPr>
      </w:pPr>
    </w:p>
    <w:p>
      <w:pPr>
        <w:ind w:left="620" w:right="100" w:hanging="310"/>
        <w:spacing w:after="0" w:line="224" w:lineRule="auto"/>
        <w:tabs>
          <w:tab w:leader="none" w:pos="6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default in the performance, or breach, of any covenant in the indenture (other than a covenant a default in whose performance or whose breach is elsewhere in the indenture specifically dealt with or which has expressly been included in the indenture solely for the benefit of a series of securities other than the series in respect of which the event of default is being determined), and continuance of such default or breach for a period of 60 days after there has been sent to us by the trustee or to us and the trustee by the holders of at least 25% in principal amount of the outstanding securities of that series a written notice specifying such default or breach and requiring it to be remedied;</w:t>
      </w:r>
    </w:p>
    <w:p>
      <w:pPr>
        <w:spacing w:after="0" w:line="49"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specified events of bankruptcy, insolvency or reorganization; or</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any other events of default provided with respect to debt securities of that series.</w:t>
      </w:r>
    </w:p>
    <w:p>
      <w:pPr>
        <w:spacing w:after="0" w:line="9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If an event of default occurs and is continuing, the trustee or the holders of at least 25% in aggregate principal amount of the outstanding debt securities of that series may declare each debt security of that series due and payable immediately by a notice in writing to us, and to the applicable trustee if given by holders. If an event of default occurs because of specified events in bankruptcy, insolvency or reorganization, the principal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series of debt securities will be automatically accelerated, without any action by the trustee or any holder thereof.</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holder of the debt securities of any series will only have the right to institute a proceeding under the indenture or to seek other remedies if:</w:t>
      </w:r>
    </w:p>
    <w:p>
      <w:pPr>
        <w:spacing w:after="0" w:line="202" w:lineRule="exact"/>
        <w:rPr>
          <w:sz w:val="20"/>
          <w:szCs w:val="20"/>
          <w:color w:val="auto"/>
        </w:rPr>
      </w:pPr>
    </w:p>
    <w:p>
      <w:pPr>
        <w:ind w:left="620" w:hanging="310"/>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holder has given written notice to the trustee of a continuing event of default;</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holders of at least 25% in aggregate principal amount of the outstanding debt securities of that series have made written request;</w:t>
      </w:r>
    </w:p>
    <w:p>
      <w:pPr>
        <w:spacing w:after="0" w:line="73"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these holders have offered indemnity and/or security satisfactory to the trustee to institute proceedings as trustee;</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trustee does not institute a proceeding within 60 days after its receipt of such notice, request and offer of indemnity and or/security; and</w:t>
      </w:r>
    </w:p>
    <w:p>
      <w:pPr>
        <w:spacing w:after="0" w:line="86" w:lineRule="exact"/>
        <w:rPr>
          <w:rFonts w:ascii="Times New Roman" w:cs="Times New Roman" w:eastAsia="Times New Roman" w:hAnsi="Times New Roman"/>
          <w:sz w:val="14"/>
          <w:szCs w:val="14"/>
          <w:color w:val="auto"/>
        </w:rPr>
      </w:pPr>
    </w:p>
    <w:p>
      <w:pPr>
        <w:ind w:left="620" w:right="180" w:hanging="310"/>
        <w:spacing w:after="0" w:line="238" w:lineRule="auto"/>
        <w:tabs>
          <w:tab w:leader="none" w:pos="6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trustee has not received written directions inconsistent with the request from the holders of a majority of the principal amount of the outstanding debt securities of that series during such 60-day period referred to above.</w:t>
      </w:r>
    </w:p>
    <w:p>
      <w:pPr>
        <w:spacing w:after="0" w:line="7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7"/>
          <w:szCs w:val="17"/>
          <w:color w:val="auto"/>
        </w:rPr>
        <w:t>We will annually file statements with the trustee regarding our compliance with the covenants in the indenture. The trustee will generally give the holders of debt securities notice within 90 days of the occurrence of an event of default known to the trustee.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Waiver, Modifications and Amendment</w:t>
      </w:r>
    </w:p>
    <w:p>
      <w:pPr>
        <w:spacing w:after="0" w:line="21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7"/>
          <w:szCs w:val="17"/>
          <w:color w:val="auto"/>
        </w:rPr>
        <w:t>The holders of a majority of the principal amount of the outstanding debt securities of any particular series may, on behalf of the holders of all debt securities of the series, waive past defaults with respect to that particular series, except for:</w:t>
      </w:r>
    </w:p>
    <w:p>
      <w:pPr>
        <w:spacing w:after="0" w:line="140" w:lineRule="exact"/>
        <w:rPr>
          <w:sz w:val="20"/>
          <w:szCs w:val="20"/>
          <w:color w:val="auto"/>
        </w:rPr>
      </w:pPr>
    </w:p>
    <w:p>
      <w:pPr>
        <w:ind w:left="620" w:hanging="310"/>
        <w:spacing w:after="0"/>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payment of the principal of (or premium, if any) or interest on any security of such series; or</w:t>
      </w:r>
    </w:p>
    <w:p>
      <w:pPr>
        <w:spacing w:after="0" w:line="73"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defaults relating to any covenants of the indenture which cannot be changed without the consent of each holder of a debt security affected by the change.</w:t>
      </w:r>
    </w:p>
    <w:p>
      <w:pPr>
        <w:spacing w:after="0" w:line="9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color w:val="auto"/>
        </w:rPr>
        <w:t>The holders of a majority in aggregate principal amount of the outstanding debt securities of each series affected may, on behalf of the holders of all debt securities of the series, waive our compliance with some of the restrictive provisions of the indenture.</w:t>
      </w:r>
    </w:p>
    <w:p>
      <w:pPr>
        <w:spacing w:after="0" w:line="153"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7"/>
          <w:szCs w:val="17"/>
          <w:color w:val="auto"/>
        </w:rPr>
        <w:t>We and the trustee may amend the indenture with the consent of the holders of a majority of the principal amount of the outstanding debt securities of each series that is affected. However, without the consent of each affected holder, such changes shall not include the following with respect to debt securities held by a non-consenting holder:</w:t>
      </w:r>
    </w:p>
    <w:p>
      <w:pPr>
        <w:spacing w:after="0" w:line="153" w:lineRule="exact"/>
        <w:rPr>
          <w:sz w:val="20"/>
          <w:szCs w:val="20"/>
          <w:color w:val="auto"/>
        </w:rPr>
      </w:pPr>
    </w:p>
    <w:p>
      <w:pPr>
        <w:ind w:left="620" w:right="100" w:hanging="310"/>
        <w:spacing w:after="0" w:line="224" w:lineRule="auto"/>
        <w:tabs>
          <w:tab w:leader="none" w:pos="6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change the stated maturity of, the principal of, or any installment of principal of or interest on, any security, or reduce the principal amount, the rate of interest or any premium payable upon the redemption of any security, or reduce the amount of the principal of an original issue discount security due and payable upon a declaration of acceleration of maturity, or change any place of payment where, or the coin or currency in which, any security or any premium or the interest is payable, or impair the right to institute suit for the enforcement of any payment on or after the stated maturity (or, in the case of redemption, on or after the redemption date);</w:t>
      </w:r>
    </w:p>
    <w:p>
      <w:pPr>
        <w:spacing w:after="0" w:line="49" w:lineRule="exact"/>
        <w:rPr>
          <w:rFonts w:ascii="Times New Roman" w:cs="Times New Roman" w:eastAsia="Times New Roman" w:hAnsi="Times New Roman"/>
          <w:sz w:val="14"/>
          <w:szCs w:val="14"/>
          <w:color w:val="auto"/>
        </w:rPr>
      </w:pPr>
    </w:p>
    <w:p>
      <w:pPr>
        <w:ind w:left="620" w:right="120" w:hanging="310"/>
        <w:spacing w:after="0" w:line="232" w:lineRule="auto"/>
        <w:tabs>
          <w:tab w:leader="none" w:pos="6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the indenture or certain defaults) provided for in the indenture; or</w:t>
      </w:r>
    </w:p>
    <w:p>
      <w:pPr>
        <w:spacing w:after="0" w:line="48" w:lineRule="exact"/>
        <w:rPr>
          <w:rFonts w:ascii="Times New Roman" w:cs="Times New Roman" w:eastAsia="Times New Roman" w:hAnsi="Times New Roman"/>
          <w:sz w:val="14"/>
          <w:szCs w:val="14"/>
          <w:color w:val="auto"/>
        </w:rPr>
      </w:pPr>
    </w:p>
    <w:p>
      <w:pPr>
        <w:ind w:left="620" w:right="740" w:hanging="310"/>
        <w:spacing w:after="0" w:line="253" w:lineRule="auto"/>
        <w:tabs>
          <w:tab w:leader="none" w:pos="6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modify any of the above requirements or the ability to waive certain covenants, except to increase any percentage or to provide that certain other provisions of the indenture cannot be modified or waived without the consent of the holder of each outstanding security affected.</w:t>
      </w:r>
    </w:p>
    <w:p>
      <w:pPr>
        <w:spacing w:after="0" w:line="4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For purposes of computing the required consents referred to above, the aggregate principal amount of any outstanding debt securities not payable in U.S. dollars is the amount of U.S. dollars that could be obtained for this principal amount based on the market rate of exchange for the applicable foreign currency or currency unit as determined by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Defeasance and Covenant Defeasance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otherwise specified in the applicable prospectus supplement, subject to certain conditions, we may elect either:</w:t>
      </w:r>
    </w:p>
    <w:p>
      <w:pPr>
        <w:spacing w:after="0" w:line="202" w:lineRule="exact"/>
        <w:rPr>
          <w:sz w:val="20"/>
          <w:szCs w:val="20"/>
          <w:color w:val="auto"/>
        </w:rPr>
      </w:pPr>
    </w:p>
    <w:p>
      <w:pPr>
        <w:ind w:left="620" w:right="600" w:hanging="310"/>
        <w:spacing w:after="0" w:line="253" w:lineRule="auto"/>
        <w:tabs>
          <w:tab w:leader="none" w:pos="6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defeasance, whereby we are discharged from any and all obligations with respect to the debt securities, except as may be otherwise provided in the indenture; or</w:t>
      </w:r>
    </w:p>
    <w:p>
      <w:pPr>
        <w:spacing w:after="0" w:line="3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covenant defeasance, whereby we are released from our obligations with respect to certain covenants.</w:t>
      </w:r>
    </w:p>
    <w:p>
      <w:pPr>
        <w:spacing w:after="0" w:line="9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may do so by depositing with the trustee money, and/or certain government securities which through the payment of principal and interest in accordance with their terms will provide money in an amount sufficient to pay the principal and any premium and interest on the debt securities, and any mandatory sinking fund or analogous payments, on their scheduled due dates. This type of a trust may only be established if, among other things, we have delivered to the trustee an opinion of counsel meeting the requirements set forth in the indenture.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indenture and the debt securities will be governed by, and construed in accordance with, the laws of the State of New York.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Concerning the Trustee</w:t>
      </w:r>
    </w:p>
    <w:p>
      <w:pPr>
        <w:spacing w:after="0" w:line="21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7"/>
          <w:szCs w:val="17"/>
          <w:color w:val="auto"/>
        </w:rPr>
        <w:t>U.S. Bank Trust Company, National Association (as successor in interest to U.S. Bank National Association) is the trustee under the indenture. We may, from time to time, borrow from or maintain deposit accounts and conduct other banking transactions with U.S. Bank Trust Company, National Association or its affiliates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debt securities may be sold:</w:t>
      </w:r>
    </w:p>
    <w:p>
      <w:pPr>
        <w:spacing w:after="0" w:line="202" w:lineRule="exact"/>
        <w:rPr>
          <w:sz w:val="20"/>
          <w:szCs w:val="20"/>
          <w:color w:val="auto"/>
        </w:rPr>
      </w:pPr>
    </w:p>
    <w:p>
      <w:pPr>
        <w:ind w:left="620" w:hanging="310"/>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to or through one or more underwriting syndicates represented by managing underwriters;</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to or through one or more underwriters without a syndicate;</w:t>
      </w:r>
    </w:p>
    <w:p>
      <w:pPr>
        <w:spacing w:after="0" w:line="73"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through one or more dealers or agents; or</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to investors directly in negotiated sales or in competitively bid transactions.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prospectus supplement for each series of debt securities we sell will describe, to the extent required, information with respect to that offering, including:</w:t>
      </w:r>
    </w:p>
    <w:p>
      <w:pPr>
        <w:spacing w:after="0" w:line="202" w:lineRule="exact"/>
        <w:rPr>
          <w:sz w:val="20"/>
          <w:szCs w:val="20"/>
          <w:color w:val="auto"/>
        </w:rPr>
      </w:pPr>
    </w:p>
    <w:p>
      <w:pPr>
        <w:ind w:left="620" w:hanging="310"/>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name or names of any underwriters or agents and the respective amounts underwritten;</w:t>
      </w:r>
    </w:p>
    <w:p>
      <w:pPr>
        <w:spacing w:after="0" w:line="73"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purchase price and the proceeds to us from that sale;</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any underwriting discounts and other items constituting underwriters’ compensation;</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any initial public offering price and any discounts or concessions allowed or reallowed or paid to dealers;</w:t>
      </w:r>
    </w:p>
    <w:p>
      <w:pPr>
        <w:spacing w:after="0" w:line="73"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any securities exchanges on which the securities may be listed; and</w:t>
      </w:r>
    </w:p>
    <w:p>
      <w:pPr>
        <w:spacing w:after="0" w:line="86" w:lineRule="exact"/>
        <w:rPr>
          <w:rFonts w:ascii="Times New Roman" w:cs="Times New Roman" w:eastAsia="Times New Roman" w:hAnsi="Times New Roman"/>
          <w:sz w:val="14"/>
          <w:szCs w:val="14"/>
          <w:color w:val="auto"/>
        </w:rPr>
      </w:pPr>
    </w:p>
    <w:p>
      <w:pPr>
        <w:ind w:left="620" w:hanging="310"/>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any material relationships with the underwriters.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Underwriters</w:t>
      </w:r>
    </w:p>
    <w:p>
      <w:pPr>
        <w:spacing w:after="0" w:line="2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If underwriters are used in the sale, we will execute an underwriting agreement with those underwriters relating to the debt securities that we will offer. Unless otherwise set forth in the applicable prospectus supplement, the obligations of the underwriters to purchase these debt securities will be subject to conditions and the underwriters will be obligated to purchase all of these debt securities if any are purchased.</w:t>
      </w:r>
    </w:p>
    <w:p>
      <w:pPr>
        <w:spacing w:after="0" w:line="16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The debt securities subject to the underwriting agreement will be acquired by the underwriters for their own account and may be resold by them from time to time in one or more transactions, including negotiated transactions, at a fixed public offering price or at varying prices determined at the time of sale. Underwriters may be deemed to have received compensation from us in the form of underwriting discounts or commissions and may also receive commissions from the purchasers of these debt securities for whom they may act as agent. Underwriters may sell these debt securities to or through dealers. These dealers may receive compensation in the form of discounts, concessions or commissions from the underwriters and/or commissions from the purchasers for whom they may act as agent. Any initial public offering price and any discounts or concessions allowed or reallowed or paid to dealers may be changed from time to time. Underwriters, dealers and agents that participate</w:t>
      </w:r>
    </w:p>
    <w:p>
      <w:pPr>
        <w:spacing w:after="0" w:line="176"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7"/>
          <w:szCs w:val="17"/>
          <w:color w:val="auto"/>
        </w:rPr>
        <w:t>in the distribution of the offered debt securities may be underwriters as defined in the Securities Act and any discounts or commissions received by them from us and any profit on the resale of the offered securities by them may be treated as underwriting discounts and commissions under the Securities 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Agents</w:t>
      </w:r>
    </w:p>
    <w:p>
      <w:pPr>
        <w:spacing w:after="0" w:line="21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7"/>
          <w:szCs w:val="17"/>
          <w:color w:val="auto"/>
        </w:rPr>
        <w:t>We may also sell any of the debt securities through agents designated by us from time to time. We will name any agent involved in the offer or sale of these debt securities and will list commissions payable by us to these agents in the applicable prospectus supplement. These agents will be acting on a best efforts basis to solicit purchases for the period of its appointment, unless we state otherwise in the applicable prospectus supplement.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 sales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may sell any of the debt securities directly to purchasers. In this case, we will not engage underwriters or agents in the offer and sale of the applicable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21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7"/>
          <w:szCs w:val="17"/>
          <w:color w:val="auto"/>
        </w:rPr>
        <w:t>We may indemnify underwriters, dealers or agents who participate in the distribution of debt securities against certain liabilities, including liabilities under the Securities Act, and agree to contribute to payments which these underwriters, dealers or agents may be required to make.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relationships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Agents, underwriters and dealers may engage in transactions with, or perform services for, us and our respective subsidiaries in the ordinary course of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assurance of liquidity</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debt securities registered hereby may be a new issue of debt securities with no established trading market. Any underwriters that purchase debt securities from us may make a market in these debt securities. The underwriters will not be obligated, however, to make a market and may discontinue market-making at any time without notice to holders of the debt securities. We cannot assure you that there will be liquidity in the trading market for any debt securities of any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140"/>
          </w:cols>
          <w:pgMar w:left="320" w:top="1440" w:right="439" w:bottom="1440" w:gutter="0" w:footer="0" w:header="0"/>
        </w:sectPr>
      </w:pPr>
    </w:p>
    <w:bookmarkStart w:id="15" w:name="page16"/>
    <w:bookmarkEnd w:id="15"/>
    <w:p>
      <w:pPr>
        <w:spacing w:after="0" w:line="1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VALIDITY OF DEBT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validity of the debt securities offered by this prospectus and any prospectus supplement will be passed upon for us by Ropes &amp; Gray LLP.</w:t>
      </w: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January 31, 2026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160"/>
          </w:cols>
          <w:pgMar w:left="320" w:top="1440" w:right="41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15"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14.</w:t>
        <w:tab/>
        <w:t>Other Expenses of Issuance and Distribution</w:t>
      </w:r>
    </w:p>
    <w:p>
      <w:pPr>
        <w:spacing w:after="0" w:line="21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7"/>
          <w:szCs w:val="17"/>
          <w:color w:val="auto"/>
        </w:rPr>
        <w:t>The following table sets forth all fees and expenses payable by the registrant in connection with the issuance and distribution of the debt securities being registered hereby (other than underwriting discounts and commissions).</w:t>
      </w:r>
    </w:p>
    <w:p>
      <w:pPr>
        <w:spacing w:after="0" w:line="200" w:lineRule="exact"/>
        <w:rPr>
          <w:sz w:val="20"/>
          <w:szCs w:val="20"/>
          <w:color w:val="auto"/>
        </w:rPr>
      </w:pPr>
    </w:p>
    <w:tbl>
      <w:tblPr>
        <w:tblLayout w:type="fixed"/>
        <w:tblInd w:w="960" w:type="dxa"/>
        <w:tblCellMar>
          <w:top w:w="0" w:type="dxa"/>
          <w:left w:w="0" w:type="dxa"/>
          <w:bottom w:w="0" w:type="dxa"/>
          <w:right w:w="0" w:type="dxa"/>
        </w:tblCellMar>
      </w:tblPr>
      <w:tr>
        <w:trPr>
          <w:trHeight w:val="226"/>
        </w:trPr>
        <w:tc>
          <w:tcPr>
            <w:tcW w:w="4460" w:type="dxa"/>
            <w:vAlign w:val="bottom"/>
          </w:tcPr>
          <w:p>
            <w:pPr>
              <w:spacing w:after="0"/>
              <w:rPr>
                <w:sz w:val="19"/>
                <w:szCs w:val="19"/>
                <w:color w:val="auto"/>
              </w:rPr>
            </w:pPr>
          </w:p>
        </w:tc>
        <w:tc>
          <w:tcPr>
            <w:tcW w:w="3300" w:type="dxa"/>
            <w:vAlign w:val="bottom"/>
          </w:tcPr>
          <w:p>
            <w:pPr>
              <w:ind w:left="1480"/>
              <w:spacing w:after="0"/>
              <w:rPr>
                <w:sz w:val="20"/>
                <w:szCs w:val="20"/>
                <w:color w:val="auto"/>
              </w:rPr>
            </w:pPr>
            <w:r>
              <w:rPr>
                <w:rFonts w:ascii="Times New Roman" w:cs="Times New Roman" w:eastAsia="Times New Roman" w:hAnsi="Times New Roman"/>
                <w:sz w:val="17"/>
                <w:szCs w:val="17"/>
                <w:b w:val="1"/>
                <w:bCs w:val="1"/>
                <w:color w:val="auto"/>
              </w:rPr>
              <w:t>Estimated Amounts</w:t>
            </w:r>
          </w:p>
        </w:tc>
      </w:tr>
      <w:tr>
        <w:trPr>
          <w:trHeight w:val="25"/>
        </w:trPr>
        <w:tc>
          <w:tcPr>
            <w:tcW w:w="4460" w:type="dxa"/>
            <w:vAlign w:val="bottom"/>
            <w:tcBorders>
              <w:bottom w:val="single" w:sz="8" w:color="95B3D7"/>
            </w:tcBorders>
          </w:tcPr>
          <w:p>
            <w:pPr>
              <w:spacing w:after="0"/>
              <w:rPr>
                <w:sz w:val="2"/>
                <w:szCs w:val="2"/>
                <w:color w:val="auto"/>
              </w:rPr>
            </w:pPr>
          </w:p>
        </w:tc>
        <w:tc>
          <w:tcPr>
            <w:tcW w:w="3300" w:type="dxa"/>
            <w:vAlign w:val="bottom"/>
            <w:tcBorders>
              <w:bottom w:val="single" w:sz="8" w:color="95B3D7"/>
            </w:tcBorders>
          </w:tcPr>
          <w:p>
            <w:pPr>
              <w:spacing w:after="0"/>
              <w:rPr>
                <w:sz w:val="2"/>
                <w:szCs w:val="2"/>
                <w:color w:val="auto"/>
              </w:rPr>
            </w:pPr>
          </w:p>
        </w:tc>
      </w:tr>
      <w:tr>
        <w:trPr>
          <w:trHeight w:val="224"/>
        </w:trPr>
        <w:tc>
          <w:tcPr>
            <w:tcW w:w="446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7"/>
                <w:szCs w:val="17"/>
                <w:color w:val="auto"/>
              </w:rPr>
              <w:t>SEC registration fee under the Securities Act</w:t>
            </w:r>
          </w:p>
        </w:tc>
        <w:tc>
          <w:tcPr>
            <w:tcW w:w="3300" w:type="dxa"/>
            <w:vAlign w:val="bottom"/>
            <w:shd w:val="clear" w:color="auto" w:fill="DBE5F1"/>
          </w:tcPr>
          <w:p>
            <w:pPr>
              <w:ind w:left="1340"/>
              <w:spacing w:after="0"/>
              <w:rPr>
                <w:sz w:val="20"/>
                <w:szCs w:val="20"/>
                <w:color w:val="auto"/>
              </w:rPr>
            </w:pPr>
            <w:r>
              <w:rPr>
                <w:rFonts w:ascii="Times New Roman" w:cs="Times New Roman" w:eastAsia="Times New Roman" w:hAnsi="Times New Roman"/>
                <w:sz w:val="17"/>
                <w:szCs w:val="17"/>
                <w:color w:val="auto"/>
              </w:rPr>
              <w:t>(1)(2)</w:t>
            </w:r>
          </w:p>
        </w:tc>
      </w:tr>
      <w:tr>
        <w:trPr>
          <w:trHeight w:val="192"/>
        </w:trPr>
        <w:tc>
          <w:tcPr>
            <w:tcW w:w="4460" w:type="dxa"/>
            <w:vAlign w:val="bottom"/>
            <w:shd w:val="clear" w:color="auto" w:fill="DBE5F1"/>
          </w:tcPr>
          <w:p>
            <w:pPr>
              <w:spacing w:after="0"/>
              <w:rPr>
                <w:sz w:val="16"/>
                <w:szCs w:val="16"/>
                <w:color w:val="auto"/>
              </w:rPr>
            </w:pPr>
          </w:p>
        </w:tc>
        <w:tc>
          <w:tcPr>
            <w:tcW w:w="3300" w:type="dxa"/>
            <w:vAlign w:val="bottom"/>
            <w:shd w:val="clear" w:color="auto" w:fill="DBE5F1"/>
          </w:tcPr>
          <w:p>
            <w:pPr>
              <w:spacing w:after="0"/>
              <w:rPr>
                <w:sz w:val="16"/>
                <w:szCs w:val="16"/>
                <w:color w:val="auto"/>
              </w:rPr>
            </w:pPr>
          </w:p>
        </w:tc>
      </w:tr>
      <w:tr>
        <w:trPr>
          <w:trHeight w:val="231"/>
        </w:trPr>
        <w:tc>
          <w:tcPr>
            <w:tcW w:w="4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Printing expenses</w:t>
            </w:r>
          </w:p>
        </w:tc>
        <w:tc>
          <w:tcPr>
            <w:tcW w:w="330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(2)</w:t>
            </w:r>
          </w:p>
        </w:tc>
      </w:tr>
      <w:tr>
        <w:trPr>
          <w:trHeight w:val="192"/>
        </w:trPr>
        <w:tc>
          <w:tcPr>
            <w:tcW w:w="446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231"/>
        </w:trPr>
        <w:tc>
          <w:tcPr>
            <w:tcW w:w="446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7"/>
                <w:szCs w:val="17"/>
                <w:color w:val="auto"/>
              </w:rPr>
              <w:t>Legal fees and expenses</w:t>
            </w:r>
          </w:p>
        </w:tc>
        <w:tc>
          <w:tcPr>
            <w:tcW w:w="3300" w:type="dxa"/>
            <w:vAlign w:val="bottom"/>
            <w:shd w:val="clear" w:color="auto" w:fill="DBE5F1"/>
          </w:tcPr>
          <w:p>
            <w:pPr>
              <w:ind w:left="1340"/>
              <w:spacing w:after="0"/>
              <w:rPr>
                <w:sz w:val="20"/>
                <w:szCs w:val="20"/>
                <w:color w:val="auto"/>
              </w:rPr>
            </w:pPr>
            <w:r>
              <w:rPr>
                <w:rFonts w:ascii="Times New Roman" w:cs="Times New Roman" w:eastAsia="Times New Roman" w:hAnsi="Times New Roman"/>
                <w:sz w:val="17"/>
                <w:szCs w:val="17"/>
                <w:color w:val="auto"/>
              </w:rPr>
              <w:t>(2)</w:t>
            </w:r>
          </w:p>
        </w:tc>
      </w:tr>
      <w:tr>
        <w:trPr>
          <w:trHeight w:val="192"/>
        </w:trPr>
        <w:tc>
          <w:tcPr>
            <w:tcW w:w="4460" w:type="dxa"/>
            <w:vAlign w:val="bottom"/>
            <w:shd w:val="clear" w:color="auto" w:fill="DBE5F1"/>
          </w:tcPr>
          <w:p>
            <w:pPr>
              <w:spacing w:after="0"/>
              <w:rPr>
                <w:sz w:val="16"/>
                <w:szCs w:val="16"/>
                <w:color w:val="auto"/>
              </w:rPr>
            </w:pPr>
          </w:p>
        </w:tc>
        <w:tc>
          <w:tcPr>
            <w:tcW w:w="3300" w:type="dxa"/>
            <w:vAlign w:val="bottom"/>
            <w:shd w:val="clear" w:color="auto" w:fill="DBE5F1"/>
          </w:tcPr>
          <w:p>
            <w:pPr>
              <w:spacing w:after="0"/>
              <w:rPr>
                <w:sz w:val="16"/>
                <w:szCs w:val="16"/>
                <w:color w:val="auto"/>
              </w:rPr>
            </w:pPr>
          </w:p>
        </w:tc>
      </w:tr>
      <w:tr>
        <w:trPr>
          <w:trHeight w:val="231"/>
        </w:trPr>
        <w:tc>
          <w:tcPr>
            <w:tcW w:w="4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Rating agency fees</w:t>
            </w:r>
          </w:p>
        </w:tc>
        <w:tc>
          <w:tcPr>
            <w:tcW w:w="330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(2)</w:t>
            </w:r>
          </w:p>
        </w:tc>
      </w:tr>
      <w:tr>
        <w:trPr>
          <w:trHeight w:val="192"/>
        </w:trPr>
        <w:tc>
          <w:tcPr>
            <w:tcW w:w="446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231"/>
        </w:trPr>
        <w:tc>
          <w:tcPr>
            <w:tcW w:w="446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7"/>
                <w:szCs w:val="17"/>
                <w:color w:val="auto"/>
              </w:rPr>
              <w:t>Accountants’ fees and expenses</w:t>
            </w:r>
          </w:p>
        </w:tc>
        <w:tc>
          <w:tcPr>
            <w:tcW w:w="3300" w:type="dxa"/>
            <w:vAlign w:val="bottom"/>
            <w:shd w:val="clear" w:color="auto" w:fill="DBE5F1"/>
          </w:tcPr>
          <w:p>
            <w:pPr>
              <w:ind w:left="1340"/>
              <w:spacing w:after="0"/>
              <w:rPr>
                <w:sz w:val="20"/>
                <w:szCs w:val="20"/>
                <w:color w:val="auto"/>
              </w:rPr>
            </w:pPr>
            <w:r>
              <w:rPr>
                <w:rFonts w:ascii="Times New Roman" w:cs="Times New Roman" w:eastAsia="Times New Roman" w:hAnsi="Times New Roman"/>
                <w:sz w:val="17"/>
                <w:szCs w:val="17"/>
                <w:color w:val="auto"/>
              </w:rPr>
              <w:t>(2)</w:t>
            </w:r>
          </w:p>
        </w:tc>
      </w:tr>
      <w:tr>
        <w:trPr>
          <w:trHeight w:val="192"/>
        </w:trPr>
        <w:tc>
          <w:tcPr>
            <w:tcW w:w="4460" w:type="dxa"/>
            <w:vAlign w:val="bottom"/>
            <w:shd w:val="clear" w:color="auto" w:fill="DBE5F1"/>
          </w:tcPr>
          <w:p>
            <w:pPr>
              <w:spacing w:after="0"/>
              <w:rPr>
                <w:sz w:val="16"/>
                <w:szCs w:val="16"/>
                <w:color w:val="auto"/>
              </w:rPr>
            </w:pPr>
          </w:p>
        </w:tc>
        <w:tc>
          <w:tcPr>
            <w:tcW w:w="3300" w:type="dxa"/>
            <w:vAlign w:val="bottom"/>
            <w:shd w:val="clear" w:color="auto" w:fill="DBE5F1"/>
          </w:tcPr>
          <w:p>
            <w:pPr>
              <w:spacing w:after="0"/>
              <w:rPr>
                <w:sz w:val="16"/>
                <w:szCs w:val="16"/>
                <w:color w:val="auto"/>
              </w:rPr>
            </w:pPr>
          </w:p>
        </w:tc>
      </w:tr>
      <w:tr>
        <w:trPr>
          <w:trHeight w:val="231"/>
        </w:trPr>
        <w:tc>
          <w:tcPr>
            <w:tcW w:w="4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Trustee fees and expenses</w:t>
            </w:r>
          </w:p>
        </w:tc>
        <w:tc>
          <w:tcPr>
            <w:tcW w:w="330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(2)</w:t>
            </w:r>
          </w:p>
        </w:tc>
      </w:tr>
      <w:tr>
        <w:trPr>
          <w:trHeight w:val="192"/>
        </w:trPr>
        <w:tc>
          <w:tcPr>
            <w:tcW w:w="446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231"/>
        </w:trPr>
        <w:tc>
          <w:tcPr>
            <w:tcW w:w="446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7"/>
                <w:szCs w:val="17"/>
                <w:color w:val="auto"/>
              </w:rPr>
              <w:t>Total</w:t>
            </w:r>
          </w:p>
        </w:tc>
        <w:tc>
          <w:tcPr>
            <w:tcW w:w="3300" w:type="dxa"/>
            <w:vAlign w:val="bottom"/>
            <w:shd w:val="clear" w:color="auto" w:fill="DBE5F1"/>
          </w:tcPr>
          <w:p>
            <w:pPr>
              <w:ind w:left="1340"/>
              <w:spacing w:after="0"/>
              <w:rPr>
                <w:sz w:val="20"/>
                <w:szCs w:val="20"/>
                <w:color w:val="auto"/>
              </w:rPr>
            </w:pPr>
            <w:r>
              <w:rPr>
                <w:rFonts w:ascii="Times New Roman" w:cs="Times New Roman" w:eastAsia="Times New Roman" w:hAnsi="Times New Roman"/>
                <w:sz w:val="17"/>
                <w:szCs w:val="17"/>
                <w:color w:val="auto"/>
              </w:rPr>
              <w:t>(2)</w:t>
            </w:r>
          </w:p>
        </w:tc>
      </w:tr>
      <w:tr>
        <w:trPr>
          <w:trHeight w:val="192"/>
        </w:trPr>
        <w:tc>
          <w:tcPr>
            <w:tcW w:w="4460" w:type="dxa"/>
            <w:vAlign w:val="bottom"/>
            <w:shd w:val="clear" w:color="auto" w:fill="DBE5F1"/>
          </w:tcPr>
          <w:p>
            <w:pPr>
              <w:spacing w:after="0"/>
              <w:rPr>
                <w:sz w:val="16"/>
                <w:szCs w:val="16"/>
                <w:color w:val="auto"/>
              </w:rPr>
            </w:pPr>
          </w:p>
        </w:tc>
        <w:tc>
          <w:tcPr>
            <w:tcW w:w="3300" w:type="dxa"/>
            <w:vAlign w:val="bottom"/>
            <w:shd w:val="clear" w:color="auto" w:fill="DBE5F1"/>
          </w:tcPr>
          <w:p>
            <w:pPr>
              <w:spacing w:after="0"/>
              <w:rPr>
                <w:sz w:val="16"/>
                <w:szCs w:val="16"/>
                <w:color w:val="auto"/>
              </w:rPr>
            </w:pPr>
          </w:p>
        </w:tc>
      </w:tr>
    </w:tbl>
    <w:p>
      <w:pPr>
        <w:spacing w:after="0" w:line="200" w:lineRule="exact"/>
        <w:rPr>
          <w:sz w:val="20"/>
          <w:szCs w:val="20"/>
          <w:color w:val="auto"/>
        </w:rPr>
      </w:pPr>
    </w:p>
    <w:p>
      <w:pPr>
        <w:spacing w:after="0" w:line="309" w:lineRule="exact"/>
        <w:rPr>
          <w:sz w:val="20"/>
          <w:szCs w:val="20"/>
          <w:color w:val="auto"/>
        </w:rPr>
      </w:pPr>
    </w:p>
    <w:p>
      <w:pPr>
        <w:ind w:left="380" w:hanging="377"/>
        <w:spacing w:after="0"/>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in accordance with Rules 456(b) and 457(r) under the Securities Act.</w:t>
      </w:r>
    </w:p>
    <w:p>
      <w:pPr>
        <w:spacing w:after="0" w:line="26" w:lineRule="exact"/>
        <w:rPr>
          <w:rFonts w:ascii="Times New Roman" w:cs="Times New Roman" w:eastAsia="Times New Roman" w:hAnsi="Times New Roman"/>
          <w:sz w:val="17"/>
          <w:szCs w:val="17"/>
          <w:color w:val="auto"/>
        </w:rPr>
      </w:pPr>
    </w:p>
    <w:p>
      <w:pPr>
        <w:ind w:left="360" w:hanging="357"/>
        <w:spacing w:after="0"/>
        <w:tabs>
          <w:tab w:leader="none" w:pos="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amount of these expenses will be reflected in the applicable prospectus supplement.</w:t>
      </w:r>
    </w:p>
    <w:p>
      <w:pPr>
        <w:spacing w:after="0" w:line="194"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15.</w:t>
        <w:tab/>
        <w:t>Indemnification of Directors and Officers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Section 145 of the General Corporation Law of the State of Delaware (the “DGCL”), as amended,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against expenses (including attorneys’ fees) actually and reasonably incurred in connection with the defense or settlement of such action or suit if such person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Indemnification provided pursuant to Section 145 is not exclusive of any other rights to which those seeking indemnification may be entitled to under any bylaw, agreement, disinterested director vote, stockholder vote or otherwise.</w:t>
      </w:r>
    </w:p>
    <w:p>
      <w:pPr>
        <w:spacing w:after="0" w:line="17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Article Eight of the Fifth Restated Certificate of Incorporation of TJX provides that TJX shall indemnify each person who is or was a director or officer of TJX against expenses (including attorney’s fees), judgments, fines and amounts paid in settlement to the maximum extent permitted from time to time under the DGCL. Article Eight also provides that the indemnification provided thereby shall not be exclusive of any other indemnification rights arising under any By-laws, agreement, vote of directors or stockholders or otherwise. In addition, TJX has entered into indemnification agreements with each of its directors and executive officers which affirm TJX’s obligation to indemnify them to the fullest extent permitted by law and contain various procedural and other provisions.</w:t>
      </w:r>
    </w:p>
    <w:p>
      <w:pPr>
        <w:sectPr>
          <w:pgSz w:w="11900" w:h="16838" w:orient="portrait"/>
          <w:cols w:equalWidth="0" w:num="1">
            <w:col w:w="11200"/>
          </w:cols>
          <w:pgMar w:left="320" w:top="135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1200"/>
          </w:cols>
          <w:pgMar w:left="320" w:top="1350" w:right="379" w:bottom="1440" w:gutter="0" w:footer="0" w:header="0"/>
          <w:type w:val="continuous"/>
        </w:sectPr>
      </w:pPr>
    </w:p>
    <w:bookmarkStart w:id="17" w:name="page18"/>
    <w:bookmarkEnd w:id="17"/>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Section 102(b)(7) of the DGCL enables a corporation in its certificate of incorporation to eliminate or limit the personal liability of members of its board of directors and certain officers to the corporation or its shareholders for monetary damages for breach of fiduciary duty as a director or officer, provided that the corporation shall not eliminate or limit the liability of a director or officer for: (i) breaching his or her duty of loyalty to the corporation or its stockholders; (ii) acts or omissions not in good faith or which involve intentional misconduct or a knowing violation of law; (iii) in the case of directors, liability under Section 174 of the DGCL; (iv) any transaction from which the director or officer derived an improper personal benefit; or (v) in the case of officers, any action by or in the right of the corporation.</w:t>
      </w:r>
    </w:p>
    <w:p>
      <w:pPr>
        <w:spacing w:after="0" w:line="17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7"/>
          <w:szCs w:val="17"/>
          <w:color w:val="auto"/>
        </w:rPr>
        <w:t>Article Eight of TJX’s Fifth Restated Certificate of Incorporation provides for the elimination of personal monetary liabilities of directors of TJX for any breach of their fiduciary duties, except as otherwise required under the DGCL.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TJX maintains a directors’ and officers’ liability insurance policy.</w:t>
      </w:r>
    </w:p>
    <w:p>
      <w:pPr>
        <w:spacing w:after="0" w:line="211"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is a list of exhibits filed herewith or incorporated by reference.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2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99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1"/>
        </w:trPr>
        <w:tc>
          <w:tcPr>
            <w:tcW w:w="12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992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1.1</w:t>
            </w:r>
          </w:p>
        </w:tc>
        <w:tc>
          <w:tcPr>
            <w:tcW w:w="99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Underwriting Agreement.*</w:t>
            </w:r>
          </w:p>
        </w:tc>
        <w:tc>
          <w:tcPr>
            <w:tcW w:w="0" w:type="dxa"/>
            <w:vAlign w:val="bottom"/>
          </w:tcPr>
          <w:p>
            <w:pPr>
              <w:spacing w:after="0"/>
              <w:rPr>
                <w:sz w:val="1"/>
                <w:szCs w:val="1"/>
                <w:color w:val="auto"/>
              </w:rPr>
            </w:pPr>
          </w:p>
        </w:tc>
      </w:tr>
      <w:tr>
        <w:trPr>
          <w:trHeight w:val="3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9920" w:type="dxa"/>
            <w:vAlign w:val="bottom"/>
            <w:gridSpan w:val="6"/>
          </w:tcPr>
          <w:p>
            <w:pPr>
              <w:spacing w:after="0"/>
              <w:rPr>
                <w:rFonts w:ascii="Times New Roman" w:cs="Times New Roman" w:eastAsia="Times New Roman" w:hAnsi="Times New Roman"/>
                <w:sz w:val="17"/>
                <w:szCs w:val="17"/>
                <w:color w:val="0000FF"/>
              </w:rPr>
            </w:pPr>
            <w:hyperlink r:id="rId21">
              <w:r>
                <w:rPr>
                  <w:rFonts w:ascii="Times New Roman" w:cs="Times New Roman" w:eastAsia="Times New Roman" w:hAnsi="Times New Roman"/>
                  <w:sz w:val="17"/>
                  <w:szCs w:val="17"/>
                  <w:color w:val="0000FF"/>
                </w:rPr>
                <w:t>Indenture, dated as of April 1, 2020, by and between the registrant and U.S. Bank Trust Company, National Association (as successor in interest</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80" w:type="dxa"/>
            <w:vAlign w:val="bottom"/>
          </w:tcPr>
          <w:p>
            <w:pPr>
              <w:spacing w:after="0"/>
              <w:rPr>
                <w:sz w:val="12"/>
                <w:szCs w:val="12"/>
                <w:color w:val="auto"/>
              </w:rPr>
            </w:pPr>
          </w:p>
        </w:tc>
        <w:tc>
          <w:tcPr>
            <w:tcW w:w="9920" w:type="dxa"/>
            <w:vAlign w:val="bottom"/>
            <w:tcBorders>
              <w:bottom w:val="single" w:sz="8" w:color="0000FF"/>
            </w:tcBorders>
            <w:gridSpan w:val="6"/>
          </w:tcPr>
          <w:p>
            <w:pPr>
              <w:spacing w:after="0" w:line="147" w:lineRule="exact"/>
              <w:rPr>
                <w:rFonts w:ascii="Times New Roman" w:cs="Times New Roman" w:eastAsia="Times New Roman" w:hAnsi="Times New Roman"/>
                <w:sz w:val="17"/>
                <w:szCs w:val="17"/>
                <w:color w:val="0000FF"/>
                <w:w w:val="99"/>
              </w:rPr>
            </w:pPr>
            <w:hyperlink r:id="rId21">
              <w:r>
                <w:rPr>
                  <w:rFonts w:ascii="Times New Roman" w:cs="Times New Roman" w:eastAsia="Times New Roman" w:hAnsi="Times New Roman"/>
                  <w:sz w:val="17"/>
                  <w:szCs w:val="17"/>
                  <w:color w:val="0000FF"/>
                  <w:w w:val="99"/>
                </w:rPr>
                <w:t>to U.S. Bank National Association), as Trustee (incorporated by reference to Exhibit 4.1 of the registrant’s Current Report on Form 8-K filed with</w:t>
              </w:r>
            </w:hyperlink>
          </w:p>
        </w:tc>
        <w:tc>
          <w:tcPr>
            <w:tcW w:w="0" w:type="dxa"/>
            <w:vAlign w:val="bottom"/>
          </w:tcPr>
          <w:p>
            <w:pPr>
              <w:spacing w:after="0"/>
              <w:rPr>
                <w:sz w:val="1"/>
                <w:szCs w:val="1"/>
                <w:color w:val="auto"/>
              </w:rPr>
            </w:pPr>
          </w:p>
        </w:tc>
      </w:tr>
      <w:tr>
        <w:trPr>
          <w:trHeight w:val="159"/>
        </w:trPr>
        <w:tc>
          <w:tcPr>
            <w:tcW w:w="1280" w:type="dxa"/>
            <w:vAlign w:val="bottom"/>
          </w:tcPr>
          <w:p>
            <w:pPr>
              <w:spacing w:after="0"/>
              <w:rPr>
                <w:sz w:val="13"/>
                <w:szCs w:val="13"/>
                <w:color w:val="auto"/>
              </w:rPr>
            </w:pPr>
          </w:p>
        </w:tc>
        <w:tc>
          <w:tcPr>
            <w:tcW w:w="9920" w:type="dxa"/>
            <w:vAlign w:val="bottom"/>
            <w:gridSpan w:val="6"/>
          </w:tcPr>
          <w:p>
            <w:pPr>
              <w:spacing w:after="0" w:line="159" w:lineRule="exact"/>
              <w:rPr>
                <w:rFonts w:ascii="Times New Roman" w:cs="Times New Roman" w:eastAsia="Times New Roman" w:hAnsi="Times New Roman"/>
                <w:sz w:val="17"/>
                <w:szCs w:val="17"/>
                <w:color w:val="0000FF"/>
              </w:rPr>
            </w:pPr>
            <w:hyperlink r:id="rId21">
              <w:r>
                <w:rPr>
                  <w:rFonts w:ascii="Times New Roman" w:cs="Times New Roman" w:eastAsia="Times New Roman" w:hAnsi="Times New Roman"/>
                  <w:sz w:val="17"/>
                  <w:szCs w:val="17"/>
                  <w:color w:val="0000FF"/>
                </w:rPr>
                <w:t>the SEC on April 1, 2020).</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99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Opinion of Ropes &amp; Gray LLP as to legality of the debt securities.**</w:t>
            </w:r>
          </w:p>
        </w:tc>
        <w:tc>
          <w:tcPr>
            <w:tcW w:w="0" w:type="dxa"/>
            <w:vAlign w:val="bottom"/>
          </w:tcPr>
          <w:p>
            <w:pPr>
              <w:spacing w:after="0"/>
              <w:rPr>
                <w:sz w:val="1"/>
                <w:szCs w:val="1"/>
                <w:color w:val="auto"/>
              </w:rPr>
            </w:pPr>
          </w:p>
        </w:tc>
      </w:tr>
      <w:tr>
        <w:trPr>
          <w:trHeight w:val="403"/>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4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Consent of PricewaterhouseCoopers LLP.**</w:t>
            </w:r>
          </w:p>
        </w:tc>
        <w:tc>
          <w:tcPr>
            <w:tcW w:w="5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99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 xml:space="preserve">Consent of Ropes &amp; Gray LLP (included in </w:t>
            </w:r>
            <w:r>
              <w:rPr>
                <w:rFonts w:ascii="Times New Roman" w:cs="Times New Roman" w:eastAsia="Times New Roman" w:hAnsi="Times New Roman"/>
                <w:sz w:val="17"/>
                <w:szCs w:val="17"/>
                <w:color w:val="0000FF"/>
              </w:rPr>
              <w:t>Exhibit 5.1</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20" w:type="dxa"/>
            <w:vAlign w:val="bottom"/>
            <w:tcBorders>
              <w:right w:val="single" w:sz="8" w:color="0000FF"/>
            </w:tcBorders>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99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Powers of Attorney (included on the signature page herein).</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300" w:right="620" w:hanging="1280"/>
        <w:spacing w:after="0" w:line="238"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Form T-1 Statement of Eligibility of Trustee under the Trust Indenture Act of 1939, as amended, of U.S. Bank Trust Company, National Association (as successor in interest to U.S. Bank National Association), as trustee.**</w:t>
      </w:r>
    </w:p>
    <w:p>
      <w:pPr>
        <w:spacing w:after="0" w:line="215" w:lineRule="exact"/>
        <w:rPr>
          <w:sz w:val="20"/>
          <w:szCs w:val="20"/>
          <w:color w:val="auto"/>
        </w:rPr>
      </w:pPr>
    </w:p>
    <w:p>
      <w:pPr>
        <w:ind w:left="1300" w:hanging="1280"/>
        <w:spacing w:after="0"/>
        <w:tabs>
          <w:tab w:leader="none" w:pos="1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7139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60"/>
        <w:spacing w:after="0"/>
        <w:tabs>
          <w:tab w:leader="none" w:pos="300" w:val="left"/>
        </w:tabs>
        <w:rPr>
          <w:sz w:val="20"/>
          <w:szCs w:val="20"/>
          <w:color w:val="auto"/>
        </w:rPr>
      </w:pPr>
      <w:r>
        <w:rPr>
          <w:rFonts w:ascii="Times New Roman" w:cs="Times New Roman" w:eastAsia="Times New Roman" w:hAnsi="Times New Roman"/>
          <w:sz w:val="17"/>
          <w:szCs w:val="17"/>
          <w:color w:val="auto"/>
        </w:rPr>
        <w:t>*</w:t>
        <w:tab/>
        <w:t>To be filed subsequently on Form 8-K or by post-effective amendment.</w:t>
      </w:r>
    </w:p>
    <w:p>
      <w:pPr>
        <w:spacing w:after="0" w:line="200" w:lineRule="exact"/>
        <w:rPr>
          <w:sz w:val="20"/>
          <w:szCs w:val="20"/>
          <w:color w:val="auto"/>
        </w:rPr>
      </w:pPr>
    </w:p>
    <w:p>
      <w:pPr>
        <w:spacing w:after="0" w:line="32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211"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17.</w:t>
        <w:tab/>
        <w:t>Undertakings</w:t>
      </w:r>
    </w:p>
    <w:p>
      <w:pPr>
        <w:spacing w:after="0" w:line="219" w:lineRule="exact"/>
        <w:rPr>
          <w:sz w:val="20"/>
          <w:szCs w:val="20"/>
          <w:color w:val="auto"/>
        </w:rPr>
      </w:pPr>
    </w:p>
    <w:p>
      <w:pPr>
        <w:ind w:left="240" w:hanging="23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214" w:lineRule="exact"/>
        <w:rPr>
          <w:rFonts w:ascii="Times New Roman" w:cs="Times New Roman" w:eastAsia="Times New Roman" w:hAnsi="Times New Roman"/>
          <w:sz w:val="17"/>
          <w:szCs w:val="17"/>
          <w:color w:val="auto"/>
        </w:rPr>
      </w:pPr>
    </w:p>
    <w:p>
      <w:pPr>
        <w:ind w:left="720" w:hanging="410"/>
        <w:spacing w:after="0"/>
        <w:tabs>
          <w:tab w:leader="none" w:pos="7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14" w:lineRule="exact"/>
        <w:rPr>
          <w:rFonts w:ascii="Times New Roman" w:cs="Times New Roman" w:eastAsia="Times New Roman" w:hAnsi="Times New Roman"/>
          <w:sz w:val="17"/>
          <w:szCs w:val="17"/>
          <w:color w:val="auto"/>
        </w:rPr>
      </w:pPr>
    </w:p>
    <w:p>
      <w:pPr>
        <w:ind w:left="660" w:hanging="196"/>
        <w:spacing w:after="0"/>
        <w:tabs>
          <w:tab w:leader="none" w:pos="660"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II-2</w:t>
      </w:r>
    </w:p>
    <w:p>
      <w:pPr>
        <w:sectPr>
          <w:pgSz w:w="11900" w:h="16838" w:orient="portrait"/>
          <w:cols w:equalWidth="0" w:num="1">
            <w:col w:w="11220"/>
          </w:cols>
          <w:pgMar w:left="320" w:top="1440" w:right="359" w:bottom="1440" w:gutter="0" w:footer="0" w:header="0"/>
          <w:type w:val="continuous"/>
        </w:sectPr>
      </w:pPr>
    </w:p>
    <w:bookmarkStart w:id="18" w:name="page19"/>
    <w:bookmarkEnd w:id="18"/>
    <w:p>
      <w:pPr>
        <w:spacing w:after="0" w:line="119" w:lineRule="exact"/>
        <w:rPr>
          <w:sz w:val="20"/>
          <w:szCs w:val="20"/>
          <w:color w:val="auto"/>
        </w:rPr>
      </w:pPr>
    </w:p>
    <w:p>
      <w:pPr>
        <w:ind w:left="780" w:right="60" w:hanging="316"/>
        <w:spacing w:after="0" w:line="258" w:lineRule="auto"/>
        <w:tabs>
          <w:tab w:leader="none" w:pos="85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62" w:lineRule="exact"/>
        <w:rPr>
          <w:rFonts w:ascii="Times New Roman" w:cs="Times New Roman" w:eastAsia="Times New Roman" w:hAnsi="Times New Roman"/>
          <w:sz w:val="17"/>
          <w:szCs w:val="17"/>
          <w:color w:val="auto"/>
        </w:rPr>
      </w:pPr>
    </w:p>
    <w:p>
      <w:pPr>
        <w:ind w:left="780" w:right="20" w:hanging="316"/>
        <w:spacing w:after="0" w:line="238" w:lineRule="auto"/>
        <w:tabs>
          <w:tab w:leader="none" w:pos="89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7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paragraphs (a)(1)(i), (a)(1)(ii) and (a)(1)(iii) above do not apply if the information required to be included in a post-effective amendment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65" w:lineRule="exact"/>
        <w:rPr>
          <w:sz w:val="20"/>
          <w:szCs w:val="20"/>
          <w:color w:val="auto"/>
        </w:rPr>
      </w:pPr>
    </w:p>
    <w:p>
      <w:pPr>
        <w:ind w:left="620" w:right="120" w:hanging="310"/>
        <w:spacing w:after="0" w:line="268" w:lineRule="auto"/>
        <w:tabs>
          <w:tab w:leader="none" w:pos="72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65" w:lineRule="exact"/>
        <w:rPr>
          <w:rFonts w:ascii="Times New Roman" w:cs="Times New Roman" w:eastAsia="Times New Roman" w:hAnsi="Times New Roman"/>
          <w:sz w:val="17"/>
          <w:szCs w:val="17"/>
          <w:color w:val="auto"/>
        </w:rPr>
      </w:pPr>
    </w:p>
    <w:p>
      <w:pPr>
        <w:ind w:left="620" w:right="60" w:hanging="310"/>
        <w:spacing w:after="0" w:line="284" w:lineRule="auto"/>
        <w:tabs>
          <w:tab w:leader="none" w:pos="72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52" w:lineRule="exact"/>
        <w:rPr>
          <w:rFonts w:ascii="Times New Roman" w:cs="Times New Roman" w:eastAsia="Times New Roman" w:hAnsi="Times New Roman"/>
          <w:sz w:val="17"/>
          <w:szCs w:val="17"/>
          <w:color w:val="auto"/>
        </w:rPr>
      </w:pPr>
    </w:p>
    <w:p>
      <w:pPr>
        <w:ind w:left="720" w:hanging="410"/>
        <w:spacing w:after="0"/>
        <w:tabs>
          <w:tab w:leader="none" w:pos="7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w:t>
      </w:r>
    </w:p>
    <w:p>
      <w:pPr>
        <w:spacing w:after="0" w:line="214" w:lineRule="exact"/>
        <w:rPr>
          <w:rFonts w:ascii="Times New Roman" w:cs="Times New Roman" w:eastAsia="Times New Roman" w:hAnsi="Times New Roman"/>
          <w:sz w:val="17"/>
          <w:szCs w:val="17"/>
          <w:color w:val="auto"/>
        </w:rPr>
      </w:pPr>
    </w:p>
    <w:p>
      <w:pPr>
        <w:ind w:left="780" w:right="600" w:hanging="316"/>
        <w:spacing w:after="0" w:line="284" w:lineRule="auto"/>
        <w:tabs>
          <w:tab w:leader="none" w:pos="84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52" w:lineRule="exact"/>
        <w:rPr>
          <w:rFonts w:ascii="Times New Roman" w:cs="Times New Roman" w:eastAsia="Times New Roman" w:hAnsi="Times New Roman"/>
          <w:sz w:val="17"/>
          <w:szCs w:val="17"/>
          <w:color w:val="auto"/>
        </w:rPr>
      </w:pPr>
    </w:p>
    <w:p>
      <w:pPr>
        <w:ind w:left="780" w:hanging="316"/>
        <w:spacing w:after="0" w:line="255" w:lineRule="auto"/>
        <w:tabs>
          <w:tab w:leader="none" w:pos="89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6" w:lineRule="exact"/>
        <w:rPr>
          <w:rFonts w:ascii="Times New Roman" w:cs="Times New Roman" w:eastAsia="Times New Roman" w:hAnsi="Times New Roman"/>
          <w:sz w:val="17"/>
          <w:szCs w:val="17"/>
          <w:color w:val="auto"/>
        </w:rPr>
      </w:pPr>
    </w:p>
    <w:p>
      <w:pPr>
        <w:ind w:left="720" w:hanging="410"/>
        <w:spacing w:after="0"/>
        <w:tabs>
          <w:tab w:leader="none" w:pos="7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w:t>
      </w:r>
    </w:p>
    <w:p>
      <w:pPr>
        <w:spacing w:after="0" w:line="21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19" w:lineRule="exact"/>
        <w:rPr>
          <w:sz w:val="20"/>
          <w:szCs w:val="20"/>
          <w:color w:val="auto"/>
        </w:rPr>
      </w:pPr>
    </w:p>
    <w:p>
      <w:pPr>
        <w:ind w:left="934" w:hanging="376"/>
        <w:spacing w:after="0"/>
        <w:tabs>
          <w:tab w:leader="none" w:pos="93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214" w:lineRule="exact"/>
        <w:rPr>
          <w:rFonts w:ascii="Times New Roman" w:cs="Times New Roman" w:eastAsia="Times New Roman" w:hAnsi="Times New Roman"/>
          <w:sz w:val="17"/>
          <w:szCs w:val="17"/>
          <w:color w:val="auto"/>
        </w:rPr>
      </w:pPr>
    </w:p>
    <w:p>
      <w:pPr>
        <w:ind w:left="874" w:right="340" w:hanging="316"/>
        <w:spacing w:after="0" w:line="284" w:lineRule="auto"/>
        <w:tabs>
          <w:tab w:leader="none" w:pos="989"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152" w:lineRule="exact"/>
        <w:rPr>
          <w:rFonts w:ascii="Times New Roman" w:cs="Times New Roman" w:eastAsia="Times New Roman" w:hAnsi="Times New Roman"/>
          <w:sz w:val="17"/>
          <w:szCs w:val="17"/>
          <w:color w:val="auto"/>
        </w:rPr>
      </w:pPr>
    </w:p>
    <w:p>
      <w:pPr>
        <w:ind w:left="874" w:right="620" w:hanging="316"/>
        <w:spacing w:after="0" w:line="284" w:lineRule="auto"/>
        <w:tabs>
          <w:tab w:leader="none" w:pos="1036"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2" w:lineRule="exact"/>
        <w:rPr>
          <w:rFonts w:ascii="Times New Roman" w:cs="Times New Roman" w:eastAsia="Times New Roman" w:hAnsi="Times New Roman"/>
          <w:sz w:val="17"/>
          <w:szCs w:val="17"/>
          <w:color w:val="auto"/>
        </w:rPr>
      </w:pPr>
    </w:p>
    <w:p>
      <w:pPr>
        <w:ind w:left="1014" w:hanging="456"/>
        <w:spacing w:after="0"/>
        <w:tabs>
          <w:tab w:leader="none" w:pos="101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214" w:lineRule="exact"/>
        <w:rPr>
          <w:rFonts w:ascii="Times New Roman" w:cs="Times New Roman" w:eastAsia="Times New Roman" w:hAnsi="Times New Roman"/>
          <w:sz w:val="17"/>
          <w:szCs w:val="17"/>
          <w:color w:val="auto"/>
        </w:rPr>
      </w:pPr>
    </w:p>
    <w:p>
      <w:pPr>
        <w:ind w:left="254" w:right="140" w:hanging="254"/>
        <w:spacing w:after="0" w:line="262" w:lineRule="auto"/>
        <w:tabs>
          <w:tab w:leader="none" w:pos="35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registrant hereby further undertakes that, for purposes of determining any liability under the Securities Act, each filing of the registrant’s annual report pursuant to Section 13(a) or Section 15(d) of the Exchange Act (and, where applicable, each filing of any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71" w:lineRule="exact"/>
        <w:rPr>
          <w:rFonts w:ascii="Times New Roman" w:cs="Times New Roman" w:eastAsia="Times New Roman" w:hAnsi="Times New Roman"/>
          <w:sz w:val="17"/>
          <w:szCs w:val="17"/>
          <w:color w:val="auto"/>
        </w:rPr>
      </w:pPr>
    </w:p>
    <w:p>
      <w:pPr>
        <w:ind w:left="254" w:hanging="254"/>
        <w:spacing w:after="0" w:line="257" w:lineRule="auto"/>
        <w:tabs>
          <w:tab w:leader="none" w:pos="35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3"/>
        <w:spacing w:after="0"/>
        <w:rPr>
          <w:sz w:val="20"/>
          <w:szCs w:val="20"/>
          <w:color w:val="auto"/>
        </w:rPr>
      </w:pPr>
      <w:r>
        <w:rPr>
          <w:rFonts w:ascii="Times New Roman" w:cs="Times New Roman" w:eastAsia="Times New Roman" w:hAnsi="Times New Roman"/>
          <w:sz w:val="17"/>
          <w:szCs w:val="17"/>
          <w:color w:val="auto"/>
        </w:rPr>
        <w:t>II-4</w:t>
      </w:r>
    </w:p>
    <w:p>
      <w:pPr>
        <w:sectPr>
          <w:pgSz w:w="11900" w:h="16838" w:orient="portrait"/>
          <w:cols w:equalWidth="0" w:num="1">
            <w:col w:w="11314"/>
          </w:cols>
          <w:pgMar w:left="226" w:top="1440" w:right="359" w:bottom="1440" w:gutter="0" w:footer="0" w:header="0"/>
        </w:sectPr>
      </w:pPr>
    </w:p>
    <w:bookmarkStart w:id="20" w:name="page21"/>
    <w:bookmarkEnd w:id="20"/>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9"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Framingham, Commonwealth of Massachusetts, on May 29, 2026.</w:t>
      </w:r>
    </w:p>
    <w:p>
      <w:pPr>
        <w:spacing w:after="0" w:line="1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color w:val="auto"/>
        </w:rPr>
        <w:t>THE TJX COMPANIES, INC.</w:t>
      </w:r>
    </w:p>
    <w:p>
      <w:pPr>
        <w:spacing w:after="0" w:line="215" w:lineRule="exact"/>
        <w:rPr>
          <w:sz w:val="20"/>
          <w:szCs w:val="20"/>
          <w:color w:val="auto"/>
        </w:rPr>
      </w:pPr>
    </w:p>
    <w:p>
      <w:pPr>
        <w:ind w:left="3700"/>
        <w:spacing w:after="0"/>
        <w:tabs>
          <w:tab w:leader="none" w:pos="41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-6985</wp:posOffset>
            </wp:positionV>
            <wp:extent cx="10185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color w:val="auto"/>
        </w:rPr>
        <w:t>Name: John Klinger</w:t>
      </w:r>
    </w:p>
    <w:p>
      <w:pPr>
        <w:spacing w:after="0" w:line="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9" w:lineRule="exact"/>
        <w:rPr>
          <w:sz w:val="20"/>
          <w:szCs w:val="20"/>
          <w:color w:val="auto"/>
        </w:rPr>
      </w:pPr>
    </w:p>
    <w:p>
      <w:pPr>
        <w:jc w:val="both"/>
        <w:ind w:firstLine="615"/>
        <w:spacing w:after="0" w:line="257" w:lineRule="auto"/>
        <w:rPr>
          <w:sz w:val="20"/>
          <w:szCs w:val="20"/>
          <w:color w:val="auto"/>
        </w:rPr>
      </w:pPr>
      <w:r>
        <w:rPr>
          <w:rFonts w:ascii="Times New Roman" w:cs="Times New Roman" w:eastAsia="Times New Roman" w:hAnsi="Times New Roman"/>
          <w:sz w:val="17"/>
          <w:szCs w:val="17"/>
          <w:color w:val="auto"/>
        </w:rPr>
        <w:t>KNOW ALL MEN BY THESE PRESENTS, that each person whose signature appears below constitutes and appoints Ernie Herrman, John Klinger, Alicia Kelly, and Erica Farrell and each of them, his or her true and lawful attorneys-in-fact and agents, with full power of substitution and resubstitution, for him or her and in his or her name, place and stead, in any and all capacities, to sign any or all amendments and post-effective amendments to this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76"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Date</w:t>
            </w: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r>
      <w:tr>
        <w:trPr>
          <w:trHeight w:val="410"/>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Ernie Herrman</w:t>
            </w:r>
          </w:p>
        </w:tc>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29, 2026</w:t>
            </w: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John Klinger</w:t>
            </w:r>
          </w:p>
        </w:tc>
      </w:tr>
      <w:tr>
        <w:trPr>
          <w:trHeight w:val="204"/>
        </w:trPr>
        <w:tc>
          <w:tcPr>
            <w:tcW w:w="374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r>
      <w:tr>
        <w:trPr>
          <w:trHeight w:val="182"/>
        </w:trPr>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Ernie Herrman, President and Chief Executive</w:t>
            </w:r>
          </w:p>
        </w:tc>
        <w:tc>
          <w:tcPr>
            <w:tcW w:w="1820" w:type="dxa"/>
            <w:vAlign w:val="bottom"/>
          </w:tcPr>
          <w:p>
            <w:pPr>
              <w:spacing w:after="0"/>
              <w:rPr>
                <w:sz w:val="15"/>
                <w:szCs w:val="15"/>
                <w:color w:val="auto"/>
              </w:rPr>
            </w:pPr>
          </w:p>
        </w:tc>
        <w:tc>
          <w:tcPr>
            <w:tcW w:w="37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John Klinger, Chief Financial Officer (Principal</w:t>
            </w:r>
          </w:p>
        </w:tc>
      </w:tr>
      <w:tr>
        <w:trPr>
          <w:trHeight w:val="222"/>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Officer and Director (Principal Executive Officer)</w:t>
            </w:r>
          </w:p>
        </w:tc>
        <w:tc>
          <w:tcPr>
            <w:tcW w:w="182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and Accounting Officer)</w:t>
            </w:r>
          </w:p>
        </w:tc>
      </w:tr>
      <w:tr>
        <w:trPr>
          <w:trHeight w:val="410"/>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José B. Alvarez</w:t>
            </w:r>
          </w:p>
        </w:tc>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29, 2026</w:t>
            </w: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Amy B. Lane</w:t>
            </w:r>
          </w:p>
        </w:tc>
      </w:tr>
      <w:tr>
        <w:trPr>
          <w:trHeight w:val="204"/>
        </w:trPr>
        <w:tc>
          <w:tcPr>
            <w:tcW w:w="374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r>
      <w:tr>
        <w:trPr>
          <w:trHeight w:val="215"/>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José B. Alvarez, Director</w:t>
            </w:r>
          </w:p>
        </w:tc>
        <w:tc>
          <w:tcPr>
            <w:tcW w:w="18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Amy B. Lane, Director</w:t>
            </w:r>
          </w:p>
        </w:tc>
      </w:tr>
      <w:tr>
        <w:trPr>
          <w:trHeight w:val="407"/>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Alan M. Bennett</w:t>
            </w:r>
          </w:p>
        </w:tc>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29, 2026</w:t>
            </w: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Carol Meyrowitz</w:t>
            </w:r>
          </w:p>
        </w:tc>
      </w:tr>
      <w:tr>
        <w:trPr>
          <w:trHeight w:val="204"/>
        </w:trPr>
        <w:tc>
          <w:tcPr>
            <w:tcW w:w="374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r>
      <w:tr>
        <w:trPr>
          <w:trHeight w:val="182"/>
        </w:trPr>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Alan M. Bennett, Director</w:t>
            </w:r>
          </w:p>
        </w:tc>
        <w:tc>
          <w:tcPr>
            <w:tcW w:w="1820" w:type="dxa"/>
            <w:vAlign w:val="bottom"/>
          </w:tcPr>
          <w:p>
            <w:pPr>
              <w:spacing w:after="0"/>
              <w:rPr>
                <w:sz w:val="15"/>
                <w:szCs w:val="15"/>
                <w:color w:val="auto"/>
              </w:rPr>
            </w:pPr>
          </w:p>
        </w:tc>
        <w:tc>
          <w:tcPr>
            <w:tcW w:w="37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Carol Meyrowitz, Executive Chairman of the Board</w:t>
            </w:r>
          </w:p>
        </w:tc>
      </w:tr>
      <w:tr>
        <w:trPr>
          <w:trHeight w:val="222"/>
        </w:trPr>
        <w:tc>
          <w:tcPr>
            <w:tcW w:w="37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 Directors</w:t>
            </w:r>
          </w:p>
        </w:tc>
      </w:tr>
      <w:tr>
        <w:trPr>
          <w:trHeight w:val="410"/>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Rosemary T. Berkery</w:t>
            </w:r>
          </w:p>
        </w:tc>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29, 2026</w:t>
            </w: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Jackwyn L. Nemerov</w:t>
            </w:r>
          </w:p>
        </w:tc>
      </w:tr>
      <w:tr>
        <w:trPr>
          <w:trHeight w:val="204"/>
        </w:trPr>
        <w:tc>
          <w:tcPr>
            <w:tcW w:w="374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r>
      <w:tr>
        <w:trPr>
          <w:trHeight w:val="215"/>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Rosemary T. Berkery, Director</w:t>
            </w:r>
          </w:p>
        </w:tc>
        <w:tc>
          <w:tcPr>
            <w:tcW w:w="18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Jackwyn L. Nemerov, Director</w:t>
            </w:r>
          </w:p>
        </w:tc>
      </w:tr>
      <w:tr>
        <w:trPr>
          <w:trHeight w:val="407"/>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David T. Ching</w:t>
            </w:r>
          </w:p>
        </w:tc>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29, 2026</w:t>
            </w: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Charles F. Wagner, Jr.</w:t>
            </w:r>
          </w:p>
        </w:tc>
      </w:tr>
      <w:tr>
        <w:trPr>
          <w:trHeight w:val="204"/>
        </w:trPr>
        <w:tc>
          <w:tcPr>
            <w:tcW w:w="374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r>
      <w:tr>
        <w:trPr>
          <w:trHeight w:val="215"/>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T. Ching, Director</w:t>
            </w:r>
          </w:p>
        </w:tc>
        <w:tc>
          <w:tcPr>
            <w:tcW w:w="18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Charles F. Wagner, Jr., Director</w:t>
            </w:r>
          </w:p>
        </w:tc>
      </w:tr>
      <w:tr>
        <w:trPr>
          <w:trHeight w:val="407"/>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C. Kim Goodwin</w:t>
            </w:r>
          </w:p>
        </w:tc>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29, 2026</w:t>
            </w:r>
          </w:p>
        </w:tc>
        <w:tc>
          <w:tcPr>
            <w:tcW w:w="3720" w:type="dxa"/>
            <w:vAlign w:val="bottom"/>
          </w:tcPr>
          <w:p>
            <w:pPr>
              <w:spacing w:after="0"/>
              <w:rPr>
                <w:sz w:val="24"/>
                <w:szCs w:val="24"/>
                <w:color w:val="auto"/>
              </w:rPr>
            </w:pPr>
          </w:p>
        </w:tc>
      </w:tr>
      <w:tr>
        <w:trPr>
          <w:trHeight w:val="192"/>
        </w:trPr>
        <w:tc>
          <w:tcPr>
            <w:tcW w:w="3740" w:type="dxa"/>
            <w:vAlign w:val="bottom"/>
            <w:tcBorders>
              <w:bottom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3720" w:type="dxa"/>
            <w:vAlign w:val="bottom"/>
          </w:tcPr>
          <w:p>
            <w:pPr>
              <w:spacing w:after="0"/>
              <w:rPr>
                <w:sz w:val="16"/>
                <w:szCs w:val="16"/>
                <w:color w:val="auto"/>
              </w:rPr>
            </w:pPr>
          </w:p>
        </w:tc>
      </w:tr>
      <w:tr>
        <w:trPr>
          <w:trHeight w:val="215"/>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 Kim Goodwin, Director</w:t>
            </w:r>
          </w:p>
        </w:tc>
        <w:tc>
          <w:tcPr>
            <w:tcW w:w="1820" w:type="dxa"/>
            <w:vAlign w:val="bottom"/>
          </w:tcPr>
          <w:p>
            <w:pPr>
              <w:spacing w:after="0"/>
              <w:rPr>
                <w:sz w:val="18"/>
                <w:szCs w:val="18"/>
                <w:color w:val="auto"/>
              </w:rPr>
            </w:pPr>
          </w:p>
        </w:tc>
        <w:tc>
          <w:tcPr>
            <w:tcW w:w="3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1486" w:lineRule="exact"/>
        <w:rPr>
          <w:sz w:val="20"/>
          <w:szCs w:val="20"/>
          <w:color w:val="auto"/>
        </w:rPr>
      </w:pPr>
    </w:p>
    <w:p>
      <w:pPr>
        <w:sectPr>
          <w:pgSz w:w="11900" w:h="16838" w:orient="portrait"/>
          <w:cols w:equalWidth="0" w:num="2">
            <w:col w:w="9280" w:space="20"/>
            <w:col w:w="19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II-5</w:t>
      </w:r>
    </w:p>
    <w:p>
      <w:pPr>
        <w:sectPr>
          <w:pgSz w:w="11900" w:h="16838" w:orient="portrait"/>
          <w:cols w:equalWidth="0" w:num="1">
            <w:col w:w="11240"/>
          </w:cols>
          <w:pgMar w:left="320" w:top="1440" w:right="339" w:bottom="1440" w:gutter="0" w:footer="0" w:header="0"/>
          <w:type w:val="continuous"/>
        </w:sectPr>
      </w:pPr>
    </w:p>
    <w:bookmarkStart w:id="21" w:name="page22"/>
    <w:bookmarkEnd w:id="21"/>
    <w:p>
      <w:pPr>
        <w:ind w:left="1024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Calculation of Filing Fee Tables</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S-3</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TJX Companies, Inc.</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5260" w:type="dxa"/>
            <w:vAlign w:val="bottom"/>
            <w:gridSpan w:val="7"/>
          </w:tcPr>
          <w:p>
            <w:pPr>
              <w:ind w:left="2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gridSpan w:val="2"/>
          </w:tcPr>
          <w:p>
            <w:pPr>
              <w:ind w:left="36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40" w:type="dxa"/>
            <w:vAlign w:val="bottom"/>
            <w:shd w:val="clear" w:color="auto" w:fill="9ADAF6"/>
          </w:tcPr>
          <w:p>
            <w:pPr>
              <w:spacing w:after="0"/>
              <w:rPr>
                <w:sz w:val="13"/>
                <w:szCs w:val="13"/>
                <w:color w:val="auto"/>
              </w:rPr>
            </w:pPr>
          </w:p>
        </w:tc>
        <w:tc>
          <w:tcPr>
            <w:tcW w:w="1000" w:type="dxa"/>
            <w:vAlign w:val="bottom"/>
            <w:shd w:val="clear" w:color="auto" w:fill="9ADAF6"/>
          </w:tcPr>
          <w:p>
            <w:pPr>
              <w:spacing w:after="0"/>
              <w:rPr>
                <w:sz w:val="13"/>
                <w:szCs w:val="13"/>
                <w:color w:val="auto"/>
              </w:rPr>
            </w:pPr>
          </w:p>
        </w:tc>
        <w:tc>
          <w:tcPr>
            <w:tcW w:w="840" w:type="dxa"/>
            <w:vAlign w:val="bottom"/>
            <w:shd w:val="clear" w:color="auto" w:fill="9ADAF6"/>
          </w:tcPr>
          <w:p>
            <w:pPr>
              <w:spacing w:after="0"/>
              <w:rPr>
                <w:sz w:val="13"/>
                <w:szCs w:val="13"/>
                <w:color w:val="auto"/>
              </w:rPr>
            </w:pPr>
          </w:p>
        </w:tc>
        <w:tc>
          <w:tcPr>
            <w:tcW w:w="900" w:type="dxa"/>
            <w:vAlign w:val="bottom"/>
            <w:shd w:val="clear" w:color="auto" w:fill="9ADAF6"/>
          </w:tcPr>
          <w:p>
            <w:pPr>
              <w:spacing w:after="0"/>
              <w:rPr>
                <w:sz w:val="13"/>
                <w:szCs w:val="13"/>
                <w:color w:val="auto"/>
              </w:rPr>
            </w:pPr>
          </w:p>
        </w:tc>
        <w:tc>
          <w:tcPr>
            <w:tcW w:w="940" w:type="dxa"/>
            <w:vAlign w:val="bottom"/>
            <w:shd w:val="clear" w:color="auto" w:fill="9ADAF6"/>
          </w:tcPr>
          <w:p>
            <w:pPr>
              <w:spacing w:after="0"/>
              <w:rPr>
                <w:sz w:val="13"/>
                <w:szCs w:val="13"/>
                <w:color w:val="auto"/>
              </w:rPr>
            </w:pPr>
          </w:p>
        </w:tc>
        <w:tc>
          <w:tcPr>
            <w:tcW w:w="100" w:type="dxa"/>
            <w:vAlign w:val="bottom"/>
            <w:shd w:val="clear" w:color="auto" w:fill="9ADAF6"/>
          </w:tcPr>
          <w:p>
            <w:pPr>
              <w:spacing w:after="0"/>
              <w:rPr>
                <w:sz w:val="13"/>
                <w:szCs w:val="13"/>
                <w:color w:val="auto"/>
              </w:rPr>
            </w:pPr>
          </w:p>
        </w:tc>
        <w:tc>
          <w:tcPr>
            <w:tcW w:w="740" w:type="dxa"/>
            <w:vAlign w:val="bottom"/>
            <w:shd w:val="clear" w:color="auto" w:fill="9ADAF6"/>
          </w:tcPr>
          <w:p>
            <w:pPr>
              <w:spacing w:after="0"/>
              <w:rPr>
                <w:sz w:val="13"/>
                <w:szCs w:val="13"/>
                <w:color w:val="auto"/>
              </w:rPr>
            </w:pPr>
          </w:p>
        </w:tc>
        <w:tc>
          <w:tcPr>
            <w:tcW w:w="120" w:type="dxa"/>
            <w:vAlign w:val="bottom"/>
            <w:shd w:val="clear" w:color="auto" w:fill="9ADAF6"/>
          </w:tcPr>
          <w:p>
            <w:pPr>
              <w:spacing w:after="0"/>
              <w:rPr>
                <w:sz w:val="13"/>
                <w:szCs w:val="13"/>
                <w:color w:val="auto"/>
              </w:rPr>
            </w:pPr>
          </w:p>
        </w:tc>
        <w:tc>
          <w:tcPr>
            <w:tcW w:w="800" w:type="dxa"/>
            <w:vAlign w:val="bottom"/>
            <w:shd w:val="clear" w:color="auto" w:fill="9ADAF6"/>
          </w:tcPr>
          <w:p>
            <w:pPr>
              <w:spacing w:after="0"/>
              <w:rPr>
                <w:sz w:val="13"/>
                <w:szCs w:val="13"/>
                <w:color w:val="auto"/>
              </w:rPr>
            </w:pPr>
          </w:p>
        </w:tc>
        <w:tc>
          <w:tcPr>
            <w:tcW w:w="840" w:type="dxa"/>
            <w:vAlign w:val="bottom"/>
            <w:shd w:val="clear" w:color="auto" w:fill="9ADAF6"/>
          </w:tcPr>
          <w:p>
            <w:pPr>
              <w:spacing w:after="0"/>
              <w:rPr>
                <w:sz w:val="13"/>
                <w:szCs w:val="13"/>
                <w:color w:val="auto"/>
              </w:rPr>
            </w:pPr>
          </w:p>
        </w:tc>
        <w:tc>
          <w:tcPr>
            <w:tcW w:w="280" w:type="dxa"/>
            <w:vAlign w:val="bottom"/>
            <w:shd w:val="clear" w:color="auto" w:fill="9ADAF6"/>
          </w:tcPr>
          <w:p>
            <w:pPr>
              <w:spacing w:after="0"/>
              <w:rPr>
                <w:sz w:val="13"/>
                <w:szCs w:val="13"/>
                <w:color w:val="auto"/>
              </w:rPr>
            </w:pPr>
          </w:p>
        </w:tc>
        <w:tc>
          <w:tcPr>
            <w:tcW w:w="820" w:type="dxa"/>
            <w:vAlign w:val="bottom"/>
            <w:shd w:val="clear" w:color="auto" w:fill="9ADAF6"/>
          </w:tcPr>
          <w:p>
            <w:pPr>
              <w:spacing w:after="0"/>
              <w:rPr>
                <w:sz w:val="13"/>
                <w:szCs w:val="13"/>
                <w:color w:val="auto"/>
              </w:rPr>
            </w:pPr>
          </w:p>
        </w:tc>
        <w:tc>
          <w:tcPr>
            <w:tcW w:w="640" w:type="dxa"/>
            <w:vAlign w:val="bottom"/>
            <w:shd w:val="clear" w:color="auto" w:fill="9ADAF6"/>
          </w:tcPr>
          <w:p>
            <w:pPr>
              <w:spacing w:after="0"/>
              <w:rPr>
                <w:sz w:val="13"/>
                <w:szCs w:val="13"/>
                <w:color w:val="auto"/>
              </w:rPr>
            </w:pPr>
          </w:p>
        </w:tc>
        <w:tc>
          <w:tcPr>
            <w:tcW w:w="760" w:type="dxa"/>
            <w:vAlign w:val="bottom"/>
            <w:shd w:val="clear" w:color="auto" w:fill="9ADAF6"/>
          </w:tcPr>
          <w:p>
            <w:pPr>
              <w:spacing w:after="0"/>
              <w:rPr>
                <w:sz w:val="13"/>
                <w:szCs w:val="13"/>
                <w:color w:val="auto"/>
              </w:rPr>
            </w:pPr>
          </w:p>
        </w:tc>
        <w:tc>
          <w:tcPr>
            <w:tcW w:w="760" w:type="dxa"/>
            <w:vAlign w:val="bottom"/>
            <w:shd w:val="clear" w:color="auto" w:fill="9ADAF6"/>
          </w:tcPr>
          <w:p>
            <w:pPr>
              <w:spacing w:after="0"/>
              <w:rPr>
                <w:sz w:val="13"/>
                <w:szCs w:val="13"/>
                <w:color w:val="auto"/>
              </w:rPr>
            </w:pPr>
          </w:p>
        </w:tc>
        <w:tc>
          <w:tcPr>
            <w:tcW w:w="980" w:type="dxa"/>
            <w:vAlign w:val="bottom"/>
            <w:shd w:val="clear" w:color="auto" w:fill="9ADAF6"/>
          </w:tcPr>
          <w:p>
            <w:pPr>
              <w:jc w:val="center"/>
              <w:spacing w:after="0" w:line="159" w:lineRule="exact"/>
              <w:rPr>
                <w:sz w:val="20"/>
                <w:szCs w:val="20"/>
                <w:color w:val="auto"/>
              </w:rPr>
            </w:pPr>
            <w:r>
              <w:rPr>
                <w:rFonts w:ascii="Arial" w:cs="Arial" w:eastAsia="Arial" w:hAnsi="Arial"/>
                <w:sz w:val="17"/>
                <w:szCs w:val="17"/>
                <w:b w:val="1"/>
                <w:bCs w:val="1"/>
                <w:color w:val="auto"/>
              </w:rPr>
              <w:t>Filing Fee</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40" w:type="dxa"/>
            <w:vAlign w:val="bottom"/>
            <w:shd w:val="clear" w:color="auto" w:fill="9ADAF6"/>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80" w:type="dxa"/>
            <w:vAlign w:val="bottom"/>
            <w:shd w:val="clear" w:color="auto" w:fill="9ADAF6"/>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640" w:type="dxa"/>
            <w:vAlign w:val="bottom"/>
            <w:shd w:val="clear" w:color="auto" w:fill="9ADAF6"/>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9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 w:type="dxa"/>
            <w:vAlign w:val="bottom"/>
            <w:shd w:val="clear" w:color="auto" w:fill="9ADAF6"/>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940" w:type="dxa"/>
            <w:vAlign w:val="bottom"/>
            <w:shd w:val="clear" w:color="auto" w:fill="9ADAF6"/>
          </w:tcPr>
          <w:p>
            <w:pPr>
              <w:spacing w:after="0"/>
              <w:rPr>
                <w:sz w:val="15"/>
                <w:szCs w:val="15"/>
                <w:color w:val="auto"/>
              </w:rPr>
            </w:pPr>
          </w:p>
        </w:tc>
        <w:tc>
          <w:tcPr>
            <w:tcW w:w="84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120" w:type="dxa"/>
            <w:vAlign w:val="bottom"/>
            <w:shd w:val="clear" w:color="auto" w:fill="9ADAF6"/>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98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Paid in</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740" w:type="dxa"/>
            <w:vAlign w:val="bottom"/>
            <w:shd w:val="clear" w:color="auto" w:fill="9ADAF6"/>
          </w:tcPr>
          <w:p>
            <w:pPr>
              <w:spacing w:after="0"/>
              <w:rPr>
                <w:sz w:val="7"/>
                <w:szCs w:val="7"/>
                <w:color w:val="auto"/>
              </w:rPr>
            </w:pPr>
          </w:p>
        </w:tc>
        <w:tc>
          <w:tcPr>
            <w:tcW w:w="1000" w:type="dxa"/>
            <w:vAlign w:val="bottom"/>
            <w:shd w:val="clear" w:color="auto" w:fill="9ADAF6"/>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940" w:type="dxa"/>
            <w:vAlign w:val="bottom"/>
            <w:shd w:val="clear" w:color="auto" w:fill="9ADAF6"/>
          </w:tcPr>
          <w:p>
            <w:pPr>
              <w:spacing w:after="0"/>
              <w:rPr>
                <w:sz w:val="7"/>
                <w:szCs w:val="7"/>
                <w:color w:val="auto"/>
              </w:rPr>
            </w:pPr>
          </w:p>
        </w:tc>
        <w:tc>
          <w:tcPr>
            <w:tcW w:w="840" w:type="dxa"/>
            <w:vAlign w:val="bottom"/>
            <w:gridSpan w:val="2"/>
            <w:vMerge w:val="continue"/>
            <w:shd w:val="clear" w:color="auto" w:fill="9ADAF6"/>
          </w:tcPr>
          <w:p>
            <w:pPr>
              <w:spacing w:after="0"/>
              <w:rPr>
                <w:sz w:val="7"/>
                <w:szCs w:val="7"/>
                <w:color w:val="auto"/>
              </w:rPr>
            </w:pPr>
          </w:p>
        </w:tc>
        <w:tc>
          <w:tcPr>
            <w:tcW w:w="92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840" w:type="dxa"/>
            <w:vAlign w:val="bottom"/>
            <w:shd w:val="clear" w:color="auto" w:fill="9ADAF6"/>
          </w:tcPr>
          <w:p>
            <w:pPr>
              <w:spacing w:after="0"/>
              <w:rPr>
                <w:sz w:val="7"/>
                <w:szCs w:val="7"/>
                <w:color w:val="auto"/>
              </w:rPr>
            </w:pPr>
          </w:p>
        </w:tc>
        <w:tc>
          <w:tcPr>
            <w:tcW w:w="110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760" w:type="dxa"/>
            <w:vAlign w:val="bottom"/>
            <w:vMerge w:val="continue"/>
            <w:shd w:val="clear" w:color="auto" w:fill="9ADAF6"/>
          </w:tcPr>
          <w:p>
            <w:pPr>
              <w:spacing w:after="0"/>
              <w:rPr>
                <w:sz w:val="7"/>
                <w:szCs w:val="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Connection</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740" w:type="dxa"/>
            <w:vAlign w:val="bottom"/>
            <w:shd w:val="clear" w:color="auto" w:fill="9ADAF6"/>
          </w:tcPr>
          <w:p>
            <w:pPr>
              <w:spacing w:after="0"/>
              <w:rPr>
                <w:sz w:val="14"/>
                <w:szCs w:val="14"/>
                <w:color w:val="auto"/>
              </w:rPr>
            </w:pPr>
          </w:p>
        </w:tc>
        <w:tc>
          <w:tcPr>
            <w:tcW w:w="1000" w:type="dxa"/>
            <w:vAlign w:val="bottom"/>
            <w:vMerge w:val="restart"/>
            <w:shd w:val="clear" w:color="auto" w:fill="9ADAF6"/>
          </w:tcPr>
          <w:p>
            <w:pPr>
              <w:jc w:val="center"/>
              <w:ind w:left="195"/>
              <w:spacing w:after="0"/>
              <w:rPr>
                <w:sz w:val="20"/>
                <w:szCs w:val="20"/>
                <w:color w:val="auto"/>
              </w:rPr>
            </w:pPr>
            <w:r>
              <w:rPr>
                <w:rFonts w:ascii="Arial" w:cs="Arial" w:eastAsia="Arial" w:hAnsi="Arial"/>
                <w:sz w:val="17"/>
                <w:szCs w:val="17"/>
                <w:b w:val="1"/>
                <w:bCs w:val="1"/>
                <w:color w:val="auto"/>
              </w:rPr>
              <w:t>Security</w:t>
            </w:r>
          </w:p>
        </w:tc>
        <w:tc>
          <w:tcPr>
            <w:tcW w:w="1740" w:type="dxa"/>
            <w:vAlign w:val="bottom"/>
            <w:gridSpan w:val="2"/>
            <w:shd w:val="clear" w:color="auto" w:fill="9ADAF6"/>
          </w:tcPr>
          <w:p>
            <w:pPr>
              <w:ind w:left="60"/>
              <w:spacing w:after="0" w:line="167" w:lineRule="exact"/>
              <w:rPr>
                <w:sz w:val="20"/>
                <w:szCs w:val="20"/>
                <w:color w:val="auto"/>
              </w:rPr>
            </w:pPr>
            <w:r>
              <w:rPr>
                <w:rFonts w:ascii="Arial" w:cs="Arial" w:eastAsia="Arial" w:hAnsi="Arial"/>
                <w:sz w:val="17"/>
                <w:szCs w:val="17"/>
                <w:b w:val="1"/>
                <w:bCs w:val="1"/>
                <w:color w:val="auto"/>
              </w:rPr>
              <w:t>Security Calculation</w:t>
            </w: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84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920" w:type="dxa"/>
            <w:vAlign w:val="bottom"/>
            <w:gridSpan w:val="2"/>
            <w:vMerge w:val="continue"/>
            <w:shd w:val="clear" w:color="auto" w:fill="9ADAF6"/>
          </w:tcPr>
          <w:p>
            <w:pPr>
              <w:spacing w:after="0"/>
              <w:rPr>
                <w:sz w:val="14"/>
                <w:szCs w:val="14"/>
                <w:color w:val="auto"/>
              </w:rPr>
            </w:pPr>
          </w:p>
        </w:tc>
        <w:tc>
          <w:tcPr>
            <w:tcW w:w="84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rPr>
              <w:t>Fee Rate</w:t>
            </w:r>
          </w:p>
        </w:tc>
        <w:tc>
          <w:tcPr>
            <w:tcW w:w="1100" w:type="dxa"/>
            <w:vAlign w:val="bottom"/>
            <w:gridSpan w:val="2"/>
            <w:vMerge w:val="continue"/>
            <w:shd w:val="clear" w:color="auto" w:fill="9ADAF6"/>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7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Forward</w:t>
            </w:r>
          </w:p>
        </w:tc>
        <w:tc>
          <w:tcPr>
            <w:tcW w:w="980" w:type="dxa"/>
            <w:vAlign w:val="bottom"/>
            <w:vMerge w:val="continue"/>
            <w:shd w:val="clear" w:color="auto" w:fill="9ADAF6"/>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0" w:type="dxa"/>
            <w:vAlign w:val="bottom"/>
            <w:shd w:val="clear" w:color="auto" w:fill="9ADAF6"/>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Class</w:t>
            </w:r>
          </w:p>
        </w:tc>
        <w:tc>
          <w:tcPr>
            <w:tcW w:w="9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or Carry</w:t>
            </w:r>
          </w:p>
        </w:tc>
        <w:tc>
          <w:tcPr>
            <w:tcW w:w="940" w:type="dxa"/>
            <w:vAlign w:val="bottom"/>
            <w:vMerge w:val="continue"/>
            <w:shd w:val="clear" w:color="auto" w:fill="9ADAF6"/>
          </w:tcPr>
          <w:p>
            <w:pPr>
              <w:spacing w:after="0"/>
              <w:rPr>
                <w:sz w:val="14"/>
                <w:szCs w:val="14"/>
                <w:color w:val="auto"/>
              </w:rPr>
            </w:pPr>
          </w:p>
        </w:tc>
        <w:tc>
          <w:tcPr>
            <w:tcW w:w="84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Offering</w:t>
            </w:r>
          </w:p>
        </w:tc>
        <w:tc>
          <w:tcPr>
            <w:tcW w:w="92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Aggregate</w:t>
            </w:r>
          </w:p>
        </w:tc>
        <w:tc>
          <w:tcPr>
            <w:tcW w:w="840" w:type="dxa"/>
            <w:vAlign w:val="bottom"/>
            <w:vMerge w:val="continue"/>
            <w:shd w:val="clear" w:color="auto" w:fill="9ADAF6"/>
          </w:tcPr>
          <w:p>
            <w:pPr>
              <w:spacing w:after="0"/>
              <w:rPr>
                <w:sz w:val="14"/>
                <w:szCs w:val="14"/>
                <w:color w:val="auto"/>
              </w:rPr>
            </w:pPr>
          </w:p>
        </w:tc>
        <w:tc>
          <w:tcPr>
            <w:tcW w:w="2500" w:type="dxa"/>
            <w:vAlign w:val="bottom"/>
            <w:gridSpan w:val="4"/>
            <w:shd w:val="clear" w:color="auto" w:fill="9ADAF6"/>
          </w:tcPr>
          <w:p>
            <w:pPr>
              <w:ind w:left="60"/>
              <w:spacing w:after="0" w:line="167" w:lineRule="exact"/>
              <w:rPr>
                <w:sz w:val="20"/>
                <w:szCs w:val="20"/>
                <w:color w:val="auto"/>
              </w:rPr>
            </w:pPr>
            <w:r>
              <w:rPr>
                <w:rFonts w:ascii="Arial" w:cs="Arial" w:eastAsia="Arial" w:hAnsi="Arial"/>
                <w:sz w:val="19"/>
                <w:szCs w:val="19"/>
                <w:b w:val="1"/>
                <w:bCs w:val="1"/>
                <w:color w:val="auto"/>
                <w:vertAlign w:val="subscript"/>
              </w:rPr>
              <w:t>Registration</w:t>
            </w:r>
            <w:r>
              <w:rPr>
                <w:rFonts w:ascii="Arial" w:cs="Arial" w:eastAsia="Arial" w:hAnsi="Arial"/>
                <w:sz w:val="12"/>
                <w:szCs w:val="12"/>
                <w:b w:val="1"/>
                <w:bCs w:val="1"/>
                <w:color w:val="auto"/>
              </w:rPr>
              <w:t xml:space="preserve"> Forward Forward</w:t>
            </w:r>
          </w:p>
        </w:tc>
        <w:tc>
          <w:tcPr>
            <w:tcW w:w="7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Initial</w:t>
            </w:r>
          </w:p>
        </w:tc>
        <w:tc>
          <w:tcPr>
            <w:tcW w:w="9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with</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40" w:type="dxa"/>
            <w:vAlign w:val="bottom"/>
            <w:shd w:val="clear" w:color="auto" w:fill="9ADAF6"/>
          </w:tcPr>
          <w:p>
            <w:pPr>
              <w:spacing w:after="0"/>
              <w:rPr>
                <w:sz w:val="15"/>
                <w:szCs w:val="15"/>
                <w:color w:val="auto"/>
              </w:rPr>
            </w:pPr>
          </w:p>
        </w:tc>
        <w:tc>
          <w:tcPr>
            <w:tcW w:w="1000" w:type="dxa"/>
            <w:vAlign w:val="bottom"/>
            <w:shd w:val="clear" w:color="auto" w:fill="9ADAF6"/>
          </w:tcPr>
          <w:p>
            <w:pPr>
              <w:jc w:val="center"/>
              <w:ind w:left="175"/>
              <w:spacing w:after="0" w:line="180" w:lineRule="exact"/>
              <w:rPr>
                <w:sz w:val="20"/>
                <w:szCs w:val="20"/>
                <w:color w:val="auto"/>
              </w:rPr>
            </w:pPr>
            <w:r>
              <w:rPr>
                <w:rFonts w:ascii="Arial" w:cs="Arial" w:eastAsia="Arial" w:hAnsi="Arial"/>
                <w:sz w:val="17"/>
                <w:szCs w:val="17"/>
                <w:b w:val="1"/>
                <w:bCs w:val="1"/>
                <w:color w:val="auto"/>
                <w:w w:val="95"/>
              </w:rPr>
              <w:t>Type</w:t>
            </w:r>
          </w:p>
        </w:tc>
        <w:tc>
          <w:tcPr>
            <w:tcW w:w="840" w:type="dxa"/>
            <w:vAlign w:val="bottom"/>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w w:val="97"/>
              </w:rPr>
              <w:t>Title</w:t>
            </w:r>
          </w:p>
        </w:tc>
        <w:tc>
          <w:tcPr>
            <w:tcW w:w="900" w:type="dxa"/>
            <w:vAlign w:val="bottom"/>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w w:val="98"/>
              </w:rPr>
              <w:t>Forward</w:t>
            </w:r>
          </w:p>
        </w:tc>
        <w:tc>
          <w:tcPr>
            <w:tcW w:w="940" w:type="dxa"/>
            <w:vAlign w:val="bottom"/>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rPr>
              <w:t>Registered</w:t>
            </w:r>
          </w:p>
        </w:tc>
        <w:tc>
          <w:tcPr>
            <w:tcW w:w="840" w:type="dxa"/>
            <w:vAlign w:val="bottom"/>
            <w:gridSpan w:val="2"/>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rPr>
              <w:t>Price Per</w:t>
            </w:r>
          </w:p>
        </w:tc>
        <w:tc>
          <w:tcPr>
            <w:tcW w:w="120" w:type="dxa"/>
            <w:vAlign w:val="bottom"/>
            <w:shd w:val="clear" w:color="auto" w:fill="9ADAF6"/>
          </w:tcPr>
          <w:p>
            <w:pPr>
              <w:spacing w:after="0"/>
              <w:rPr>
                <w:sz w:val="15"/>
                <w:szCs w:val="15"/>
                <w:color w:val="auto"/>
              </w:rPr>
            </w:pPr>
          </w:p>
        </w:tc>
        <w:tc>
          <w:tcPr>
            <w:tcW w:w="800" w:type="dxa"/>
            <w:vAlign w:val="bottom"/>
            <w:shd w:val="clear" w:color="auto" w:fill="9ADAF6"/>
          </w:tcPr>
          <w:p>
            <w:pPr>
              <w:jc w:val="center"/>
              <w:ind w:right="67"/>
              <w:spacing w:after="0" w:line="180" w:lineRule="exact"/>
              <w:rPr>
                <w:sz w:val="20"/>
                <w:szCs w:val="20"/>
                <w:color w:val="auto"/>
              </w:rPr>
            </w:pPr>
            <w:r>
              <w:rPr>
                <w:rFonts w:ascii="Arial" w:cs="Arial" w:eastAsia="Arial" w:hAnsi="Arial"/>
                <w:sz w:val="17"/>
                <w:szCs w:val="17"/>
                <w:b w:val="1"/>
                <w:bCs w:val="1"/>
                <w:color w:val="auto"/>
                <w:w w:val="99"/>
              </w:rPr>
              <w:t>Offering</w:t>
            </w:r>
          </w:p>
        </w:tc>
        <w:tc>
          <w:tcPr>
            <w:tcW w:w="840" w:type="dxa"/>
            <w:vAlign w:val="bottom"/>
            <w:shd w:val="clear" w:color="auto" w:fill="9ADAF6"/>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820" w:type="dxa"/>
            <w:vAlign w:val="bottom"/>
            <w:shd w:val="clear" w:color="auto" w:fill="9ADAF6"/>
          </w:tcPr>
          <w:p>
            <w:pPr>
              <w:jc w:val="center"/>
              <w:ind w:right="195"/>
              <w:spacing w:after="0" w:line="180" w:lineRule="exact"/>
              <w:rPr>
                <w:sz w:val="20"/>
                <w:szCs w:val="20"/>
                <w:color w:val="auto"/>
              </w:rPr>
            </w:pPr>
            <w:r>
              <w:rPr>
                <w:rFonts w:ascii="Arial" w:cs="Arial" w:eastAsia="Arial" w:hAnsi="Arial"/>
                <w:sz w:val="17"/>
                <w:szCs w:val="17"/>
                <w:b w:val="1"/>
                <w:bCs w:val="1"/>
                <w:color w:val="auto"/>
              </w:rPr>
              <w:t>Fee</w:t>
            </w: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w w:val="98"/>
              </w:rPr>
              <w:t>Form</w:t>
            </w:r>
          </w:p>
        </w:tc>
        <w:tc>
          <w:tcPr>
            <w:tcW w:w="760" w:type="dxa"/>
            <w:vAlign w:val="bottom"/>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rPr>
              <w:t>File</w:t>
            </w:r>
          </w:p>
        </w:tc>
        <w:tc>
          <w:tcPr>
            <w:tcW w:w="760" w:type="dxa"/>
            <w:vAlign w:val="bottom"/>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rPr>
              <w:t>Effective</w:t>
            </w:r>
          </w:p>
        </w:tc>
        <w:tc>
          <w:tcPr>
            <w:tcW w:w="980" w:type="dxa"/>
            <w:vAlign w:val="bottom"/>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rPr>
              <w:t>Unsold</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40" w:type="dxa"/>
            <w:vAlign w:val="bottom"/>
            <w:shd w:val="clear" w:color="auto" w:fill="9ADAF6"/>
          </w:tcPr>
          <w:p>
            <w:pPr>
              <w:spacing w:after="0"/>
              <w:rPr>
                <w:sz w:val="7"/>
                <w:szCs w:val="7"/>
                <w:color w:val="auto"/>
              </w:rPr>
            </w:pPr>
          </w:p>
        </w:tc>
        <w:tc>
          <w:tcPr>
            <w:tcW w:w="1000" w:type="dxa"/>
            <w:vAlign w:val="bottom"/>
            <w:shd w:val="clear" w:color="auto" w:fill="9ADAF6"/>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Rule</w:t>
            </w:r>
          </w:p>
        </w:tc>
        <w:tc>
          <w:tcPr>
            <w:tcW w:w="94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740" w:type="dxa"/>
            <w:vAlign w:val="bottom"/>
            <w:vMerge w:val="restart"/>
            <w:shd w:val="clear" w:color="auto" w:fill="9ADAF6"/>
          </w:tcPr>
          <w:p>
            <w:pPr>
              <w:jc w:val="center"/>
              <w:ind w:right="35"/>
              <w:spacing w:after="0"/>
              <w:rPr>
                <w:sz w:val="20"/>
                <w:szCs w:val="20"/>
                <w:color w:val="auto"/>
              </w:rPr>
            </w:pPr>
            <w:r>
              <w:rPr>
                <w:rFonts w:ascii="Arial" w:cs="Arial" w:eastAsia="Arial" w:hAnsi="Arial"/>
                <w:sz w:val="17"/>
                <w:szCs w:val="17"/>
                <w:b w:val="1"/>
                <w:bCs w:val="1"/>
                <w:color w:val="auto"/>
              </w:rPr>
              <w:t>Unit</w:t>
            </w:r>
          </w:p>
        </w:tc>
        <w:tc>
          <w:tcPr>
            <w:tcW w:w="120" w:type="dxa"/>
            <w:vAlign w:val="bottom"/>
            <w:shd w:val="clear" w:color="auto" w:fill="9ADAF6"/>
          </w:tcPr>
          <w:p>
            <w:pPr>
              <w:spacing w:after="0"/>
              <w:rPr>
                <w:sz w:val="7"/>
                <w:szCs w:val="7"/>
                <w:color w:val="auto"/>
              </w:rPr>
            </w:pPr>
          </w:p>
        </w:tc>
        <w:tc>
          <w:tcPr>
            <w:tcW w:w="800" w:type="dxa"/>
            <w:vAlign w:val="bottom"/>
            <w:shd w:val="clear" w:color="auto" w:fill="9ADAF6"/>
          </w:tcPr>
          <w:p>
            <w:pPr>
              <w:jc w:val="center"/>
              <w:ind w:right="67"/>
              <w:spacing w:after="0" w:line="90" w:lineRule="exact"/>
              <w:rPr>
                <w:sz w:val="20"/>
                <w:szCs w:val="20"/>
                <w:color w:val="auto"/>
              </w:rPr>
            </w:pPr>
            <w:r>
              <w:rPr>
                <w:rFonts w:ascii="Arial" w:cs="Arial" w:eastAsia="Arial" w:hAnsi="Arial"/>
                <w:sz w:val="10"/>
                <w:szCs w:val="10"/>
                <w:b w:val="1"/>
                <w:bCs w:val="1"/>
                <w:color w:val="auto"/>
              </w:rPr>
              <w:t>Price</w:t>
            </w:r>
          </w:p>
        </w:tc>
        <w:tc>
          <w:tcPr>
            <w:tcW w:w="84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640" w:type="dxa"/>
            <w:vAlign w:val="bottom"/>
            <w:shd w:val="clear" w:color="auto" w:fill="9ADAF6"/>
          </w:tcPr>
          <w:p>
            <w:pPr>
              <w:jc w:val="center"/>
              <w:spacing w:after="0" w:line="90" w:lineRule="exact"/>
              <w:rPr>
                <w:sz w:val="20"/>
                <w:szCs w:val="20"/>
                <w:color w:val="auto"/>
              </w:rPr>
            </w:pPr>
            <w:r>
              <w:rPr>
                <w:rFonts w:ascii="Arial" w:cs="Arial" w:eastAsia="Arial" w:hAnsi="Arial"/>
                <w:sz w:val="10"/>
                <w:szCs w:val="10"/>
                <w:b w:val="1"/>
                <w:bCs w:val="1"/>
                <w:color w:val="auto"/>
              </w:rPr>
              <w:t>Type</w:t>
            </w:r>
          </w:p>
        </w:tc>
        <w:tc>
          <w:tcPr>
            <w:tcW w:w="760" w:type="dxa"/>
            <w:vAlign w:val="bottom"/>
            <w:shd w:val="clear" w:color="auto" w:fill="9ADAF6"/>
          </w:tcPr>
          <w:p>
            <w:pPr>
              <w:jc w:val="center"/>
              <w:spacing w:after="0" w:line="90" w:lineRule="exact"/>
              <w:rPr>
                <w:sz w:val="20"/>
                <w:szCs w:val="20"/>
                <w:color w:val="auto"/>
              </w:rPr>
            </w:pPr>
            <w:r>
              <w:rPr>
                <w:rFonts w:ascii="Arial" w:cs="Arial" w:eastAsia="Arial" w:hAnsi="Arial"/>
                <w:sz w:val="10"/>
                <w:szCs w:val="10"/>
                <w:b w:val="1"/>
                <w:bCs w:val="1"/>
                <w:color w:val="auto"/>
              </w:rPr>
              <w:t>Number</w:t>
            </w: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980" w:type="dxa"/>
            <w:vAlign w:val="bottom"/>
            <w:shd w:val="clear" w:color="auto" w:fill="9ADAF6"/>
          </w:tcPr>
          <w:p>
            <w:pPr>
              <w:jc w:val="center"/>
              <w:spacing w:after="0" w:line="90" w:lineRule="exact"/>
              <w:rPr>
                <w:sz w:val="20"/>
                <w:szCs w:val="20"/>
                <w:color w:val="auto"/>
              </w:rPr>
            </w:pPr>
            <w:r>
              <w:rPr>
                <w:rFonts w:ascii="Arial" w:cs="Arial" w:eastAsia="Arial" w:hAnsi="Arial"/>
                <w:sz w:val="10"/>
                <w:szCs w:val="10"/>
                <w:b w:val="1"/>
                <w:bCs w:val="1"/>
                <w:color w:val="auto"/>
              </w:rPr>
              <w:t>Securities</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740" w:type="dxa"/>
            <w:vAlign w:val="bottom"/>
            <w:shd w:val="clear" w:color="auto" w:fill="9ADAF6"/>
          </w:tcPr>
          <w:p>
            <w:pPr>
              <w:spacing w:after="0"/>
              <w:rPr>
                <w:sz w:val="12"/>
                <w:szCs w:val="12"/>
                <w:color w:val="auto"/>
              </w:rPr>
            </w:pPr>
          </w:p>
        </w:tc>
        <w:tc>
          <w:tcPr>
            <w:tcW w:w="1000" w:type="dxa"/>
            <w:vAlign w:val="bottom"/>
            <w:shd w:val="clear" w:color="auto" w:fill="9ADAF6"/>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900" w:type="dxa"/>
            <w:vAlign w:val="bottom"/>
            <w:vMerge w:val="continue"/>
            <w:shd w:val="clear" w:color="auto" w:fill="9ADAF6"/>
          </w:tcPr>
          <w:p>
            <w:pPr>
              <w:spacing w:after="0"/>
              <w:rPr>
                <w:sz w:val="12"/>
                <w:szCs w:val="12"/>
                <w:color w:val="auto"/>
              </w:rPr>
            </w:pPr>
          </w:p>
        </w:tc>
        <w:tc>
          <w:tcPr>
            <w:tcW w:w="940" w:type="dxa"/>
            <w:vAlign w:val="bottom"/>
            <w:shd w:val="clear" w:color="auto" w:fill="9ADAF6"/>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740" w:type="dxa"/>
            <w:vAlign w:val="bottom"/>
            <w:vMerge w:val="continue"/>
            <w:shd w:val="clear" w:color="auto" w:fill="9ADAF6"/>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80" w:type="dxa"/>
            <w:vAlign w:val="bottom"/>
            <w:shd w:val="clear" w:color="auto" w:fill="9ADAF6"/>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64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980" w:type="dxa"/>
            <w:vAlign w:val="bottom"/>
            <w:vMerge w:val="restart"/>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to be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40" w:type="dxa"/>
            <w:vAlign w:val="bottom"/>
            <w:shd w:val="clear" w:color="auto" w:fill="9ADAF6"/>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80" w:type="dxa"/>
            <w:vAlign w:val="bottom"/>
            <w:shd w:val="clear" w:color="auto" w:fill="9ADAF6"/>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640" w:type="dxa"/>
            <w:vAlign w:val="bottom"/>
            <w:shd w:val="clear" w:color="auto" w:fill="9ADAF6"/>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980" w:type="dxa"/>
            <w:vAlign w:val="bottom"/>
            <w:vMerge w:val="continue"/>
            <w:shd w:val="clear" w:color="auto" w:fill="9ADAF6"/>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shd w:val="clear" w:color="auto" w:fill="9ADAF6"/>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98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Carried</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40" w:type="dxa"/>
            <w:vAlign w:val="bottom"/>
            <w:shd w:val="clear" w:color="auto" w:fill="9ADAF6"/>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4"/>
          </w:tcPr>
          <w:p>
            <w:pPr>
              <w:jc w:val="right"/>
              <w:ind w:right="115"/>
              <w:spacing w:after="0"/>
              <w:rPr>
                <w:sz w:val="20"/>
                <w:szCs w:val="20"/>
                <w:color w:val="auto"/>
              </w:rPr>
            </w:pPr>
            <w:r>
              <w:rPr>
                <w:rFonts w:ascii="Arial" w:cs="Arial" w:eastAsia="Arial" w:hAnsi="Arial"/>
                <w:sz w:val="17"/>
                <w:szCs w:val="17"/>
                <w:b w:val="1"/>
                <w:bCs w:val="1"/>
                <w:color w:val="auto"/>
              </w:rPr>
              <w:t>Newly Registered Securities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40" w:type="dxa"/>
            <w:vAlign w:val="bottom"/>
            <w:shd w:val="clear" w:color="auto" w:fill="E7E7E2"/>
          </w:tcPr>
          <w:p>
            <w:pPr>
              <w:ind w:left="40"/>
              <w:spacing w:after="0" w:line="167" w:lineRule="exact"/>
              <w:rPr>
                <w:sz w:val="20"/>
                <w:szCs w:val="20"/>
                <w:color w:val="auto"/>
              </w:rPr>
            </w:pPr>
            <w:r>
              <w:rPr>
                <w:rFonts w:ascii="Arial" w:cs="Arial" w:eastAsia="Arial" w:hAnsi="Arial"/>
                <w:sz w:val="17"/>
                <w:szCs w:val="17"/>
                <w:color w:val="auto"/>
              </w:rPr>
              <w:t>Fees to</w:t>
            </w:r>
          </w:p>
        </w:tc>
        <w:tc>
          <w:tcPr>
            <w:tcW w:w="1000" w:type="dxa"/>
            <w:vAlign w:val="bottom"/>
            <w:vMerge w:val="restart"/>
            <w:shd w:val="clear" w:color="auto" w:fill="E7E7E2"/>
          </w:tcPr>
          <w:p>
            <w:pPr>
              <w:ind w:left="140"/>
              <w:spacing w:after="0"/>
              <w:rPr>
                <w:sz w:val="20"/>
                <w:szCs w:val="20"/>
                <w:color w:val="auto"/>
              </w:rPr>
            </w:pPr>
            <w:r>
              <w:rPr>
                <w:rFonts w:ascii="Arial" w:cs="Arial" w:eastAsia="Arial" w:hAnsi="Arial"/>
                <w:sz w:val="17"/>
                <w:szCs w:val="17"/>
                <w:color w:val="auto"/>
              </w:rPr>
              <w:t>1 Debt</w:t>
            </w:r>
          </w:p>
        </w:tc>
        <w:tc>
          <w:tcPr>
            <w:tcW w:w="84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Debt</w:t>
            </w: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0</w:t>
            </w: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0.00</w:t>
            </w: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164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rPr>
              <w:t>0.00 0.0001381</w:t>
            </w:r>
          </w:p>
        </w:tc>
        <w:tc>
          <w:tcPr>
            <w:tcW w:w="28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E7E7E2"/>
          </w:tcPr>
          <w:p>
            <w:pPr>
              <w:jc w:val="right"/>
              <w:ind w:right="15"/>
              <w:spacing w:after="0"/>
              <w:rPr>
                <w:sz w:val="20"/>
                <w:szCs w:val="20"/>
                <w:color w:val="auto"/>
              </w:rPr>
            </w:pPr>
            <w:r>
              <w:rPr>
                <w:rFonts w:ascii="Arial" w:cs="Arial" w:eastAsia="Arial" w:hAnsi="Arial"/>
                <w:sz w:val="17"/>
                <w:szCs w:val="17"/>
                <w:color w:val="auto"/>
              </w:rPr>
              <w:t>0.00</w:t>
            </w:r>
          </w:p>
        </w:tc>
        <w:tc>
          <w:tcPr>
            <w:tcW w:w="640" w:type="dxa"/>
            <w:vAlign w:val="bottom"/>
            <w:shd w:val="clear" w:color="auto" w:fill="E7E7E2"/>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rPr>
              <w:t>be Paid</w:t>
            </w:r>
          </w:p>
        </w:tc>
        <w:tc>
          <w:tcPr>
            <w:tcW w:w="1000" w:type="dxa"/>
            <w:vAlign w:val="bottom"/>
            <w:vMerge w:val="continue"/>
            <w:shd w:val="clear" w:color="auto" w:fill="E7E7E2"/>
          </w:tcPr>
          <w:p>
            <w:pPr>
              <w:spacing w:after="0"/>
              <w:rPr>
                <w:sz w:val="12"/>
                <w:szCs w:val="12"/>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Securities</w:t>
            </w:r>
          </w:p>
        </w:tc>
        <w:tc>
          <w:tcPr>
            <w:tcW w:w="900" w:type="dxa"/>
            <w:vAlign w:val="bottom"/>
            <w:vMerge w:val="continue"/>
            <w:shd w:val="clear" w:color="auto" w:fill="E7E7E2"/>
          </w:tcPr>
          <w:p>
            <w:pPr>
              <w:spacing w:after="0"/>
              <w:rPr>
                <w:sz w:val="12"/>
                <w:szCs w:val="12"/>
                <w:color w:val="auto"/>
              </w:rPr>
            </w:pPr>
          </w:p>
        </w:tc>
        <w:tc>
          <w:tcPr>
            <w:tcW w:w="940" w:type="dxa"/>
            <w:vAlign w:val="bottom"/>
            <w:vMerge w:val="continue"/>
            <w:shd w:val="clear" w:color="auto" w:fill="E7E7E2"/>
          </w:tcPr>
          <w:p>
            <w:pPr>
              <w:spacing w:after="0"/>
              <w:rPr>
                <w:sz w:val="12"/>
                <w:szCs w:val="12"/>
                <w:color w:val="auto"/>
              </w:rPr>
            </w:pPr>
          </w:p>
        </w:tc>
        <w:tc>
          <w:tcPr>
            <w:tcW w:w="100" w:type="dxa"/>
            <w:vAlign w:val="bottom"/>
            <w:vMerge w:val="continue"/>
            <w:shd w:val="clear" w:color="auto" w:fill="E7E7E2"/>
          </w:tcPr>
          <w:p>
            <w:pPr>
              <w:spacing w:after="0"/>
              <w:rPr>
                <w:sz w:val="12"/>
                <w:szCs w:val="12"/>
                <w:color w:val="auto"/>
              </w:rPr>
            </w:pPr>
          </w:p>
        </w:tc>
        <w:tc>
          <w:tcPr>
            <w:tcW w:w="740" w:type="dxa"/>
            <w:vAlign w:val="bottom"/>
            <w:vMerge w:val="continue"/>
            <w:shd w:val="clear" w:color="auto" w:fill="E7E7E2"/>
          </w:tcPr>
          <w:p>
            <w:pPr>
              <w:spacing w:after="0"/>
              <w:rPr>
                <w:sz w:val="12"/>
                <w:szCs w:val="12"/>
                <w:color w:val="auto"/>
              </w:rPr>
            </w:pPr>
          </w:p>
        </w:tc>
        <w:tc>
          <w:tcPr>
            <w:tcW w:w="120" w:type="dxa"/>
            <w:vAlign w:val="bottom"/>
            <w:vMerge w:val="continue"/>
            <w:shd w:val="clear" w:color="auto" w:fill="E7E7E2"/>
          </w:tcPr>
          <w:p>
            <w:pPr>
              <w:spacing w:after="0"/>
              <w:rPr>
                <w:sz w:val="12"/>
                <w:szCs w:val="12"/>
                <w:color w:val="auto"/>
              </w:rPr>
            </w:pPr>
          </w:p>
        </w:tc>
        <w:tc>
          <w:tcPr>
            <w:tcW w:w="1640" w:type="dxa"/>
            <w:vAlign w:val="bottom"/>
            <w:gridSpan w:val="2"/>
            <w:vMerge w:val="continue"/>
            <w:shd w:val="clear" w:color="auto" w:fill="E7E7E2"/>
          </w:tcPr>
          <w:p>
            <w:pPr>
              <w:spacing w:after="0"/>
              <w:rPr>
                <w:sz w:val="12"/>
                <w:szCs w:val="12"/>
                <w:color w:val="auto"/>
              </w:rPr>
            </w:pPr>
          </w:p>
        </w:tc>
        <w:tc>
          <w:tcPr>
            <w:tcW w:w="280" w:type="dxa"/>
            <w:vAlign w:val="bottom"/>
            <w:vMerge w:val="continue"/>
            <w:shd w:val="clear" w:color="auto" w:fill="E7E7E2"/>
          </w:tcPr>
          <w:p>
            <w:pPr>
              <w:spacing w:after="0"/>
              <w:rPr>
                <w:sz w:val="12"/>
                <w:szCs w:val="12"/>
                <w:color w:val="auto"/>
              </w:rPr>
            </w:pPr>
          </w:p>
        </w:tc>
        <w:tc>
          <w:tcPr>
            <w:tcW w:w="820" w:type="dxa"/>
            <w:vAlign w:val="bottom"/>
            <w:vMerge w:val="continue"/>
            <w:shd w:val="clear" w:color="auto" w:fill="E7E7E2"/>
          </w:tcPr>
          <w:p>
            <w:pPr>
              <w:spacing w:after="0"/>
              <w:rPr>
                <w:sz w:val="12"/>
                <w:szCs w:val="12"/>
                <w:color w:val="auto"/>
              </w:rPr>
            </w:pPr>
          </w:p>
        </w:tc>
        <w:tc>
          <w:tcPr>
            <w:tcW w:w="640" w:type="dxa"/>
            <w:vAlign w:val="bottom"/>
            <w:shd w:val="clear" w:color="auto" w:fill="E7E7E2"/>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740" w:type="dxa"/>
            <w:vAlign w:val="bottom"/>
            <w:vMerge w:val="continue"/>
            <w:shd w:val="clear" w:color="auto" w:fill="E7E7E2"/>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840" w:type="dxa"/>
            <w:vAlign w:val="bottom"/>
            <w:vMerge w:val="continue"/>
            <w:shd w:val="clear" w:color="auto" w:fill="E7E7E2"/>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94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-1513205</wp:posOffset>
            </wp:positionV>
            <wp:extent cx="7198995" cy="2930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98995" cy="2930525"/>
                    </a:xfrm>
                    <a:prstGeom prst="rect">
                      <a:avLst/>
                    </a:prstGeom>
                    <a:noFill/>
                  </pic:spPr>
                </pic:pic>
              </a:graphicData>
            </a:graphic>
          </wp:anchor>
        </w:drawing>
      </w:r>
    </w:p>
    <w:p>
      <w:pPr>
        <w:ind w:left="40"/>
        <w:spacing w:after="0" w:line="219" w:lineRule="auto"/>
        <w:rPr>
          <w:sz w:val="20"/>
          <w:szCs w:val="20"/>
          <w:color w:val="auto"/>
        </w:rPr>
      </w:pPr>
      <w:r>
        <w:rPr>
          <w:rFonts w:ascii="Arial" w:cs="Arial" w:eastAsia="Arial" w:hAnsi="Arial"/>
          <w:sz w:val="17"/>
          <w:szCs w:val="17"/>
          <w:color w:val="auto"/>
        </w:rPr>
        <w:t>Fees</w:t>
      </w:r>
    </w:p>
    <w:p>
      <w:pPr>
        <w:ind w:left="40"/>
        <w:spacing w:after="0" w:line="204" w:lineRule="auto"/>
        <w:rPr>
          <w:sz w:val="20"/>
          <w:szCs w:val="20"/>
          <w:color w:val="auto"/>
        </w:rPr>
      </w:pPr>
      <w:r>
        <w:rPr>
          <w:rFonts w:ascii="Arial" w:cs="Arial" w:eastAsia="Arial" w:hAnsi="Arial"/>
          <w:sz w:val="17"/>
          <w:szCs w:val="17"/>
          <w:color w:val="auto"/>
        </w:rPr>
        <w:t>Previously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Paid</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7197725</wp:posOffset>
            </wp:positionH>
            <wp:positionV relativeFrom="paragraph">
              <wp:posOffset>-120650</wp:posOffset>
            </wp:positionV>
            <wp:extent cx="4763" cy="138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4763" cy="13843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Carry</w:t>
      </w:r>
    </w:p>
    <w:p>
      <w:pPr>
        <w:ind w:left="40"/>
        <w:spacing w:after="0" w:line="204" w:lineRule="auto"/>
        <w:rPr>
          <w:sz w:val="20"/>
          <w:szCs w:val="20"/>
          <w:color w:val="auto"/>
        </w:rPr>
      </w:pPr>
      <w:r>
        <w:rPr>
          <w:rFonts w:ascii="Arial" w:cs="Arial" w:eastAsia="Arial" w:hAnsi="Arial"/>
          <w:sz w:val="17"/>
          <w:szCs w:val="17"/>
          <w:color w:val="auto"/>
        </w:rPr>
        <w:t>Forward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Securities</w:t>
      </w:r>
    </w:p>
    <w:p>
      <w:pPr>
        <w:spacing w:after="0" w:line="19" w:lineRule="exact"/>
        <w:rPr>
          <w:sz w:val="20"/>
          <w:szCs w:val="20"/>
          <w:color w:val="auto"/>
        </w:rPr>
      </w:pPr>
    </w:p>
    <w:tbl>
      <w:tblPr>
        <w:tblLayout w:type="fixed"/>
        <w:tblInd w:w="2340" w:type="dxa"/>
        <w:tblCellMar>
          <w:top w:w="0" w:type="dxa"/>
          <w:left w:w="0" w:type="dxa"/>
          <w:bottom w:w="0" w:type="dxa"/>
          <w:right w:w="0" w:type="dxa"/>
        </w:tblCellMar>
      </w:tblPr>
      <w:tr>
        <w:trPr>
          <w:trHeight w:val="218"/>
        </w:trPr>
        <w:tc>
          <w:tcPr>
            <w:tcW w:w="2500" w:type="dxa"/>
            <w:vAlign w:val="bottom"/>
          </w:tcPr>
          <w:p>
            <w:pPr>
              <w:jc w:val="right"/>
              <w:ind w:right="355"/>
              <w:spacing w:after="0"/>
              <w:rPr>
                <w:sz w:val="20"/>
                <w:szCs w:val="20"/>
                <w:color w:val="auto"/>
              </w:rPr>
            </w:pPr>
            <w:r>
              <w:rPr>
                <w:rFonts w:ascii="Arial" w:cs="Arial" w:eastAsia="Arial" w:hAnsi="Arial"/>
                <w:sz w:val="17"/>
                <w:szCs w:val="17"/>
                <w:color w:val="auto"/>
              </w:rPr>
              <w:t>Total Offering Amounts:</w:t>
            </w:r>
          </w:p>
        </w:tc>
        <w:tc>
          <w:tcPr>
            <w:tcW w:w="7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415"/>
              <w:spacing w:after="0"/>
              <w:rPr>
                <w:sz w:val="20"/>
                <w:szCs w:val="20"/>
                <w:color w:val="auto"/>
              </w:rPr>
            </w:pPr>
            <w:r>
              <w:rPr>
                <w:rFonts w:ascii="Arial" w:cs="Arial" w:eastAsia="Arial" w:hAnsi="Arial"/>
                <w:sz w:val="17"/>
                <w:szCs w:val="17"/>
                <w:color w:val="auto"/>
              </w:rPr>
              <w:t>0.00</w:t>
            </w: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218"/>
        </w:trPr>
        <w:tc>
          <w:tcPr>
            <w:tcW w:w="2500" w:type="dxa"/>
            <w:vAlign w:val="bottom"/>
          </w:tcPr>
          <w:p>
            <w:pPr>
              <w:jc w:val="right"/>
              <w:ind w:right="355"/>
              <w:spacing w:after="0"/>
              <w:rPr>
                <w:sz w:val="20"/>
                <w:szCs w:val="20"/>
                <w:color w:val="auto"/>
              </w:rPr>
            </w:pPr>
            <w:r>
              <w:rPr>
                <w:rFonts w:ascii="Arial" w:cs="Arial" w:eastAsia="Arial" w:hAnsi="Arial"/>
                <w:sz w:val="17"/>
                <w:szCs w:val="17"/>
                <w:color w:val="auto"/>
                <w:w w:val="98"/>
              </w:rPr>
              <w:t>Total Fees Previously Paid:</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218"/>
        </w:trPr>
        <w:tc>
          <w:tcPr>
            <w:tcW w:w="2500" w:type="dxa"/>
            <w:vAlign w:val="bottom"/>
          </w:tcPr>
          <w:p>
            <w:pPr>
              <w:jc w:val="right"/>
              <w:ind w:right="355"/>
              <w:spacing w:after="0"/>
              <w:rPr>
                <w:sz w:val="20"/>
                <w:szCs w:val="20"/>
                <w:color w:val="auto"/>
              </w:rPr>
            </w:pPr>
            <w:r>
              <w:rPr>
                <w:rFonts w:ascii="Arial" w:cs="Arial" w:eastAsia="Arial" w:hAnsi="Arial"/>
                <w:sz w:val="17"/>
                <w:szCs w:val="17"/>
                <w:color w:val="auto"/>
              </w:rPr>
              <w:t>Total Fee Offsets:</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225"/>
        </w:trPr>
        <w:tc>
          <w:tcPr>
            <w:tcW w:w="2500" w:type="dxa"/>
            <w:vAlign w:val="bottom"/>
          </w:tcPr>
          <w:p>
            <w:pPr>
              <w:jc w:val="right"/>
              <w:ind w:right="355"/>
              <w:spacing w:after="0"/>
              <w:rPr>
                <w:sz w:val="20"/>
                <w:szCs w:val="20"/>
                <w:color w:val="auto"/>
              </w:rPr>
            </w:pPr>
            <w:r>
              <w:rPr>
                <w:rFonts w:ascii="Arial" w:cs="Arial" w:eastAsia="Arial" w:hAnsi="Arial"/>
                <w:sz w:val="17"/>
                <w:szCs w:val="17"/>
                <w:color w:val="auto"/>
              </w:rPr>
              <w:t>Net Fee Due:</w:t>
            </w: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0.00</w:t>
            </w: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Offering Note</w:t>
      </w:r>
    </w:p>
    <w:p>
      <w:pPr>
        <w:spacing w:after="0" w:line="156" w:lineRule="exact"/>
        <w:rPr>
          <w:sz w:val="20"/>
          <w:szCs w:val="20"/>
          <w:color w:val="auto"/>
        </w:rPr>
      </w:pPr>
    </w:p>
    <w:p>
      <w:pPr>
        <w:ind w:left="200" w:right="60" w:hanging="180"/>
        <w:spacing w:after="0" w:line="249" w:lineRule="auto"/>
        <w:tabs>
          <w:tab w:leader="none" w:pos="2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Registrant is relying on Rule 456(b) and Rule 457(r) under the Securities Act of 1933, as amended,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This Registration Statement covers an indeterminate number of securities of the identified class of the Registrant as may from time to time be issued at indeterminate prices, including securities that may be issued upon exercise, conversion, settlement or exchange of, any securities offered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762635</wp:posOffset>
            </wp:positionV>
            <wp:extent cx="7164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98"/>
        </w:trPr>
        <w:tc>
          <w:tcPr>
            <w:tcW w:w="3660" w:type="dxa"/>
            <w:vAlign w:val="bottom"/>
            <w:gridSpan w:val="6"/>
          </w:tcPr>
          <w:p>
            <w:pPr>
              <w:ind w:left="20"/>
              <w:spacing w:after="0"/>
              <w:rPr>
                <w:sz w:val="20"/>
                <w:szCs w:val="20"/>
                <w:color w:val="auto"/>
              </w:rPr>
            </w:pPr>
            <w:r>
              <w:rPr>
                <w:rFonts w:ascii="Arial" w:cs="Arial" w:eastAsia="Arial" w:hAnsi="Arial"/>
                <w:sz w:val="17"/>
                <w:szCs w:val="17"/>
                <w:b w:val="1"/>
                <w:bCs w:val="1"/>
                <w:color w:val="auto"/>
              </w:rPr>
              <w:t>Table 2: Fee Offset Claims and Sources</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gridSpan w:val="2"/>
          </w:tcPr>
          <w:p>
            <w:pPr>
              <w:ind w:left="8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333"/>
        </w:trPr>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60" w:type="dxa"/>
            <w:vAlign w:val="bottom"/>
            <w:tcBorders>
              <w:left w:val="single" w:sz="8" w:color="auto"/>
            </w:tcBorders>
            <w:shd w:val="clear" w:color="auto" w:fill="9ADAF6"/>
          </w:tcPr>
          <w:p>
            <w:pPr>
              <w:spacing w:after="0"/>
              <w:rPr>
                <w:sz w:val="13"/>
                <w:szCs w:val="13"/>
                <w:color w:val="auto"/>
              </w:rPr>
            </w:pPr>
          </w:p>
        </w:tc>
        <w:tc>
          <w:tcPr>
            <w:tcW w:w="104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w:t>
            </w: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740" w:type="dxa"/>
            <w:vAlign w:val="bottom"/>
            <w:shd w:val="clear" w:color="auto" w:fill="9ADAF6"/>
          </w:tcPr>
          <w:p>
            <w:pPr>
              <w:spacing w:after="0"/>
              <w:rPr>
                <w:sz w:val="13"/>
                <w:szCs w:val="13"/>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560" w:type="dxa"/>
            <w:vAlign w:val="bottom"/>
            <w:shd w:val="clear" w:color="auto" w:fill="9ADAF6"/>
          </w:tcPr>
          <w:p>
            <w:pPr>
              <w:spacing w:after="0"/>
              <w:rPr>
                <w:sz w:val="13"/>
                <w:szCs w:val="13"/>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13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Security Type</w:t>
            </w:r>
          </w:p>
        </w:tc>
        <w:tc>
          <w:tcPr>
            <w:tcW w:w="12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Security Title</w:t>
            </w:r>
          </w:p>
        </w:tc>
        <w:tc>
          <w:tcPr>
            <w:tcW w:w="1000" w:type="dxa"/>
            <w:vAlign w:val="bottom"/>
            <w:shd w:val="clear" w:color="auto" w:fill="9ADAF6"/>
          </w:tcPr>
          <w:p>
            <w:pPr>
              <w:jc w:val="center"/>
              <w:ind w:left="215"/>
              <w:spacing w:after="0" w:line="159" w:lineRule="exact"/>
              <w:rPr>
                <w:sz w:val="20"/>
                <w:szCs w:val="20"/>
                <w:color w:val="auto"/>
              </w:rPr>
            </w:pPr>
            <w:r>
              <w:rPr>
                <w:rFonts w:ascii="Arial" w:cs="Arial" w:eastAsia="Arial" w:hAnsi="Arial"/>
                <w:sz w:val="17"/>
                <w:szCs w:val="17"/>
                <w:b w:val="1"/>
                <w:bCs w:val="1"/>
                <w:color w:val="auto"/>
              </w:rPr>
              <w:t>Unsold</w:t>
            </w:r>
          </w:p>
        </w:tc>
        <w:tc>
          <w:tcPr>
            <w:tcW w:w="300" w:type="dxa"/>
            <w:vAlign w:val="bottom"/>
            <w:shd w:val="clear" w:color="auto" w:fill="9ADAF6"/>
          </w:tcPr>
          <w:p>
            <w:pPr>
              <w:spacing w:after="0"/>
              <w:rPr>
                <w:sz w:val="13"/>
                <w:szCs w:val="13"/>
                <w:color w:val="auto"/>
              </w:rPr>
            </w:pPr>
          </w:p>
        </w:tc>
        <w:tc>
          <w:tcPr>
            <w:tcW w:w="1540" w:type="dxa"/>
            <w:vAlign w:val="bottom"/>
            <w:gridSpan w:val="3"/>
            <w:shd w:val="clear" w:color="auto" w:fill="9ADAF6"/>
          </w:tcPr>
          <w:p>
            <w:pPr>
              <w:jc w:val="center"/>
              <w:spacing w:after="0" w:line="159" w:lineRule="exact"/>
              <w:rPr>
                <w:sz w:val="20"/>
                <w:szCs w:val="20"/>
                <w:color w:val="auto"/>
              </w:rPr>
            </w:pPr>
            <w:r>
              <w:rPr>
                <w:rFonts w:ascii="Arial" w:cs="Arial" w:eastAsia="Arial" w:hAnsi="Arial"/>
                <w:sz w:val="17"/>
                <w:szCs w:val="17"/>
                <w:b w:val="1"/>
                <w:bCs w:val="1"/>
                <w:color w:val="auto"/>
                <w:w w:val="99"/>
              </w:rPr>
              <w:t>Unsold Aggregate</w:t>
            </w:r>
          </w:p>
        </w:tc>
        <w:tc>
          <w:tcPr>
            <w:tcW w:w="8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 Paid</w:t>
            </w:r>
          </w:p>
        </w:tc>
        <w:tc>
          <w:tcPr>
            <w:tcW w:w="0" w:type="dxa"/>
            <w:vAlign w:val="bottom"/>
          </w:tcPr>
          <w:p>
            <w:pPr>
              <w:spacing w:after="0"/>
              <w:rPr>
                <w:sz w:val="1"/>
                <w:szCs w:val="1"/>
                <w:color w:val="auto"/>
              </w:rPr>
            </w:pPr>
          </w:p>
        </w:tc>
      </w:tr>
      <w:tr>
        <w:trPr>
          <w:trHeight w:val="167"/>
        </w:trPr>
        <w:tc>
          <w:tcPr>
            <w:tcW w:w="760" w:type="dxa"/>
            <w:vAlign w:val="bottom"/>
            <w:tcBorders>
              <w:left w:val="single" w:sz="8" w:color="auto"/>
            </w:tcBorders>
            <w:shd w:val="clear" w:color="auto" w:fill="9ADAF6"/>
          </w:tcPr>
          <w:p>
            <w:pPr>
              <w:spacing w:after="0"/>
              <w:rPr>
                <w:sz w:val="14"/>
                <w:szCs w:val="14"/>
                <w:color w:val="auto"/>
              </w:rPr>
            </w:pPr>
          </w:p>
        </w:tc>
        <w:tc>
          <w:tcPr>
            <w:tcW w:w="1040" w:type="dxa"/>
            <w:vAlign w:val="bottom"/>
            <w:gridSpan w:val="2"/>
            <w:vMerge w:val="continue"/>
            <w:shd w:val="clear" w:color="auto" w:fill="9ADAF6"/>
          </w:tcPr>
          <w:p>
            <w:pPr>
              <w:spacing w:after="0"/>
              <w:rPr>
                <w:sz w:val="14"/>
                <w:szCs w:val="14"/>
                <w:color w:val="auto"/>
              </w:rPr>
            </w:pPr>
          </w:p>
        </w:tc>
        <w:tc>
          <w:tcPr>
            <w:tcW w:w="580" w:type="dxa"/>
            <w:vAlign w:val="bottom"/>
            <w:vMerge w:val="continue"/>
            <w:shd w:val="clear" w:color="auto" w:fill="9ADAF6"/>
          </w:tcPr>
          <w:p>
            <w:pPr>
              <w:spacing w:after="0"/>
              <w:rPr>
                <w:sz w:val="14"/>
                <w:szCs w:val="14"/>
                <w:color w:val="auto"/>
              </w:rPr>
            </w:pPr>
          </w:p>
        </w:tc>
        <w:tc>
          <w:tcPr>
            <w:tcW w:w="740" w:type="dxa"/>
            <w:vAlign w:val="bottom"/>
            <w:vMerge w:val="restart"/>
            <w:shd w:val="clear" w:color="auto" w:fill="9ADAF6"/>
          </w:tcPr>
          <w:p>
            <w:pPr>
              <w:ind w:left="240"/>
              <w:spacing w:after="0"/>
              <w:rPr>
                <w:sz w:val="20"/>
                <w:szCs w:val="20"/>
                <w:color w:val="auto"/>
              </w:rPr>
            </w:pPr>
            <w:r>
              <w:rPr>
                <w:rFonts w:ascii="Arial" w:cs="Arial" w:eastAsia="Arial" w:hAnsi="Arial"/>
                <w:sz w:val="17"/>
                <w:szCs w:val="17"/>
                <w:b w:val="1"/>
                <w:bCs w:val="1"/>
                <w:color w:val="auto"/>
              </w:rPr>
              <w:t>File</w:t>
            </w:r>
          </w:p>
        </w:tc>
        <w:tc>
          <w:tcPr>
            <w:tcW w:w="540" w:type="dxa"/>
            <w:vAlign w:val="bottom"/>
            <w:vMerge w:val="continue"/>
            <w:shd w:val="clear" w:color="auto" w:fill="9ADAF6"/>
          </w:tcPr>
          <w:p>
            <w:pPr>
              <w:spacing w:after="0"/>
              <w:rPr>
                <w:sz w:val="14"/>
                <w:szCs w:val="14"/>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740" w:type="dxa"/>
            <w:vAlign w:val="bottom"/>
            <w:vMerge w:val="continue"/>
            <w:shd w:val="clear" w:color="auto" w:fill="9ADAF6"/>
          </w:tcPr>
          <w:p>
            <w:pPr>
              <w:spacing w:after="0"/>
              <w:rPr>
                <w:sz w:val="14"/>
                <w:szCs w:val="14"/>
                <w:color w:val="auto"/>
              </w:rPr>
            </w:pPr>
          </w:p>
        </w:tc>
        <w:tc>
          <w:tcPr>
            <w:tcW w:w="1320" w:type="dxa"/>
            <w:vAlign w:val="bottom"/>
            <w:vMerge w:val="continue"/>
            <w:shd w:val="clear" w:color="auto" w:fill="9ADAF6"/>
          </w:tcPr>
          <w:p>
            <w:pPr>
              <w:spacing w:after="0"/>
              <w:rPr>
                <w:sz w:val="14"/>
                <w:szCs w:val="14"/>
                <w:color w:val="auto"/>
              </w:rPr>
            </w:pPr>
          </w:p>
        </w:tc>
        <w:tc>
          <w:tcPr>
            <w:tcW w:w="1280" w:type="dxa"/>
            <w:vAlign w:val="bottom"/>
            <w:vMerge w:val="continue"/>
            <w:shd w:val="clear" w:color="auto" w:fill="9ADAF6"/>
          </w:tcPr>
          <w:p>
            <w:pPr>
              <w:spacing w:after="0"/>
              <w:rPr>
                <w:sz w:val="14"/>
                <w:szCs w:val="14"/>
                <w:color w:val="auto"/>
              </w:rPr>
            </w:pPr>
          </w:p>
        </w:tc>
        <w:tc>
          <w:tcPr>
            <w:tcW w:w="130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Securities</w:t>
            </w:r>
          </w:p>
        </w:tc>
        <w:tc>
          <w:tcPr>
            <w:tcW w:w="154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Offering Amount</w:t>
            </w:r>
          </w:p>
        </w:tc>
        <w:tc>
          <w:tcPr>
            <w:tcW w:w="8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60" w:type="dxa"/>
            <w:vAlign w:val="bottom"/>
            <w:tcBorders>
              <w:left w:val="single" w:sz="8" w:color="auto"/>
            </w:tcBorders>
            <w:shd w:val="clear" w:color="auto" w:fill="9ADAF6"/>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840" w:type="dxa"/>
            <w:vAlign w:val="bottom"/>
            <w:shd w:val="clear" w:color="auto" w:fill="9ADAF6"/>
          </w:tcPr>
          <w:p>
            <w:pPr>
              <w:jc w:val="center"/>
              <w:ind w:right="55"/>
              <w:spacing w:after="0" w:line="180" w:lineRule="exact"/>
              <w:rPr>
                <w:sz w:val="20"/>
                <w:szCs w:val="20"/>
                <w:color w:val="auto"/>
              </w:rPr>
            </w:pPr>
            <w:r>
              <w:rPr>
                <w:rFonts w:ascii="Arial" w:cs="Arial" w:eastAsia="Arial" w:hAnsi="Arial"/>
                <w:sz w:val="17"/>
                <w:szCs w:val="17"/>
                <w:b w:val="1"/>
                <w:bCs w:val="1"/>
                <w:color w:val="auto"/>
              </w:rPr>
              <w:t>or Filer</w:t>
            </w:r>
          </w:p>
        </w:tc>
        <w:tc>
          <w:tcPr>
            <w:tcW w:w="580" w:type="dxa"/>
            <w:vAlign w:val="bottom"/>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rPr>
              <w:t>or</w:t>
            </w:r>
          </w:p>
        </w:tc>
        <w:tc>
          <w:tcPr>
            <w:tcW w:w="740" w:type="dxa"/>
            <w:vAlign w:val="bottom"/>
            <w:vMerge w:val="continue"/>
            <w:shd w:val="clear" w:color="auto" w:fill="9ADAF6"/>
          </w:tcPr>
          <w:p>
            <w:pPr>
              <w:spacing w:after="0"/>
              <w:rPr>
                <w:sz w:val="15"/>
                <w:szCs w:val="15"/>
                <w:color w:val="auto"/>
              </w:rPr>
            </w:pPr>
          </w:p>
        </w:tc>
        <w:tc>
          <w:tcPr>
            <w:tcW w:w="540" w:type="dxa"/>
            <w:vAlign w:val="bottom"/>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rPr>
              <w:t>Filing</w:t>
            </w:r>
          </w:p>
        </w:tc>
        <w:tc>
          <w:tcPr>
            <w:tcW w:w="560" w:type="dxa"/>
            <w:vAlign w:val="bottom"/>
            <w:vMerge w:val="continue"/>
            <w:shd w:val="clear" w:color="auto" w:fill="9ADAF6"/>
          </w:tcPr>
          <w:p>
            <w:pPr>
              <w:spacing w:after="0"/>
              <w:rPr>
                <w:sz w:val="15"/>
                <w:szCs w:val="15"/>
                <w:color w:val="auto"/>
              </w:rPr>
            </w:pPr>
          </w:p>
        </w:tc>
        <w:tc>
          <w:tcPr>
            <w:tcW w:w="740" w:type="dxa"/>
            <w:vAlign w:val="bottom"/>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rPr>
              <w:t>Offset</w:t>
            </w:r>
          </w:p>
        </w:tc>
        <w:tc>
          <w:tcPr>
            <w:tcW w:w="1320" w:type="dxa"/>
            <w:vAlign w:val="bottom"/>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rPr>
              <w:t>Associated</w:t>
            </w:r>
          </w:p>
        </w:tc>
        <w:tc>
          <w:tcPr>
            <w:tcW w:w="1280" w:type="dxa"/>
            <w:vAlign w:val="bottom"/>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w w:val="99"/>
              </w:rPr>
              <w:t>Associated</w:t>
            </w:r>
          </w:p>
        </w:tc>
        <w:tc>
          <w:tcPr>
            <w:tcW w:w="1300" w:type="dxa"/>
            <w:vAlign w:val="bottom"/>
            <w:gridSpan w:val="2"/>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w w:val="99"/>
              </w:rPr>
              <w:t>Associated</w:t>
            </w:r>
          </w:p>
        </w:tc>
        <w:tc>
          <w:tcPr>
            <w:tcW w:w="1540" w:type="dxa"/>
            <w:vAlign w:val="bottom"/>
            <w:gridSpan w:val="3"/>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rPr>
              <w:t>Associated with</w:t>
            </w:r>
          </w:p>
        </w:tc>
        <w:tc>
          <w:tcPr>
            <w:tcW w:w="860" w:type="dxa"/>
            <w:vAlign w:val="bottom"/>
            <w:tcBorders>
              <w:right w:val="single" w:sz="8" w:color="auto"/>
            </w:tcBorders>
            <w:shd w:val="clear" w:color="auto" w:fill="9ADAF6"/>
          </w:tcPr>
          <w:p>
            <w:pPr>
              <w:jc w:val="center"/>
              <w:spacing w:after="0" w:line="180" w:lineRule="exact"/>
              <w:rPr>
                <w:sz w:val="20"/>
                <w:szCs w:val="20"/>
                <w:color w:val="auto"/>
              </w:rPr>
            </w:pPr>
            <w:r>
              <w:rPr>
                <w:rFonts w:ascii="Arial" w:cs="Arial" w:eastAsia="Arial" w:hAnsi="Arial"/>
                <w:sz w:val="17"/>
                <w:szCs w:val="17"/>
                <w:b w:val="1"/>
                <w:bCs w:val="1"/>
                <w:color w:val="auto"/>
                <w:w w:val="99"/>
              </w:rPr>
              <w:t>with Fee</w:t>
            </w:r>
          </w:p>
        </w:tc>
        <w:tc>
          <w:tcPr>
            <w:tcW w:w="0" w:type="dxa"/>
            <w:vAlign w:val="bottom"/>
          </w:tcPr>
          <w:p>
            <w:pPr>
              <w:spacing w:after="0"/>
              <w:rPr>
                <w:sz w:val="1"/>
                <w:szCs w:val="1"/>
                <w:color w:val="auto"/>
              </w:rPr>
            </w:pPr>
          </w:p>
        </w:tc>
      </w:tr>
      <w:tr>
        <w:trPr>
          <w:trHeight w:val="167"/>
        </w:trPr>
        <w:tc>
          <w:tcPr>
            <w:tcW w:w="760" w:type="dxa"/>
            <w:vAlign w:val="bottom"/>
            <w:tcBorders>
              <w:left w:val="single" w:sz="8" w:color="auto"/>
            </w:tcBorders>
            <w:shd w:val="clear" w:color="auto" w:fill="9ADAF6"/>
          </w:tcPr>
          <w:p>
            <w:pPr>
              <w:spacing w:after="0"/>
              <w:rPr>
                <w:sz w:val="14"/>
                <w:szCs w:val="14"/>
                <w:color w:val="auto"/>
              </w:rPr>
            </w:pPr>
          </w:p>
        </w:tc>
        <w:tc>
          <w:tcPr>
            <w:tcW w:w="200" w:type="dxa"/>
            <w:vAlign w:val="bottom"/>
            <w:shd w:val="clear" w:color="auto" w:fill="9ADAF6"/>
          </w:tcPr>
          <w:p>
            <w:pPr>
              <w:spacing w:after="0"/>
              <w:rPr>
                <w:sz w:val="14"/>
                <w:szCs w:val="14"/>
                <w:color w:val="auto"/>
              </w:rPr>
            </w:pPr>
          </w:p>
        </w:tc>
        <w:tc>
          <w:tcPr>
            <w:tcW w:w="840" w:type="dxa"/>
            <w:vAlign w:val="bottom"/>
            <w:shd w:val="clear" w:color="auto" w:fill="9ADAF6"/>
          </w:tcPr>
          <w:p>
            <w:pPr>
              <w:jc w:val="center"/>
              <w:ind w:right="55"/>
              <w:spacing w:after="0" w:line="167" w:lineRule="exact"/>
              <w:rPr>
                <w:sz w:val="20"/>
                <w:szCs w:val="20"/>
                <w:color w:val="auto"/>
              </w:rPr>
            </w:pPr>
            <w:r>
              <w:rPr>
                <w:rFonts w:ascii="Arial" w:cs="Arial" w:eastAsia="Arial" w:hAnsi="Arial"/>
                <w:sz w:val="17"/>
                <w:szCs w:val="17"/>
                <w:b w:val="1"/>
                <w:bCs w:val="1"/>
                <w:color w:val="auto"/>
                <w:w w:val="99"/>
              </w:rPr>
              <w:t>Name</w:t>
            </w:r>
          </w:p>
        </w:tc>
        <w:tc>
          <w:tcPr>
            <w:tcW w:w="5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Filing</w:t>
            </w:r>
          </w:p>
        </w:tc>
        <w:tc>
          <w:tcPr>
            <w:tcW w:w="740" w:type="dxa"/>
            <w:vAlign w:val="bottom"/>
            <w:shd w:val="clear" w:color="auto" w:fill="9ADAF6"/>
          </w:tcPr>
          <w:p>
            <w:pPr>
              <w:ind w:left="60"/>
              <w:spacing w:after="0" w:line="167" w:lineRule="exact"/>
              <w:rPr>
                <w:sz w:val="20"/>
                <w:szCs w:val="20"/>
                <w:color w:val="auto"/>
              </w:rPr>
            </w:pPr>
            <w:r>
              <w:rPr>
                <w:rFonts w:ascii="Arial" w:cs="Arial" w:eastAsia="Arial" w:hAnsi="Arial"/>
                <w:sz w:val="17"/>
                <w:szCs w:val="17"/>
                <w:b w:val="1"/>
                <w:bCs w:val="1"/>
                <w:color w:val="auto"/>
              </w:rPr>
              <w:t>Number</w:t>
            </w:r>
          </w:p>
        </w:tc>
        <w:tc>
          <w:tcPr>
            <w:tcW w:w="5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Date</w:t>
            </w:r>
          </w:p>
        </w:tc>
        <w:tc>
          <w:tcPr>
            <w:tcW w:w="5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Date</w:t>
            </w:r>
          </w:p>
        </w:tc>
        <w:tc>
          <w:tcPr>
            <w:tcW w:w="7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Claimed</w:t>
            </w:r>
          </w:p>
        </w:tc>
        <w:tc>
          <w:tcPr>
            <w:tcW w:w="2600" w:type="dxa"/>
            <w:vAlign w:val="bottom"/>
            <w:gridSpan w:val="2"/>
            <w:shd w:val="clear" w:color="auto" w:fill="9ADAF6"/>
          </w:tcPr>
          <w:p>
            <w:pPr>
              <w:ind w:left="60"/>
              <w:spacing w:after="0" w:line="167" w:lineRule="exact"/>
              <w:rPr>
                <w:sz w:val="20"/>
                <w:szCs w:val="20"/>
                <w:color w:val="auto"/>
              </w:rPr>
            </w:pPr>
            <w:r>
              <w:rPr>
                <w:rFonts w:ascii="Arial" w:cs="Arial" w:eastAsia="Arial" w:hAnsi="Arial"/>
                <w:sz w:val="17"/>
                <w:szCs w:val="17"/>
                <w:b w:val="1"/>
                <w:bCs w:val="1"/>
                <w:color w:val="auto"/>
              </w:rPr>
              <w:t>with Fee Offset with Fee Offset</w:t>
            </w:r>
          </w:p>
        </w:tc>
        <w:tc>
          <w:tcPr>
            <w:tcW w:w="130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with Fee Offset</w:t>
            </w:r>
          </w:p>
        </w:tc>
        <w:tc>
          <w:tcPr>
            <w:tcW w:w="260" w:type="dxa"/>
            <w:vAlign w:val="bottom"/>
            <w:shd w:val="clear" w:color="auto" w:fill="9ADAF6"/>
          </w:tcPr>
          <w:p>
            <w:pPr>
              <w:spacing w:after="0"/>
              <w:rPr>
                <w:sz w:val="14"/>
                <w:szCs w:val="14"/>
                <w:color w:val="auto"/>
              </w:rPr>
            </w:pPr>
          </w:p>
        </w:tc>
        <w:tc>
          <w:tcPr>
            <w:tcW w:w="1280" w:type="dxa"/>
            <w:vAlign w:val="bottom"/>
            <w:gridSpan w:val="2"/>
            <w:shd w:val="clear" w:color="auto" w:fill="9ADAF6"/>
          </w:tcPr>
          <w:p>
            <w:pPr>
              <w:jc w:val="center"/>
              <w:ind w:right="175"/>
              <w:spacing w:after="0" w:line="167" w:lineRule="exact"/>
              <w:rPr>
                <w:sz w:val="20"/>
                <w:szCs w:val="20"/>
                <w:color w:val="auto"/>
              </w:rPr>
            </w:pPr>
            <w:r>
              <w:rPr>
                <w:rFonts w:ascii="Arial" w:cs="Arial" w:eastAsia="Arial" w:hAnsi="Arial"/>
                <w:sz w:val="17"/>
                <w:szCs w:val="17"/>
                <w:b w:val="1"/>
                <w:bCs w:val="1"/>
                <w:color w:val="auto"/>
                <w:w w:val="98"/>
              </w:rPr>
              <w:t>Fee Offset</w:t>
            </w:r>
          </w:p>
        </w:tc>
        <w:tc>
          <w:tcPr>
            <w:tcW w:w="8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Offset</w:t>
            </w:r>
          </w:p>
        </w:tc>
        <w:tc>
          <w:tcPr>
            <w:tcW w:w="0" w:type="dxa"/>
            <w:vAlign w:val="bottom"/>
          </w:tcPr>
          <w:p>
            <w:pPr>
              <w:spacing w:after="0"/>
              <w:rPr>
                <w:sz w:val="1"/>
                <w:szCs w:val="1"/>
                <w:color w:val="auto"/>
              </w:rPr>
            </w:pPr>
          </w:p>
        </w:tc>
      </w:tr>
      <w:tr>
        <w:trPr>
          <w:trHeight w:val="167"/>
        </w:trPr>
        <w:tc>
          <w:tcPr>
            <w:tcW w:w="760" w:type="dxa"/>
            <w:vAlign w:val="bottom"/>
            <w:tcBorders>
              <w:left w:val="single" w:sz="8" w:color="auto"/>
            </w:tcBorders>
            <w:shd w:val="clear" w:color="auto" w:fill="9ADAF6"/>
          </w:tcPr>
          <w:p>
            <w:pPr>
              <w:spacing w:after="0"/>
              <w:rPr>
                <w:sz w:val="14"/>
                <w:szCs w:val="14"/>
                <w:color w:val="auto"/>
              </w:rPr>
            </w:pPr>
          </w:p>
        </w:tc>
        <w:tc>
          <w:tcPr>
            <w:tcW w:w="200" w:type="dxa"/>
            <w:vAlign w:val="bottom"/>
            <w:shd w:val="clear" w:color="auto" w:fill="9ADAF6"/>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5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5"/>
              </w:rPr>
              <w:t>Type</w:t>
            </w:r>
          </w:p>
        </w:tc>
        <w:tc>
          <w:tcPr>
            <w:tcW w:w="74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13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Claimed</w:t>
            </w:r>
          </w:p>
        </w:tc>
        <w:tc>
          <w:tcPr>
            <w:tcW w:w="12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Claimed</w:t>
            </w:r>
          </w:p>
        </w:tc>
        <w:tc>
          <w:tcPr>
            <w:tcW w:w="1000" w:type="dxa"/>
            <w:vAlign w:val="bottom"/>
            <w:vMerge w:val="restart"/>
            <w:shd w:val="clear" w:color="auto" w:fill="9ADAF6"/>
          </w:tcPr>
          <w:p>
            <w:pPr>
              <w:jc w:val="center"/>
              <w:ind w:left="215"/>
              <w:spacing w:after="0"/>
              <w:rPr>
                <w:sz w:val="20"/>
                <w:szCs w:val="20"/>
                <w:color w:val="auto"/>
              </w:rPr>
            </w:pPr>
            <w:r>
              <w:rPr>
                <w:rFonts w:ascii="Arial" w:cs="Arial" w:eastAsia="Arial" w:hAnsi="Arial"/>
                <w:sz w:val="17"/>
                <w:szCs w:val="17"/>
                <w:b w:val="1"/>
                <w:bCs w:val="1"/>
                <w:color w:val="auto"/>
                <w:w w:val="99"/>
              </w:rPr>
              <w:t>Claimed</w:t>
            </w:r>
          </w:p>
        </w:tc>
        <w:tc>
          <w:tcPr>
            <w:tcW w:w="300" w:type="dxa"/>
            <w:vAlign w:val="bottom"/>
            <w:shd w:val="clear" w:color="auto" w:fill="9ADAF6"/>
          </w:tcPr>
          <w:p>
            <w:pPr>
              <w:spacing w:after="0"/>
              <w:rPr>
                <w:sz w:val="14"/>
                <w:szCs w:val="14"/>
                <w:color w:val="auto"/>
              </w:rPr>
            </w:pPr>
          </w:p>
        </w:tc>
        <w:tc>
          <w:tcPr>
            <w:tcW w:w="260" w:type="dxa"/>
            <w:vAlign w:val="bottom"/>
            <w:shd w:val="clear" w:color="auto" w:fill="9ADAF6"/>
          </w:tcPr>
          <w:p>
            <w:pPr>
              <w:spacing w:after="0"/>
              <w:rPr>
                <w:sz w:val="14"/>
                <w:szCs w:val="14"/>
                <w:color w:val="auto"/>
              </w:rPr>
            </w:pPr>
          </w:p>
        </w:tc>
        <w:tc>
          <w:tcPr>
            <w:tcW w:w="1280" w:type="dxa"/>
            <w:vAlign w:val="bottom"/>
            <w:gridSpan w:val="2"/>
            <w:vMerge w:val="restart"/>
            <w:shd w:val="clear" w:color="auto" w:fill="9ADAF6"/>
          </w:tcPr>
          <w:p>
            <w:pPr>
              <w:jc w:val="center"/>
              <w:ind w:right="175"/>
              <w:spacing w:after="0"/>
              <w:rPr>
                <w:sz w:val="20"/>
                <w:szCs w:val="20"/>
                <w:color w:val="auto"/>
              </w:rPr>
            </w:pPr>
            <w:r>
              <w:rPr>
                <w:rFonts w:ascii="Arial" w:cs="Arial" w:eastAsia="Arial" w:hAnsi="Arial"/>
                <w:sz w:val="17"/>
                <w:szCs w:val="17"/>
                <w:b w:val="1"/>
                <w:bCs w:val="1"/>
                <w:color w:val="auto"/>
                <w:w w:val="99"/>
              </w:rPr>
              <w:t>Claimed</w:t>
            </w:r>
          </w:p>
        </w:tc>
        <w:tc>
          <w:tcPr>
            <w:tcW w:w="8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Source</w:t>
            </w:r>
          </w:p>
        </w:tc>
        <w:tc>
          <w:tcPr>
            <w:tcW w:w="0" w:type="dxa"/>
            <w:vAlign w:val="bottom"/>
          </w:tcPr>
          <w:p>
            <w:pPr>
              <w:spacing w:after="0"/>
              <w:rPr>
                <w:sz w:val="1"/>
                <w:szCs w:val="1"/>
                <w:color w:val="auto"/>
              </w:rPr>
            </w:pPr>
          </w:p>
        </w:tc>
      </w:tr>
      <w:tr>
        <w:trPr>
          <w:trHeight w:val="64"/>
        </w:trPr>
        <w:tc>
          <w:tcPr>
            <w:tcW w:w="760" w:type="dxa"/>
            <w:vAlign w:val="bottom"/>
            <w:tcBorders>
              <w:left w:val="single" w:sz="8" w:color="auto"/>
            </w:tcBorders>
            <w:shd w:val="clear" w:color="auto" w:fill="9ADAF6"/>
          </w:tcPr>
          <w:p>
            <w:pPr>
              <w:spacing w:after="0"/>
              <w:rPr>
                <w:sz w:val="5"/>
                <w:szCs w:val="5"/>
                <w:color w:val="auto"/>
              </w:rPr>
            </w:pPr>
          </w:p>
        </w:tc>
        <w:tc>
          <w:tcPr>
            <w:tcW w:w="200" w:type="dxa"/>
            <w:vAlign w:val="bottom"/>
            <w:shd w:val="clear" w:color="auto" w:fill="9ADAF6"/>
          </w:tcPr>
          <w:p>
            <w:pPr>
              <w:spacing w:after="0"/>
              <w:rPr>
                <w:sz w:val="5"/>
                <w:szCs w:val="5"/>
                <w:color w:val="auto"/>
              </w:rPr>
            </w:pPr>
          </w:p>
        </w:tc>
        <w:tc>
          <w:tcPr>
            <w:tcW w:w="840" w:type="dxa"/>
            <w:vAlign w:val="bottom"/>
            <w:shd w:val="clear" w:color="auto" w:fill="9ADAF6"/>
          </w:tcPr>
          <w:p>
            <w:pPr>
              <w:spacing w:after="0"/>
              <w:rPr>
                <w:sz w:val="5"/>
                <w:szCs w:val="5"/>
                <w:color w:val="auto"/>
              </w:rPr>
            </w:pPr>
          </w:p>
        </w:tc>
        <w:tc>
          <w:tcPr>
            <w:tcW w:w="580" w:type="dxa"/>
            <w:vAlign w:val="bottom"/>
            <w:shd w:val="clear" w:color="auto" w:fill="9ADAF6"/>
          </w:tcPr>
          <w:p>
            <w:pPr>
              <w:spacing w:after="0"/>
              <w:rPr>
                <w:sz w:val="5"/>
                <w:szCs w:val="5"/>
                <w:color w:val="auto"/>
              </w:rPr>
            </w:pPr>
          </w:p>
        </w:tc>
        <w:tc>
          <w:tcPr>
            <w:tcW w:w="740" w:type="dxa"/>
            <w:vAlign w:val="bottom"/>
            <w:shd w:val="clear" w:color="auto" w:fill="9ADAF6"/>
          </w:tcPr>
          <w:p>
            <w:pPr>
              <w:spacing w:after="0"/>
              <w:rPr>
                <w:sz w:val="5"/>
                <w:szCs w:val="5"/>
                <w:color w:val="auto"/>
              </w:rPr>
            </w:pPr>
          </w:p>
        </w:tc>
        <w:tc>
          <w:tcPr>
            <w:tcW w:w="540" w:type="dxa"/>
            <w:vAlign w:val="bottom"/>
            <w:shd w:val="clear" w:color="auto" w:fill="9ADAF6"/>
          </w:tcPr>
          <w:p>
            <w:pPr>
              <w:spacing w:after="0"/>
              <w:rPr>
                <w:sz w:val="5"/>
                <w:szCs w:val="5"/>
                <w:color w:val="auto"/>
              </w:rPr>
            </w:pPr>
          </w:p>
        </w:tc>
        <w:tc>
          <w:tcPr>
            <w:tcW w:w="560" w:type="dxa"/>
            <w:vAlign w:val="bottom"/>
            <w:shd w:val="clear" w:color="auto" w:fill="9ADAF6"/>
          </w:tcPr>
          <w:p>
            <w:pPr>
              <w:spacing w:after="0"/>
              <w:rPr>
                <w:sz w:val="5"/>
                <w:szCs w:val="5"/>
                <w:color w:val="auto"/>
              </w:rPr>
            </w:pPr>
          </w:p>
        </w:tc>
        <w:tc>
          <w:tcPr>
            <w:tcW w:w="740" w:type="dxa"/>
            <w:vAlign w:val="bottom"/>
            <w:shd w:val="clear" w:color="auto" w:fill="9ADAF6"/>
          </w:tcPr>
          <w:p>
            <w:pPr>
              <w:spacing w:after="0"/>
              <w:rPr>
                <w:sz w:val="5"/>
                <w:szCs w:val="5"/>
                <w:color w:val="auto"/>
              </w:rPr>
            </w:pPr>
          </w:p>
        </w:tc>
        <w:tc>
          <w:tcPr>
            <w:tcW w:w="1320" w:type="dxa"/>
            <w:vAlign w:val="bottom"/>
            <w:shd w:val="clear" w:color="auto" w:fill="9ADAF6"/>
          </w:tcPr>
          <w:p>
            <w:pPr>
              <w:spacing w:after="0"/>
              <w:rPr>
                <w:sz w:val="5"/>
                <w:szCs w:val="5"/>
                <w:color w:val="auto"/>
              </w:rPr>
            </w:pPr>
          </w:p>
        </w:tc>
        <w:tc>
          <w:tcPr>
            <w:tcW w:w="1280" w:type="dxa"/>
            <w:vAlign w:val="bottom"/>
            <w:shd w:val="clear" w:color="auto" w:fill="9ADAF6"/>
          </w:tcPr>
          <w:p>
            <w:pPr>
              <w:spacing w:after="0"/>
              <w:rPr>
                <w:sz w:val="5"/>
                <w:szCs w:val="5"/>
                <w:color w:val="auto"/>
              </w:rPr>
            </w:pPr>
          </w:p>
        </w:tc>
        <w:tc>
          <w:tcPr>
            <w:tcW w:w="1000" w:type="dxa"/>
            <w:vAlign w:val="bottom"/>
            <w:vMerge w:val="continue"/>
            <w:shd w:val="clear" w:color="auto" w:fill="9ADAF6"/>
          </w:tcPr>
          <w:p>
            <w:pPr>
              <w:spacing w:after="0"/>
              <w:rPr>
                <w:sz w:val="5"/>
                <w:szCs w:val="5"/>
                <w:color w:val="auto"/>
              </w:rPr>
            </w:pPr>
          </w:p>
        </w:tc>
        <w:tc>
          <w:tcPr>
            <w:tcW w:w="300" w:type="dxa"/>
            <w:vAlign w:val="bottom"/>
            <w:shd w:val="clear" w:color="auto" w:fill="9ADAF6"/>
          </w:tcPr>
          <w:p>
            <w:pPr>
              <w:spacing w:after="0"/>
              <w:rPr>
                <w:sz w:val="5"/>
                <w:szCs w:val="5"/>
                <w:color w:val="auto"/>
              </w:rPr>
            </w:pPr>
          </w:p>
        </w:tc>
        <w:tc>
          <w:tcPr>
            <w:tcW w:w="260" w:type="dxa"/>
            <w:vAlign w:val="bottom"/>
            <w:shd w:val="clear" w:color="auto" w:fill="9ADAF6"/>
          </w:tcPr>
          <w:p>
            <w:pPr>
              <w:spacing w:after="0"/>
              <w:rPr>
                <w:sz w:val="5"/>
                <w:szCs w:val="5"/>
                <w:color w:val="auto"/>
              </w:rPr>
            </w:pPr>
          </w:p>
        </w:tc>
        <w:tc>
          <w:tcPr>
            <w:tcW w:w="1280" w:type="dxa"/>
            <w:vAlign w:val="bottom"/>
            <w:gridSpan w:val="2"/>
            <w:vMerge w:val="continue"/>
            <w:shd w:val="clear" w:color="auto" w:fill="9ADAF6"/>
          </w:tcPr>
          <w:p>
            <w:pPr>
              <w:spacing w:after="0"/>
              <w:rPr>
                <w:sz w:val="5"/>
                <w:szCs w:val="5"/>
                <w:color w:val="auto"/>
              </w:rPr>
            </w:pPr>
          </w:p>
        </w:tc>
        <w:tc>
          <w:tcPr>
            <w:tcW w:w="860" w:type="dxa"/>
            <w:vAlign w:val="bottom"/>
            <w:tcBorders>
              <w:right w:val="single" w:sz="8" w:color="auto"/>
            </w:tcBorders>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76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40" w:type="dxa"/>
            <w:vAlign w:val="bottom"/>
            <w:gridSpan w:val="3"/>
          </w:tcPr>
          <w:p>
            <w:pPr>
              <w:jc w:val="center"/>
              <w:ind w:right="435"/>
              <w:spacing w:after="0"/>
              <w:rPr>
                <w:sz w:val="20"/>
                <w:szCs w:val="20"/>
                <w:color w:val="auto"/>
              </w:rPr>
            </w:pPr>
            <w:r>
              <w:rPr>
                <w:rFonts w:ascii="Arial" w:cs="Arial" w:eastAsia="Arial" w:hAnsi="Arial"/>
                <w:sz w:val="17"/>
                <w:szCs w:val="17"/>
                <w:b w:val="1"/>
                <w:bCs w:val="1"/>
                <w:color w:val="auto"/>
              </w:rPr>
              <w:t>Rules 457(b) and 0-11(a)(2)</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tcBorders>
            <w:shd w:val="clear" w:color="auto" w:fill="E7E7E2"/>
          </w:tcPr>
          <w:p>
            <w:pPr>
              <w:ind w:left="40"/>
              <w:spacing w:after="0" w:line="167" w:lineRule="exact"/>
              <w:rPr>
                <w:sz w:val="20"/>
                <w:szCs w:val="20"/>
                <w:color w:val="auto"/>
              </w:rPr>
            </w:pPr>
            <w:r>
              <w:rPr>
                <w:rFonts w:ascii="Arial" w:cs="Arial" w:eastAsia="Arial" w:hAnsi="Arial"/>
                <w:sz w:val="17"/>
                <w:szCs w:val="17"/>
                <w:color w:val="auto"/>
              </w:rPr>
              <w:t>Fee</w:t>
            </w:r>
          </w:p>
        </w:tc>
        <w:tc>
          <w:tcPr>
            <w:tcW w:w="200" w:type="dxa"/>
            <w:vAlign w:val="bottom"/>
            <w:shd w:val="clear" w:color="auto" w:fill="E7E7E2"/>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580" w:type="dxa"/>
            <w:vAlign w:val="bottom"/>
            <w:shd w:val="clear" w:color="auto" w:fill="E7E7E2"/>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540" w:type="dxa"/>
            <w:vAlign w:val="bottom"/>
            <w:shd w:val="clear" w:color="auto" w:fill="E7E7E2"/>
          </w:tcPr>
          <w:p>
            <w:pPr>
              <w:spacing w:after="0"/>
              <w:rPr>
                <w:sz w:val="14"/>
                <w:szCs w:val="14"/>
                <w:color w:val="auto"/>
              </w:rPr>
            </w:pPr>
          </w:p>
        </w:tc>
        <w:tc>
          <w:tcPr>
            <w:tcW w:w="560" w:type="dxa"/>
            <w:vAlign w:val="bottom"/>
            <w:shd w:val="clear" w:color="auto" w:fill="E7E7E2"/>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320" w:type="dxa"/>
            <w:vAlign w:val="bottom"/>
            <w:shd w:val="clear" w:color="auto" w:fill="E7E7E2"/>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300" w:type="dxa"/>
            <w:vAlign w:val="bottom"/>
            <w:shd w:val="clear" w:color="auto" w:fill="E7E7E2"/>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600" w:type="dxa"/>
            <w:vAlign w:val="bottom"/>
            <w:shd w:val="clear" w:color="auto" w:fill="E7E7E2"/>
          </w:tcPr>
          <w:p>
            <w:pPr>
              <w:spacing w:after="0"/>
              <w:rPr>
                <w:sz w:val="14"/>
                <w:szCs w:val="14"/>
                <w:color w:val="auto"/>
              </w:rPr>
            </w:pPr>
          </w:p>
        </w:tc>
        <w:tc>
          <w:tcPr>
            <w:tcW w:w="8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left w:val="single" w:sz="8" w:color="auto"/>
            </w:tcBorders>
            <w:shd w:val="clear" w:color="auto" w:fill="E7E7E2"/>
          </w:tcPr>
          <w:p>
            <w:pPr>
              <w:ind w:left="40"/>
              <w:spacing w:after="0" w:line="176" w:lineRule="exact"/>
              <w:rPr>
                <w:sz w:val="20"/>
                <w:szCs w:val="20"/>
                <w:color w:val="auto"/>
              </w:rPr>
            </w:pPr>
            <w:r>
              <w:rPr>
                <w:rFonts w:ascii="Arial" w:cs="Arial" w:eastAsia="Arial" w:hAnsi="Arial"/>
                <w:sz w:val="17"/>
                <w:szCs w:val="17"/>
                <w:color w:val="auto"/>
              </w:rPr>
              <w:t>Offset</w:t>
            </w:r>
          </w:p>
        </w:tc>
        <w:tc>
          <w:tcPr>
            <w:tcW w:w="200" w:type="dxa"/>
            <w:vAlign w:val="bottom"/>
            <w:shd w:val="clear" w:color="auto" w:fill="E7E7E2"/>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8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6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7"/>
                <w:szCs w:val="17"/>
                <w:color w:val="auto"/>
              </w:rPr>
              <w:t>Claims</w:t>
            </w:r>
          </w:p>
        </w:tc>
        <w:tc>
          <w:tcPr>
            <w:tcW w:w="200" w:type="dxa"/>
            <w:vAlign w:val="bottom"/>
            <w:shd w:val="clear" w:color="auto" w:fill="E7E7E2"/>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8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tcBorders>
            <w:shd w:val="clear" w:color="auto" w:fill="E7E7E2"/>
          </w:tcPr>
          <w:p>
            <w:pPr>
              <w:ind w:left="40"/>
              <w:spacing w:after="0" w:line="167" w:lineRule="exact"/>
              <w:rPr>
                <w:sz w:val="20"/>
                <w:szCs w:val="20"/>
                <w:color w:val="auto"/>
              </w:rPr>
            </w:pPr>
            <w:r>
              <w:rPr>
                <w:rFonts w:ascii="Arial" w:cs="Arial" w:eastAsia="Arial" w:hAnsi="Arial"/>
                <w:sz w:val="17"/>
                <w:szCs w:val="17"/>
                <w:color w:val="auto"/>
              </w:rPr>
              <w:t>Fee</w:t>
            </w:r>
          </w:p>
        </w:tc>
        <w:tc>
          <w:tcPr>
            <w:tcW w:w="200" w:type="dxa"/>
            <w:vAlign w:val="bottom"/>
            <w:shd w:val="clear" w:color="auto" w:fill="E7E7E2"/>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580" w:type="dxa"/>
            <w:vAlign w:val="bottom"/>
            <w:shd w:val="clear" w:color="auto" w:fill="E7E7E2"/>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540" w:type="dxa"/>
            <w:vAlign w:val="bottom"/>
            <w:shd w:val="clear" w:color="auto" w:fill="E7E7E2"/>
          </w:tcPr>
          <w:p>
            <w:pPr>
              <w:spacing w:after="0"/>
              <w:rPr>
                <w:sz w:val="14"/>
                <w:szCs w:val="14"/>
                <w:color w:val="auto"/>
              </w:rPr>
            </w:pPr>
          </w:p>
        </w:tc>
        <w:tc>
          <w:tcPr>
            <w:tcW w:w="560" w:type="dxa"/>
            <w:vAlign w:val="bottom"/>
            <w:shd w:val="clear" w:color="auto" w:fill="E7E7E2"/>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320" w:type="dxa"/>
            <w:vAlign w:val="bottom"/>
            <w:shd w:val="clear" w:color="auto" w:fill="E7E7E2"/>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300" w:type="dxa"/>
            <w:vAlign w:val="bottom"/>
            <w:shd w:val="clear" w:color="auto" w:fill="E7E7E2"/>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600" w:type="dxa"/>
            <w:vAlign w:val="bottom"/>
            <w:shd w:val="clear" w:color="auto" w:fill="E7E7E2"/>
          </w:tcPr>
          <w:p>
            <w:pPr>
              <w:spacing w:after="0"/>
              <w:rPr>
                <w:sz w:val="14"/>
                <w:szCs w:val="14"/>
                <w:color w:val="auto"/>
              </w:rPr>
            </w:pPr>
          </w:p>
        </w:tc>
        <w:tc>
          <w:tcPr>
            <w:tcW w:w="8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left w:val="single" w:sz="8" w:color="auto"/>
            </w:tcBorders>
            <w:shd w:val="clear" w:color="auto" w:fill="E7E7E2"/>
          </w:tcPr>
          <w:p>
            <w:pPr>
              <w:ind w:left="40"/>
              <w:spacing w:after="0" w:line="176" w:lineRule="exact"/>
              <w:rPr>
                <w:sz w:val="20"/>
                <w:szCs w:val="20"/>
                <w:color w:val="auto"/>
              </w:rPr>
            </w:pPr>
            <w:r>
              <w:rPr>
                <w:rFonts w:ascii="Arial" w:cs="Arial" w:eastAsia="Arial" w:hAnsi="Arial"/>
                <w:sz w:val="17"/>
                <w:szCs w:val="17"/>
                <w:color w:val="auto"/>
              </w:rPr>
              <w:t>Offset</w:t>
            </w:r>
          </w:p>
        </w:tc>
        <w:tc>
          <w:tcPr>
            <w:tcW w:w="200" w:type="dxa"/>
            <w:vAlign w:val="bottom"/>
            <w:shd w:val="clear" w:color="auto" w:fill="E7E7E2"/>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8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6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7"/>
                <w:szCs w:val="17"/>
                <w:color w:val="auto"/>
              </w:rPr>
              <w:t>Sources</w:t>
            </w:r>
          </w:p>
        </w:tc>
        <w:tc>
          <w:tcPr>
            <w:tcW w:w="200" w:type="dxa"/>
            <w:vAlign w:val="bottom"/>
            <w:shd w:val="clear" w:color="auto" w:fill="E7E7E2"/>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8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rPr>
              <w:t>Rule 457(p)</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tcBorders>
            <w:shd w:val="clear" w:color="auto" w:fill="E7E7E2"/>
          </w:tcPr>
          <w:p>
            <w:pPr>
              <w:ind w:left="40"/>
              <w:spacing w:after="0" w:line="167" w:lineRule="exact"/>
              <w:rPr>
                <w:sz w:val="20"/>
                <w:szCs w:val="20"/>
                <w:color w:val="auto"/>
              </w:rPr>
            </w:pPr>
            <w:r>
              <w:rPr>
                <w:rFonts w:ascii="Arial" w:cs="Arial" w:eastAsia="Arial" w:hAnsi="Arial"/>
                <w:sz w:val="17"/>
                <w:szCs w:val="17"/>
                <w:color w:val="auto"/>
              </w:rPr>
              <w:t>Fee</w:t>
            </w:r>
          </w:p>
        </w:tc>
        <w:tc>
          <w:tcPr>
            <w:tcW w:w="200" w:type="dxa"/>
            <w:vAlign w:val="bottom"/>
            <w:shd w:val="clear" w:color="auto" w:fill="E7E7E2"/>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580" w:type="dxa"/>
            <w:vAlign w:val="bottom"/>
            <w:shd w:val="clear" w:color="auto" w:fill="E7E7E2"/>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540" w:type="dxa"/>
            <w:vAlign w:val="bottom"/>
            <w:shd w:val="clear" w:color="auto" w:fill="E7E7E2"/>
          </w:tcPr>
          <w:p>
            <w:pPr>
              <w:spacing w:after="0"/>
              <w:rPr>
                <w:sz w:val="14"/>
                <w:szCs w:val="14"/>
                <w:color w:val="auto"/>
              </w:rPr>
            </w:pPr>
          </w:p>
        </w:tc>
        <w:tc>
          <w:tcPr>
            <w:tcW w:w="560" w:type="dxa"/>
            <w:vAlign w:val="bottom"/>
            <w:shd w:val="clear" w:color="auto" w:fill="E7E7E2"/>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320" w:type="dxa"/>
            <w:vAlign w:val="bottom"/>
            <w:shd w:val="clear" w:color="auto" w:fill="E7E7E2"/>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300" w:type="dxa"/>
            <w:vAlign w:val="bottom"/>
            <w:shd w:val="clear" w:color="auto" w:fill="E7E7E2"/>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600" w:type="dxa"/>
            <w:vAlign w:val="bottom"/>
            <w:shd w:val="clear" w:color="auto" w:fill="E7E7E2"/>
          </w:tcPr>
          <w:p>
            <w:pPr>
              <w:spacing w:after="0"/>
              <w:rPr>
                <w:sz w:val="14"/>
                <w:szCs w:val="14"/>
                <w:color w:val="auto"/>
              </w:rPr>
            </w:pPr>
          </w:p>
        </w:tc>
        <w:tc>
          <w:tcPr>
            <w:tcW w:w="8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left w:val="single" w:sz="8" w:color="auto"/>
            </w:tcBorders>
            <w:shd w:val="clear" w:color="auto" w:fill="E7E7E2"/>
          </w:tcPr>
          <w:p>
            <w:pPr>
              <w:ind w:left="40"/>
              <w:spacing w:after="0" w:line="176" w:lineRule="exact"/>
              <w:rPr>
                <w:sz w:val="20"/>
                <w:szCs w:val="20"/>
                <w:color w:val="auto"/>
              </w:rPr>
            </w:pPr>
            <w:r>
              <w:rPr>
                <w:rFonts w:ascii="Arial" w:cs="Arial" w:eastAsia="Arial" w:hAnsi="Arial"/>
                <w:sz w:val="17"/>
                <w:szCs w:val="17"/>
                <w:color w:val="auto"/>
              </w:rPr>
              <w:t>Offset</w:t>
            </w:r>
          </w:p>
        </w:tc>
        <w:tc>
          <w:tcPr>
            <w:tcW w:w="200" w:type="dxa"/>
            <w:vAlign w:val="bottom"/>
            <w:shd w:val="clear" w:color="auto" w:fill="E7E7E2"/>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8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6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7"/>
                <w:szCs w:val="17"/>
                <w:color w:val="auto"/>
              </w:rPr>
              <w:t>Claims</w:t>
            </w:r>
          </w:p>
        </w:tc>
        <w:tc>
          <w:tcPr>
            <w:tcW w:w="200" w:type="dxa"/>
            <w:vAlign w:val="bottom"/>
            <w:shd w:val="clear" w:color="auto" w:fill="E7E7E2"/>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8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60" w:type="dxa"/>
            <w:vAlign w:val="bottom"/>
            <w:tcBorders>
              <w:left w:val="single" w:sz="8" w:color="auto"/>
            </w:tcBorders>
            <w:shd w:val="clear" w:color="auto" w:fill="E7E7E2"/>
          </w:tcPr>
          <w:p>
            <w:pPr>
              <w:ind w:left="40"/>
              <w:spacing w:after="0" w:line="167" w:lineRule="exact"/>
              <w:rPr>
                <w:sz w:val="20"/>
                <w:szCs w:val="20"/>
                <w:color w:val="auto"/>
              </w:rPr>
            </w:pPr>
            <w:r>
              <w:rPr>
                <w:rFonts w:ascii="Arial" w:cs="Arial" w:eastAsia="Arial" w:hAnsi="Arial"/>
                <w:sz w:val="17"/>
                <w:szCs w:val="17"/>
                <w:color w:val="auto"/>
              </w:rPr>
              <w:t>Fee</w:t>
            </w:r>
          </w:p>
        </w:tc>
        <w:tc>
          <w:tcPr>
            <w:tcW w:w="200" w:type="dxa"/>
            <w:vAlign w:val="bottom"/>
            <w:shd w:val="clear" w:color="auto" w:fill="E7E7E2"/>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580" w:type="dxa"/>
            <w:vAlign w:val="bottom"/>
            <w:shd w:val="clear" w:color="auto" w:fill="E7E7E2"/>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540" w:type="dxa"/>
            <w:vAlign w:val="bottom"/>
            <w:shd w:val="clear" w:color="auto" w:fill="E7E7E2"/>
          </w:tcPr>
          <w:p>
            <w:pPr>
              <w:spacing w:after="0"/>
              <w:rPr>
                <w:sz w:val="14"/>
                <w:szCs w:val="14"/>
                <w:color w:val="auto"/>
              </w:rPr>
            </w:pPr>
          </w:p>
        </w:tc>
        <w:tc>
          <w:tcPr>
            <w:tcW w:w="560" w:type="dxa"/>
            <w:vAlign w:val="bottom"/>
            <w:shd w:val="clear" w:color="auto" w:fill="E7E7E2"/>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320" w:type="dxa"/>
            <w:vAlign w:val="bottom"/>
            <w:shd w:val="clear" w:color="auto" w:fill="E7E7E2"/>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300" w:type="dxa"/>
            <w:vAlign w:val="bottom"/>
            <w:shd w:val="clear" w:color="auto" w:fill="E7E7E2"/>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600" w:type="dxa"/>
            <w:vAlign w:val="bottom"/>
            <w:shd w:val="clear" w:color="auto" w:fill="E7E7E2"/>
          </w:tcPr>
          <w:p>
            <w:pPr>
              <w:spacing w:after="0"/>
              <w:rPr>
                <w:sz w:val="14"/>
                <w:szCs w:val="14"/>
                <w:color w:val="auto"/>
              </w:rPr>
            </w:pPr>
          </w:p>
        </w:tc>
        <w:tc>
          <w:tcPr>
            <w:tcW w:w="8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left w:val="single" w:sz="8" w:color="auto"/>
            </w:tcBorders>
            <w:shd w:val="clear" w:color="auto" w:fill="E7E7E2"/>
          </w:tcPr>
          <w:p>
            <w:pPr>
              <w:ind w:left="40"/>
              <w:spacing w:after="0" w:line="176" w:lineRule="exact"/>
              <w:rPr>
                <w:sz w:val="20"/>
                <w:szCs w:val="20"/>
                <w:color w:val="auto"/>
              </w:rPr>
            </w:pPr>
            <w:r>
              <w:rPr>
                <w:rFonts w:ascii="Arial" w:cs="Arial" w:eastAsia="Arial" w:hAnsi="Arial"/>
                <w:sz w:val="17"/>
                <w:szCs w:val="17"/>
                <w:color w:val="auto"/>
              </w:rPr>
              <w:t>Offset</w:t>
            </w:r>
          </w:p>
        </w:tc>
        <w:tc>
          <w:tcPr>
            <w:tcW w:w="200" w:type="dxa"/>
            <w:vAlign w:val="bottom"/>
            <w:shd w:val="clear" w:color="auto" w:fill="E7E7E2"/>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8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60" w:type="dxa"/>
            <w:vAlign w:val="bottom"/>
            <w:tcBorders>
              <w:left w:val="single" w:sz="8" w:color="auto"/>
              <w:bottom w:val="single" w:sz="8" w:color="auto"/>
            </w:tcBorders>
            <w:shd w:val="clear" w:color="auto" w:fill="E7E7E2"/>
          </w:tcPr>
          <w:p>
            <w:pPr>
              <w:ind w:left="40"/>
              <w:spacing w:after="0"/>
              <w:rPr>
                <w:sz w:val="20"/>
                <w:szCs w:val="20"/>
                <w:color w:val="auto"/>
              </w:rPr>
            </w:pPr>
            <w:r>
              <w:rPr>
                <w:rFonts w:ascii="Arial" w:cs="Arial" w:eastAsia="Arial" w:hAnsi="Arial"/>
                <w:sz w:val="17"/>
                <w:szCs w:val="17"/>
                <w:color w:val="auto"/>
              </w:rPr>
              <w:t>Sources</w:t>
            </w:r>
          </w:p>
        </w:tc>
        <w:tc>
          <w:tcPr>
            <w:tcW w:w="200" w:type="dxa"/>
            <w:vAlign w:val="bottom"/>
            <w:tcBorders>
              <w:bottom w:val="single" w:sz="8" w:color="auto"/>
            </w:tcBorders>
            <w:shd w:val="clear" w:color="auto" w:fill="E7E7E2"/>
          </w:tcPr>
          <w:p>
            <w:pPr>
              <w:spacing w:after="0"/>
              <w:rPr>
                <w:sz w:val="19"/>
                <w:szCs w:val="19"/>
                <w:color w:val="auto"/>
              </w:rPr>
            </w:pPr>
          </w:p>
        </w:tc>
        <w:tc>
          <w:tcPr>
            <w:tcW w:w="840" w:type="dxa"/>
            <w:vAlign w:val="bottom"/>
            <w:tcBorders>
              <w:bottom w:val="single" w:sz="8" w:color="auto"/>
            </w:tcBorders>
            <w:shd w:val="clear" w:color="auto" w:fill="E7E7E2"/>
          </w:tcPr>
          <w:p>
            <w:pPr>
              <w:spacing w:after="0"/>
              <w:rPr>
                <w:sz w:val="19"/>
                <w:szCs w:val="19"/>
                <w:color w:val="auto"/>
              </w:rPr>
            </w:pPr>
          </w:p>
        </w:tc>
        <w:tc>
          <w:tcPr>
            <w:tcW w:w="580" w:type="dxa"/>
            <w:vAlign w:val="bottom"/>
            <w:tcBorders>
              <w:bottom w:val="single" w:sz="8" w:color="auto"/>
            </w:tcBorders>
            <w:shd w:val="clear" w:color="auto" w:fill="E7E7E2"/>
          </w:tcPr>
          <w:p>
            <w:pPr>
              <w:spacing w:after="0"/>
              <w:rPr>
                <w:sz w:val="19"/>
                <w:szCs w:val="19"/>
                <w:color w:val="auto"/>
              </w:rPr>
            </w:pPr>
          </w:p>
        </w:tc>
        <w:tc>
          <w:tcPr>
            <w:tcW w:w="740" w:type="dxa"/>
            <w:vAlign w:val="bottom"/>
            <w:tcBorders>
              <w:bottom w:val="single" w:sz="8" w:color="auto"/>
            </w:tcBorders>
            <w:shd w:val="clear" w:color="auto" w:fill="E7E7E2"/>
          </w:tcPr>
          <w:p>
            <w:pPr>
              <w:spacing w:after="0"/>
              <w:rPr>
                <w:sz w:val="19"/>
                <w:szCs w:val="19"/>
                <w:color w:val="auto"/>
              </w:rPr>
            </w:pPr>
          </w:p>
        </w:tc>
        <w:tc>
          <w:tcPr>
            <w:tcW w:w="540" w:type="dxa"/>
            <w:vAlign w:val="bottom"/>
            <w:tcBorders>
              <w:bottom w:val="single" w:sz="8" w:color="auto"/>
            </w:tcBorders>
            <w:shd w:val="clear" w:color="auto" w:fill="E7E7E2"/>
          </w:tcPr>
          <w:p>
            <w:pPr>
              <w:spacing w:after="0"/>
              <w:rPr>
                <w:sz w:val="19"/>
                <w:szCs w:val="19"/>
                <w:color w:val="auto"/>
              </w:rPr>
            </w:pPr>
          </w:p>
        </w:tc>
        <w:tc>
          <w:tcPr>
            <w:tcW w:w="560" w:type="dxa"/>
            <w:vAlign w:val="bottom"/>
            <w:tcBorders>
              <w:bottom w:val="single" w:sz="8" w:color="auto"/>
            </w:tcBorders>
            <w:shd w:val="clear" w:color="auto" w:fill="E7E7E2"/>
          </w:tcPr>
          <w:p>
            <w:pPr>
              <w:spacing w:after="0"/>
              <w:rPr>
                <w:sz w:val="19"/>
                <w:szCs w:val="19"/>
                <w:color w:val="auto"/>
              </w:rPr>
            </w:pPr>
          </w:p>
        </w:tc>
        <w:tc>
          <w:tcPr>
            <w:tcW w:w="740" w:type="dxa"/>
            <w:vAlign w:val="bottom"/>
            <w:tcBorders>
              <w:bottom w:val="single" w:sz="8" w:color="auto"/>
            </w:tcBorders>
            <w:shd w:val="clear" w:color="auto" w:fill="E7E7E2"/>
          </w:tcPr>
          <w:p>
            <w:pPr>
              <w:spacing w:after="0"/>
              <w:rPr>
                <w:sz w:val="19"/>
                <w:szCs w:val="19"/>
                <w:color w:val="auto"/>
              </w:rPr>
            </w:pPr>
          </w:p>
        </w:tc>
        <w:tc>
          <w:tcPr>
            <w:tcW w:w="1320" w:type="dxa"/>
            <w:vAlign w:val="bottom"/>
            <w:tcBorders>
              <w:bottom w:val="single" w:sz="8" w:color="auto"/>
            </w:tcBorders>
            <w:shd w:val="clear" w:color="auto" w:fill="E7E7E2"/>
          </w:tcPr>
          <w:p>
            <w:pPr>
              <w:spacing w:after="0"/>
              <w:rPr>
                <w:sz w:val="19"/>
                <w:szCs w:val="19"/>
                <w:color w:val="auto"/>
              </w:rPr>
            </w:pPr>
          </w:p>
        </w:tc>
        <w:tc>
          <w:tcPr>
            <w:tcW w:w="1280" w:type="dxa"/>
            <w:vAlign w:val="bottom"/>
            <w:tcBorders>
              <w:bottom w:val="single" w:sz="8" w:color="auto"/>
            </w:tcBorders>
            <w:shd w:val="clear" w:color="auto" w:fill="E7E7E2"/>
          </w:tcPr>
          <w:p>
            <w:pPr>
              <w:spacing w:after="0"/>
              <w:rPr>
                <w:sz w:val="19"/>
                <w:szCs w:val="19"/>
                <w:color w:val="auto"/>
              </w:rPr>
            </w:pPr>
          </w:p>
        </w:tc>
        <w:tc>
          <w:tcPr>
            <w:tcW w:w="1000" w:type="dxa"/>
            <w:vAlign w:val="bottom"/>
            <w:tcBorders>
              <w:bottom w:val="single" w:sz="8" w:color="auto"/>
            </w:tcBorders>
            <w:shd w:val="clear" w:color="auto" w:fill="E7E7E2"/>
          </w:tcPr>
          <w:p>
            <w:pPr>
              <w:spacing w:after="0"/>
              <w:rPr>
                <w:sz w:val="19"/>
                <w:szCs w:val="19"/>
                <w:color w:val="auto"/>
              </w:rPr>
            </w:pPr>
          </w:p>
        </w:tc>
        <w:tc>
          <w:tcPr>
            <w:tcW w:w="300" w:type="dxa"/>
            <w:vAlign w:val="bottom"/>
            <w:tcBorders>
              <w:bottom w:val="single" w:sz="8" w:color="auto"/>
            </w:tcBorders>
            <w:shd w:val="clear" w:color="auto" w:fill="E7E7E2"/>
          </w:tcPr>
          <w:p>
            <w:pPr>
              <w:spacing w:after="0"/>
              <w:rPr>
                <w:sz w:val="19"/>
                <w:szCs w:val="19"/>
                <w:color w:val="auto"/>
              </w:rPr>
            </w:pPr>
          </w:p>
        </w:tc>
        <w:tc>
          <w:tcPr>
            <w:tcW w:w="260" w:type="dxa"/>
            <w:vAlign w:val="bottom"/>
            <w:tcBorders>
              <w:bottom w:val="single" w:sz="8" w:color="auto"/>
            </w:tcBorders>
            <w:shd w:val="clear" w:color="auto" w:fill="E7E7E2"/>
          </w:tcPr>
          <w:p>
            <w:pPr>
              <w:spacing w:after="0"/>
              <w:rPr>
                <w:sz w:val="19"/>
                <w:szCs w:val="19"/>
                <w:color w:val="auto"/>
              </w:rPr>
            </w:pPr>
          </w:p>
        </w:tc>
        <w:tc>
          <w:tcPr>
            <w:tcW w:w="680" w:type="dxa"/>
            <w:vAlign w:val="bottom"/>
            <w:tcBorders>
              <w:bottom w:val="single" w:sz="8" w:color="auto"/>
            </w:tcBorders>
            <w:shd w:val="clear" w:color="auto" w:fill="E7E7E2"/>
          </w:tcPr>
          <w:p>
            <w:pPr>
              <w:spacing w:after="0"/>
              <w:rPr>
                <w:sz w:val="19"/>
                <w:szCs w:val="19"/>
                <w:color w:val="auto"/>
              </w:rPr>
            </w:pPr>
          </w:p>
        </w:tc>
        <w:tc>
          <w:tcPr>
            <w:tcW w:w="600" w:type="dxa"/>
            <w:vAlign w:val="bottom"/>
            <w:tcBorders>
              <w:bottom w:val="single" w:sz="8" w:color="auto"/>
            </w:tcBorders>
            <w:shd w:val="clear" w:color="auto" w:fill="E7E7E2"/>
          </w:tcPr>
          <w:p>
            <w:pPr>
              <w:spacing w:after="0"/>
              <w:rPr>
                <w:sz w:val="19"/>
                <w:szCs w:val="19"/>
                <w:color w:val="auto"/>
              </w:rPr>
            </w:pPr>
          </w:p>
        </w:tc>
        <w:tc>
          <w:tcPr>
            <w:tcW w:w="860" w:type="dxa"/>
            <w:vAlign w:val="bottom"/>
            <w:tcBorders>
              <w:bottom w:val="single" w:sz="8" w:color="auto"/>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120" w:type="dxa"/>
            <w:vAlign w:val="bottom"/>
            <w:gridSpan w:val="5"/>
          </w:tcPr>
          <w:p>
            <w:pPr>
              <w:ind w:left="20"/>
              <w:spacing w:after="0"/>
              <w:rPr>
                <w:sz w:val="20"/>
                <w:szCs w:val="20"/>
                <w:color w:val="auto"/>
              </w:rPr>
            </w:pPr>
            <w:r>
              <w:rPr>
                <w:rFonts w:ascii="Arial" w:cs="Arial" w:eastAsia="Arial" w:hAnsi="Arial"/>
                <w:sz w:val="17"/>
                <w:szCs w:val="17"/>
                <w:b w:val="1"/>
                <w:bCs w:val="1"/>
                <w:color w:val="auto"/>
              </w:rPr>
              <w:t>Table 3: Combined Prospectuses</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gridSpan w:val="2"/>
          </w:tcPr>
          <w:p>
            <w:pPr>
              <w:ind w:left="8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321"/>
        </w:trPr>
        <w:tc>
          <w:tcPr>
            <w:tcW w:w="960" w:type="dxa"/>
            <w:vAlign w:val="bottom"/>
            <w:tcBorders>
              <w:bottom w:val="single" w:sz="8" w:color="auto"/>
            </w:tcBorders>
            <w:gridSpan w:val="2"/>
          </w:tcPr>
          <w:p>
            <w:pPr>
              <w:spacing w:after="0"/>
              <w:rPr>
                <w:sz w:val="24"/>
                <w:szCs w:val="24"/>
                <w:color w:val="auto"/>
              </w:rPr>
            </w:pPr>
          </w:p>
        </w:tc>
        <w:tc>
          <w:tcPr>
            <w:tcW w:w="1420" w:type="dxa"/>
            <w:vAlign w:val="bottom"/>
            <w:tcBorders>
              <w:bottom w:val="single" w:sz="8" w:color="auto"/>
            </w:tcBorders>
            <w:gridSpan w:val="2"/>
          </w:tcPr>
          <w:p>
            <w:pPr>
              <w:spacing w:after="0"/>
              <w:rPr>
                <w:sz w:val="24"/>
                <w:szCs w:val="24"/>
                <w:color w:val="auto"/>
              </w:rPr>
            </w:pPr>
          </w:p>
        </w:tc>
        <w:tc>
          <w:tcPr>
            <w:tcW w:w="2580" w:type="dxa"/>
            <w:vAlign w:val="bottom"/>
            <w:tcBorders>
              <w:bottom w:val="single" w:sz="8" w:color="auto"/>
            </w:tcBorders>
            <w:gridSpan w:val="4"/>
          </w:tcPr>
          <w:p>
            <w:pPr>
              <w:spacing w:after="0"/>
              <w:rPr>
                <w:sz w:val="24"/>
                <w:szCs w:val="24"/>
                <w:color w:val="auto"/>
              </w:rPr>
            </w:pPr>
          </w:p>
        </w:tc>
        <w:tc>
          <w:tcPr>
            <w:tcW w:w="3600" w:type="dxa"/>
            <w:vAlign w:val="bottom"/>
            <w:tcBorders>
              <w:bottom w:val="single" w:sz="8" w:color="auto"/>
            </w:tcBorders>
            <w:gridSpan w:val="3"/>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960" w:type="dxa"/>
            <w:vAlign w:val="bottom"/>
            <w:tcBorders>
              <w:left w:val="single" w:sz="8" w:color="auto"/>
            </w:tcBorders>
            <w:gridSpan w:val="2"/>
            <w:shd w:val="clear" w:color="auto" w:fill="9ADAF6"/>
          </w:tcPr>
          <w:p>
            <w:pPr>
              <w:ind w:left="240"/>
              <w:spacing w:after="0" w:line="168" w:lineRule="exact"/>
              <w:rPr>
                <w:sz w:val="20"/>
                <w:szCs w:val="20"/>
                <w:color w:val="auto"/>
              </w:rPr>
            </w:pPr>
            <w:r>
              <w:rPr>
                <w:rFonts w:ascii="Arial" w:cs="Arial" w:eastAsia="Arial" w:hAnsi="Arial"/>
                <w:sz w:val="17"/>
                <w:szCs w:val="17"/>
                <w:b w:val="1"/>
                <w:bCs w:val="1"/>
                <w:color w:val="auto"/>
              </w:rPr>
              <w:t>Security</w:t>
            </w:r>
          </w:p>
        </w:tc>
        <w:tc>
          <w:tcPr>
            <w:tcW w:w="1420" w:type="dxa"/>
            <w:vAlign w:val="bottom"/>
            <w:gridSpan w:val="2"/>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Security</w:t>
            </w:r>
          </w:p>
        </w:tc>
        <w:tc>
          <w:tcPr>
            <w:tcW w:w="2580" w:type="dxa"/>
            <w:vAlign w:val="bottom"/>
            <w:gridSpan w:val="4"/>
            <w:shd w:val="clear" w:color="auto" w:fill="9ADAF6"/>
          </w:tcPr>
          <w:p>
            <w:pPr>
              <w:ind w:left="240"/>
              <w:spacing w:after="0" w:line="168" w:lineRule="exact"/>
              <w:rPr>
                <w:sz w:val="20"/>
                <w:szCs w:val="20"/>
                <w:color w:val="auto"/>
              </w:rPr>
            </w:pPr>
            <w:r>
              <w:rPr>
                <w:rFonts w:ascii="Arial" w:cs="Arial" w:eastAsia="Arial" w:hAnsi="Arial"/>
                <w:sz w:val="17"/>
                <w:szCs w:val="17"/>
                <w:b w:val="1"/>
                <w:bCs w:val="1"/>
                <w:color w:val="auto"/>
              </w:rPr>
              <w:t>Amount of Securities</w:t>
            </w:r>
          </w:p>
        </w:tc>
        <w:tc>
          <w:tcPr>
            <w:tcW w:w="3600" w:type="dxa"/>
            <w:vAlign w:val="bottom"/>
            <w:gridSpan w:val="3"/>
            <w:shd w:val="clear" w:color="auto" w:fill="9ADAF6"/>
          </w:tcPr>
          <w:p>
            <w:pPr>
              <w:jc w:val="center"/>
              <w:ind w:right="295"/>
              <w:spacing w:after="0" w:line="168" w:lineRule="exact"/>
              <w:rPr>
                <w:sz w:val="20"/>
                <w:szCs w:val="20"/>
                <w:color w:val="auto"/>
              </w:rPr>
            </w:pPr>
            <w:r>
              <w:rPr>
                <w:rFonts w:ascii="Arial" w:cs="Arial" w:eastAsia="Arial" w:hAnsi="Arial"/>
                <w:sz w:val="17"/>
                <w:szCs w:val="17"/>
                <w:b w:val="1"/>
                <w:bCs w:val="1"/>
                <w:color w:val="auto"/>
              </w:rPr>
              <w:t>Maximum Aggregate Offering Price of</w:t>
            </w:r>
          </w:p>
        </w:tc>
        <w:tc>
          <w:tcPr>
            <w:tcW w:w="560" w:type="dxa"/>
            <w:vAlign w:val="bottom"/>
            <w:gridSpan w:val="2"/>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Form</w:t>
            </w:r>
          </w:p>
        </w:tc>
        <w:tc>
          <w:tcPr>
            <w:tcW w:w="680" w:type="dxa"/>
            <w:vAlign w:val="bottom"/>
            <w:shd w:val="clear" w:color="auto" w:fill="9ADAF6"/>
          </w:tcPr>
          <w:p>
            <w:pPr>
              <w:jc w:val="center"/>
              <w:ind w:left="135"/>
              <w:spacing w:after="0" w:line="168" w:lineRule="exact"/>
              <w:rPr>
                <w:sz w:val="20"/>
                <w:szCs w:val="20"/>
                <w:color w:val="auto"/>
              </w:rPr>
            </w:pPr>
            <w:r>
              <w:rPr>
                <w:rFonts w:ascii="Arial" w:cs="Arial" w:eastAsia="Arial" w:hAnsi="Arial"/>
                <w:sz w:val="17"/>
                <w:szCs w:val="17"/>
                <w:b w:val="1"/>
                <w:bCs w:val="1"/>
                <w:color w:val="auto"/>
              </w:rPr>
              <w:t>File</w:t>
            </w:r>
          </w:p>
        </w:tc>
        <w:tc>
          <w:tcPr>
            <w:tcW w:w="1460" w:type="dxa"/>
            <w:vAlign w:val="bottom"/>
            <w:tcBorders>
              <w:right w:val="single" w:sz="8" w:color="auto"/>
            </w:tcBorders>
            <w:gridSpan w:val="2"/>
            <w:shd w:val="clear" w:color="auto" w:fill="9ADAF6"/>
          </w:tcPr>
          <w:p>
            <w:pPr>
              <w:jc w:val="center"/>
              <w:ind w:left="95"/>
              <w:spacing w:after="0" w:line="168" w:lineRule="exact"/>
              <w:rPr>
                <w:sz w:val="20"/>
                <w:szCs w:val="20"/>
                <w:color w:val="auto"/>
              </w:rPr>
            </w:pPr>
            <w:r>
              <w:rPr>
                <w:rFonts w:ascii="Arial" w:cs="Arial" w:eastAsia="Arial" w:hAnsi="Arial"/>
                <w:sz w:val="17"/>
                <w:szCs w:val="17"/>
                <w:b w:val="1"/>
                <w:bCs w:val="1"/>
                <w:color w:val="auto"/>
                <w:w w:val="99"/>
              </w:rPr>
              <w:t>Initial Effective</w:t>
            </w:r>
          </w:p>
        </w:tc>
        <w:tc>
          <w:tcPr>
            <w:tcW w:w="0" w:type="dxa"/>
            <w:vAlign w:val="bottom"/>
          </w:tcPr>
          <w:p>
            <w:pPr>
              <w:spacing w:after="0"/>
              <w:rPr>
                <w:sz w:val="1"/>
                <w:szCs w:val="1"/>
                <w:color w:val="auto"/>
              </w:rPr>
            </w:pPr>
          </w:p>
        </w:tc>
      </w:tr>
      <w:tr>
        <w:trPr>
          <w:trHeight w:val="222"/>
        </w:trPr>
        <w:tc>
          <w:tcPr>
            <w:tcW w:w="960" w:type="dxa"/>
            <w:vAlign w:val="bottom"/>
            <w:tcBorders>
              <w:left w:val="single" w:sz="8" w:color="auto"/>
            </w:tcBorders>
            <w:gridSpan w:val="2"/>
            <w:shd w:val="clear" w:color="auto" w:fill="9ADAF6"/>
          </w:tcPr>
          <w:p>
            <w:pPr>
              <w:ind w:left="380"/>
              <w:spacing w:after="0"/>
              <w:rPr>
                <w:sz w:val="20"/>
                <w:szCs w:val="20"/>
                <w:color w:val="auto"/>
              </w:rPr>
            </w:pPr>
            <w:r>
              <w:rPr>
                <w:rFonts w:ascii="Arial" w:cs="Arial" w:eastAsia="Arial" w:hAnsi="Arial"/>
                <w:sz w:val="17"/>
                <w:szCs w:val="17"/>
                <w:b w:val="1"/>
                <w:bCs w:val="1"/>
                <w:color w:val="auto"/>
              </w:rPr>
              <w:t>Type</w:t>
            </w:r>
          </w:p>
        </w:tc>
        <w:tc>
          <w:tcPr>
            <w:tcW w:w="1420" w:type="dxa"/>
            <w:vAlign w:val="bottom"/>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Class Title</w:t>
            </w:r>
          </w:p>
        </w:tc>
        <w:tc>
          <w:tcPr>
            <w:tcW w:w="2580" w:type="dxa"/>
            <w:vAlign w:val="bottom"/>
            <w:gridSpan w:val="4"/>
            <w:shd w:val="clear" w:color="auto" w:fill="9ADAF6"/>
          </w:tcPr>
          <w:p>
            <w:pPr>
              <w:ind w:left="200"/>
              <w:spacing w:after="0"/>
              <w:rPr>
                <w:sz w:val="20"/>
                <w:szCs w:val="20"/>
                <w:color w:val="auto"/>
              </w:rPr>
            </w:pPr>
            <w:r>
              <w:rPr>
                <w:rFonts w:ascii="Arial" w:cs="Arial" w:eastAsia="Arial" w:hAnsi="Arial"/>
                <w:sz w:val="17"/>
                <w:szCs w:val="17"/>
                <w:b w:val="1"/>
                <w:bCs w:val="1"/>
                <w:color w:val="auto"/>
              </w:rPr>
              <w:t>Previously Registered</w:t>
            </w:r>
          </w:p>
        </w:tc>
        <w:tc>
          <w:tcPr>
            <w:tcW w:w="3600" w:type="dxa"/>
            <w:vAlign w:val="bottom"/>
            <w:gridSpan w:val="3"/>
            <w:shd w:val="clear" w:color="auto" w:fill="9ADAF6"/>
          </w:tcPr>
          <w:p>
            <w:pPr>
              <w:jc w:val="center"/>
              <w:ind w:right="295"/>
              <w:spacing w:after="0"/>
              <w:rPr>
                <w:sz w:val="20"/>
                <w:szCs w:val="20"/>
                <w:color w:val="auto"/>
              </w:rPr>
            </w:pPr>
            <w:r>
              <w:rPr>
                <w:rFonts w:ascii="Arial" w:cs="Arial" w:eastAsia="Arial" w:hAnsi="Arial"/>
                <w:sz w:val="17"/>
                <w:szCs w:val="17"/>
                <w:b w:val="1"/>
                <w:bCs w:val="1"/>
                <w:color w:val="auto"/>
              </w:rPr>
              <w:t>Securities Previously Registered</w:t>
            </w:r>
          </w:p>
        </w:tc>
        <w:tc>
          <w:tcPr>
            <w:tcW w:w="560" w:type="dxa"/>
            <w:vAlign w:val="bottom"/>
            <w:gridSpan w:val="2"/>
            <w:shd w:val="clear" w:color="auto" w:fill="9ADAF6"/>
          </w:tcPr>
          <w:p>
            <w:pPr>
              <w:ind w:left="60"/>
              <w:spacing w:after="0"/>
              <w:rPr>
                <w:sz w:val="20"/>
                <w:szCs w:val="20"/>
                <w:color w:val="auto"/>
              </w:rPr>
            </w:pPr>
            <w:r>
              <w:rPr>
                <w:rFonts w:ascii="Arial" w:cs="Arial" w:eastAsia="Arial" w:hAnsi="Arial"/>
                <w:sz w:val="17"/>
                <w:szCs w:val="17"/>
                <w:b w:val="1"/>
                <w:bCs w:val="1"/>
                <w:color w:val="auto"/>
              </w:rPr>
              <w:t>Type</w:t>
            </w:r>
          </w:p>
        </w:tc>
        <w:tc>
          <w:tcPr>
            <w:tcW w:w="1280" w:type="dxa"/>
            <w:vAlign w:val="bottom"/>
            <w:gridSpan w:val="2"/>
            <w:shd w:val="clear" w:color="auto" w:fill="9ADAF6"/>
          </w:tcPr>
          <w:p>
            <w:pPr>
              <w:jc w:val="center"/>
              <w:ind w:right="295"/>
              <w:spacing w:after="0"/>
              <w:rPr>
                <w:sz w:val="20"/>
                <w:szCs w:val="20"/>
                <w:color w:val="auto"/>
              </w:rPr>
            </w:pPr>
            <w:r>
              <w:rPr>
                <w:rFonts w:ascii="Arial" w:cs="Arial" w:eastAsia="Arial" w:hAnsi="Arial"/>
                <w:sz w:val="17"/>
                <w:szCs w:val="17"/>
                <w:b w:val="1"/>
                <w:bCs w:val="1"/>
                <w:color w:val="auto"/>
              </w:rPr>
              <w:t>Number</w:t>
            </w:r>
          </w:p>
        </w:tc>
        <w:tc>
          <w:tcPr>
            <w:tcW w:w="860" w:type="dxa"/>
            <w:vAlign w:val="bottom"/>
            <w:tcBorders>
              <w:right w:val="single" w:sz="8" w:color="auto"/>
            </w:tcBorders>
            <w:shd w:val="clear" w:color="auto" w:fill="9ADAF6"/>
          </w:tcPr>
          <w:p>
            <w:pPr>
              <w:jc w:val="center"/>
              <w:ind w:right="335"/>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256"/>
        </w:trPr>
        <w:tc>
          <w:tcPr>
            <w:tcW w:w="760" w:type="dxa"/>
            <w:vAlign w:val="bottom"/>
            <w:tcBorders>
              <w:left w:val="single" w:sz="8" w:color="auto"/>
              <w:bottom w:val="single" w:sz="8" w:color="auto"/>
            </w:tcBorders>
            <w:shd w:val="clear" w:color="auto" w:fill="E7E7E2"/>
          </w:tcPr>
          <w:p>
            <w:pPr>
              <w:spacing w:after="0"/>
              <w:rPr>
                <w:sz w:val="22"/>
                <w:szCs w:val="22"/>
                <w:color w:val="auto"/>
              </w:rPr>
            </w:pPr>
          </w:p>
        </w:tc>
        <w:tc>
          <w:tcPr>
            <w:tcW w:w="200" w:type="dxa"/>
            <w:vAlign w:val="bottom"/>
            <w:tcBorders>
              <w:bottom w:val="single" w:sz="8" w:color="auto"/>
            </w:tcBorders>
            <w:shd w:val="clear" w:color="auto" w:fill="E7E7E2"/>
          </w:tcPr>
          <w:p>
            <w:pPr>
              <w:spacing w:after="0"/>
              <w:rPr>
                <w:sz w:val="22"/>
                <w:szCs w:val="22"/>
                <w:color w:val="auto"/>
              </w:rPr>
            </w:pPr>
          </w:p>
        </w:tc>
        <w:tc>
          <w:tcPr>
            <w:tcW w:w="840" w:type="dxa"/>
            <w:vAlign w:val="bottom"/>
            <w:tcBorders>
              <w:bottom w:val="single" w:sz="8" w:color="auto"/>
            </w:tcBorders>
            <w:shd w:val="clear" w:color="auto" w:fill="E7E7E2"/>
          </w:tcPr>
          <w:p>
            <w:pPr>
              <w:spacing w:after="0"/>
              <w:rPr>
                <w:sz w:val="22"/>
                <w:szCs w:val="22"/>
                <w:color w:val="auto"/>
              </w:rPr>
            </w:pPr>
          </w:p>
        </w:tc>
        <w:tc>
          <w:tcPr>
            <w:tcW w:w="580" w:type="dxa"/>
            <w:vAlign w:val="bottom"/>
            <w:tcBorders>
              <w:bottom w:val="single" w:sz="8" w:color="auto"/>
            </w:tcBorders>
            <w:shd w:val="clear" w:color="auto" w:fill="E7E7E2"/>
          </w:tcPr>
          <w:p>
            <w:pPr>
              <w:spacing w:after="0"/>
              <w:rPr>
                <w:sz w:val="22"/>
                <w:szCs w:val="22"/>
                <w:color w:val="auto"/>
              </w:rPr>
            </w:pPr>
          </w:p>
        </w:tc>
        <w:tc>
          <w:tcPr>
            <w:tcW w:w="740" w:type="dxa"/>
            <w:vAlign w:val="bottom"/>
            <w:tcBorders>
              <w:bottom w:val="single" w:sz="8" w:color="auto"/>
            </w:tcBorders>
            <w:shd w:val="clear" w:color="auto" w:fill="E7E7E2"/>
          </w:tcPr>
          <w:p>
            <w:pPr>
              <w:spacing w:after="0"/>
              <w:rPr>
                <w:sz w:val="22"/>
                <w:szCs w:val="22"/>
                <w:color w:val="auto"/>
              </w:rPr>
            </w:pPr>
          </w:p>
        </w:tc>
        <w:tc>
          <w:tcPr>
            <w:tcW w:w="540" w:type="dxa"/>
            <w:vAlign w:val="bottom"/>
            <w:tcBorders>
              <w:bottom w:val="single" w:sz="8" w:color="auto"/>
            </w:tcBorders>
            <w:shd w:val="clear" w:color="auto" w:fill="E7E7E2"/>
          </w:tcPr>
          <w:p>
            <w:pPr>
              <w:spacing w:after="0"/>
              <w:rPr>
                <w:sz w:val="22"/>
                <w:szCs w:val="22"/>
                <w:color w:val="auto"/>
              </w:rPr>
            </w:pPr>
          </w:p>
        </w:tc>
        <w:tc>
          <w:tcPr>
            <w:tcW w:w="560" w:type="dxa"/>
            <w:vAlign w:val="bottom"/>
            <w:tcBorders>
              <w:bottom w:val="single" w:sz="8" w:color="auto"/>
            </w:tcBorders>
            <w:shd w:val="clear" w:color="auto" w:fill="E7E7E2"/>
          </w:tcPr>
          <w:p>
            <w:pPr>
              <w:spacing w:after="0"/>
              <w:rPr>
                <w:sz w:val="22"/>
                <w:szCs w:val="22"/>
                <w:color w:val="auto"/>
              </w:rPr>
            </w:pPr>
          </w:p>
        </w:tc>
        <w:tc>
          <w:tcPr>
            <w:tcW w:w="740" w:type="dxa"/>
            <w:vAlign w:val="bottom"/>
            <w:tcBorders>
              <w:bottom w:val="single" w:sz="8" w:color="auto"/>
            </w:tcBorders>
            <w:shd w:val="clear" w:color="auto" w:fill="E7E7E2"/>
          </w:tcPr>
          <w:p>
            <w:pPr>
              <w:spacing w:after="0"/>
              <w:rPr>
                <w:sz w:val="22"/>
                <w:szCs w:val="22"/>
                <w:color w:val="auto"/>
              </w:rPr>
            </w:pPr>
          </w:p>
        </w:tc>
        <w:tc>
          <w:tcPr>
            <w:tcW w:w="1320" w:type="dxa"/>
            <w:vAlign w:val="bottom"/>
            <w:tcBorders>
              <w:bottom w:val="single" w:sz="8" w:color="auto"/>
            </w:tcBorders>
            <w:shd w:val="clear" w:color="auto" w:fill="E7E7E2"/>
          </w:tcPr>
          <w:p>
            <w:pPr>
              <w:spacing w:after="0"/>
              <w:rPr>
                <w:sz w:val="22"/>
                <w:szCs w:val="22"/>
                <w:color w:val="auto"/>
              </w:rPr>
            </w:pPr>
          </w:p>
        </w:tc>
        <w:tc>
          <w:tcPr>
            <w:tcW w:w="1280" w:type="dxa"/>
            <w:vAlign w:val="bottom"/>
            <w:tcBorders>
              <w:bottom w:val="single" w:sz="8" w:color="auto"/>
            </w:tcBorders>
            <w:shd w:val="clear" w:color="auto" w:fill="E7E7E2"/>
          </w:tcPr>
          <w:p>
            <w:pPr>
              <w:spacing w:after="0"/>
              <w:rPr>
                <w:sz w:val="22"/>
                <w:szCs w:val="22"/>
                <w:color w:val="auto"/>
              </w:rPr>
            </w:pPr>
          </w:p>
        </w:tc>
        <w:tc>
          <w:tcPr>
            <w:tcW w:w="1000" w:type="dxa"/>
            <w:vAlign w:val="bottom"/>
            <w:tcBorders>
              <w:bottom w:val="single" w:sz="8" w:color="auto"/>
            </w:tcBorders>
            <w:shd w:val="clear" w:color="auto" w:fill="E7E7E2"/>
          </w:tcPr>
          <w:p>
            <w:pPr>
              <w:spacing w:after="0"/>
              <w:rPr>
                <w:sz w:val="22"/>
                <w:szCs w:val="22"/>
                <w:color w:val="auto"/>
              </w:rPr>
            </w:pPr>
          </w:p>
        </w:tc>
        <w:tc>
          <w:tcPr>
            <w:tcW w:w="300" w:type="dxa"/>
            <w:vAlign w:val="bottom"/>
            <w:tcBorders>
              <w:bottom w:val="single" w:sz="8" w:color="auto"/>
            </w:tcBorders>
            <w:shd w:val="clear" w:color="auto" w:fill="E7E7E2"/>
          </w:tcPr>
          <w:p>
            <w:pPr>
              <w:spacing w:after="0"/>
              <w:rPr>
                <w:sz w:val="22"/>
                <w:szCs w:val="22"/>
                <w:color w:val="auto"/>
              </w:rPr>
            </w:pPr>
          </w:p>
        </w:tc>
        <w:tc>
          <w:tcPr>
            <w:tcW w:w="260" w:type="dxa"/>
            <w:vAlign w:val="bottom"/>
            <w:tcBorders>
              <w:bottom w:val="single" w:sz="8" w:color="auto"/>
            </w:tcBorders>
            <w:shd w:val="clear" w:color="auto" w:fill="E7E7E2"/>
          </w:tcPr>
          <w:p>
            <w:pPr>
              <w:spacing w:after="0"/>
              <w:rPr>
                <w:sz w:val="22"/>
                <w:szCs w:val="22"/>
                <w:color w:val="auto"/>
              </w:rPr>
            </w:pPr>
          </w:p>
        </w:tc>
        <w:tc>
          <w:tcPr>
            <w:tcW w:w="680" w:type="dxa"/>
            <w:vAlign w:val="bottom"/>
            <w:tcBorders>
              <w:bottom w:val="single" w:sz="8" w:color="auto"/>
            </w:tcBorders>
            <w:shd w:val="clear" w:color="auto" w:fill="E7E7E2"/>
          </w:tcPr>
          <w:p>
            <w:pPr>
              <w:spacing w:after="0"/>
              <w:rPr>
                <w:sz w:val="22"/>
                <w:szCs w:val="22"/>
                <w:color w:val="auto"/>
              </w:rPr>
            </w:pPr>
          </w:p>
        </w:tc>
        <w:tc>
          <w:tcPr>
            <w:tcW w:w="600" w:type="dxa"/>
            <w:vAlign w:val="bottom"/>
            <w:tcBorders>
              <w:bottom w:val="single" w:sz="8" w:color="auto"/>
            </w:tcBorders>
            <w:shd w:val="clear" w:color="auto" w:fill="E7E7E2"/>
          </w:tcPr>
          <w:p>
            <w:pPr>
              <w:spacing w:after="0"/>
              <w:rPr>
                <w:sz w:val="22"/>
                <w:szCs w:val="22"/>
                <w:color w:val="auto"/>
              </w:rPr>
            </w:pPr>
          </w:p>
        </w:tc>
        <w:tc>
          <w:tcPr>
            <w:tcW w:w="860" w:type="dxa"/>
            <w:vAlign w:val="bottom"/>
            <w:tcBorders>
              <w:bottom w:val="single" w:sz="8" w:color="auto"/>
              <w:right w:val="single" w:sz="8" w:color="auto"/>
            </w:tcBorders>
            <w:shd w:val="clear" w:color="auto" w:fill="E7E7E2"/>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82" w:right="319" w:bottom="1440" w:gutter="0" w:footer="0" w:header="0"/>
        </w:sectPr>
      </w:pPr>
    </w:p>
    <w:bookmarkStart w:id="23" w:name="page24"/>
    <w:bookmarkEnd w:id="23"/>
    <w:p>
      <w:pPr>
        <w:ind w:left="10280"/>
        <w:spacing w:after="0"/>
        <w:rPr>
          <w:sz w:val="20"/>
          <w:szCs w:val="20"/>
          <w:color w:val="auto"/>
        </w:rPr>
      </w:pPr>
      <w:r>
        <w:rPr>
          <w:rFonts w:ascii="Times New Roman" w:cs="Times New Roman" w:eastAsia="Times New Roman" w:hAnsi="Times New Roman"/>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504825"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482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ROPES &amp; GRAY LLP</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PRUDENTIAL TOWER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800 BOYLSTON STREET</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BOSTON, MA 02199-3600</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WWW.ROPESGRAY.COM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May 29,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TJX Companies,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770 Cochituate Road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Framingham, MA 01701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 Registration of Debt Securities by The TJX Companies,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We have acted as counsel to The TJX Companies,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in connection with the</w:t>
      </w:r>
    </w:p>
    <w:p>
      <w:pPr>
        <w:spacing w:after="0" w:line="25"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1"/>
          <w:szCs w:val="21"/>
          <w:color w:val="auto"/>
        </w:rPr>
        <w:t>automatically effective shelf registration statement on Form S-3 (the “</w:t>
      </w: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filed on the date hereof by the Company with the Securities and Exchange Commission (the “</w:t>
      </w:r>
      <w:r>
        <w:rPr>
          <w:rFonts w:ascii="Times New Roman" w:cs="Times New Roman" w:eastAsia="Times New Roman" w:hAnsi="Times New Roman"/>
          <w:sz w:val="21"/>
          <w:szCs w:val="21"/>
          <w:u w:val="single" w:color="auto"/>
          <w:color w:val="auto"/>
        </w:rPr>
        <w:t>Commission</w:t>
      </w:r>
      <w:r>
        <w:rPr>
          <w:rFonts w:ascii="Times New Roman" w:cs="Times New Roman" w:eastAsia="Times New Roman" w:hAnsi="Times New Roman"/>
          <w:sz w:val="21"/>
          <w:szCs w:val="21"/>
          <w:color w:val="auto"/>
        </w:rPr>
        <w:t>”) under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relating to the registration under the Securities Act and the proposed issuance and sale from time to time pursuant to Rule 415 under the Securities Act of one or more series of senior unsecured debt securities of the Company (the “</w:t>
      </w:r>
      <w:r>
        <w:rPr>
          <w:rFonts w:ascii="Times New Roman" w:cs="Times New Roman" w:eastAsia="Times New Roman" w:hAnsi="Times New Roman"/>
          <w:sz w:val="21"/>
          <w:szCs w:val="21"/>
          <w:u w:val="single" w:color="auto"/>
          <w:color w:val="auto"/>
        </w:rPr>
        <w:t>Debt Securities</w:t>
      </w:r>
      <w:r>
        <w:rPr>
          <w:rFonts w:ascii="Times New Roman" w:cs="Times New Roman" w:eastAsia="Times New Roman" w:hAnsi="Times New Roman"/>
          <w:sz w:val="21"/>
          <w:szCs w:val="21"/>
          <w:color w:val="auto"/>
        </w:rPr>
        <w:t>”), which may be issued under an indenture, dated April 1, 2020, by and between the Company and U.S. Bank Trust Company, National Association (as successor in interest to U.S. Bank National Association), as trustee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including any supplemental indenture related thereto.</w:t>
      </w:r>
    </w:p>
    <w:p>
      <w:pPr>
        <w:spacing w:after="0" w:line="180" w:lineRule="exact"/>
        <w:rPr>
          <w:sz w:val="20"/>
          <w:szCs w:val="20"/>
          <w:color w:val="auto"/>
        </w:rPr>
      </w:pPr>
    </w:p>
    <w:p>
      <w:pPr>
        <w:ind w:right="100" w:firstLine="615"/>
        <w:spacing w:after="0" w:line="254" w:lineRule="auto"/>
        <w:rPr>
          <w:sz w:val="20"/>
          <w:szCs w:val="20"/>
          <w:color w:val="auto"/>
        </w:rPr>
      </w:pPr>
      <w:r>
        <w:rPr>
          <w:rFonts w:ascii="Times New Roman" w:cs="Times New Roman" w:eastAsia="Times New Roman" w:hAnsi="Times New Roman"/>
          <w:sz w:val="21"/>
          <w:szCs w:val="21"/>
          <w:color w:val="auto"/>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opinions expressed below are limited to the laws of the State of New York and the Delaware General Corporation Law.</w:t>
      </w:r>
    </w:p>
    <w:p>
      <w:pPr>
        <w:spacing w:after="0" w:line="207" w:lineRule="exact"/>
        <w:rPr>
          <w:sz w:val="20"/>
          <w:szCs w:val="20"/>
          <w:color w:val="auto"/>
        </w:rPr>
      </w:pPr>
    </w:p>
    <w:p>
      <w:pPr>
        <w:ind w:firstLine="615"/>
        <w:spacing w:after="0" w:line="284" w:lineRule="auto"/>
        <w:rPr>
          <w:sz w:val="20"/>
          <w:szCs w:val="20"/>
          <w:color w:val="auto"/>
        </w:rPr>
      </w:pPr>
      <w:r>
        <w:rPr>
          <w:rFonts w:ascii="Times New Roman" w:cs="Times New Roman" w:eastAsia="Times New Roman" w:hAnsi="Times New Roman"/>
          <w:sz w:val="19"/>
          <w:szCs w:val="19"/>
          <w:color w:val="auto"/>
        </w:rPr>
        <w:t>Based upon and subject to the foregoing and the assumptions, qualifications and limitations set forth below, we are of the opinion that when (i) the terms of any Debt Securities and their issuance and sale have been duly authorized by all necessary corporate action of the Company and (ii) such Debt Securities have been duly executed, authenticated and delivered against payment of the purchase price therefor in accordance with the applicable definitive purchase, underwriting or similar agreement, as contemplated by the Registration Statement, and in the manner provided for in the Indenture (including any supplemental indenture), such Debt</w:t>
      </w:r>
    </w:p>
    <w:p>
      <w:pPr>
        <w:sectPr>
          <w:pgSz w:w="11900" w:h="16838" w:orient="portrait"/>
          <w:cols w:equalWidth="0" w:num="1">
            <w:col w:w="11240"/>
          </w:cols>
          <w:pgMar w:left="320" w:top="123" w:right="339" w:bottom="1440" w:gutter="0" w:footer="0" w:header="0"/>
        </w:sectPr>
      </w:pPr>
    </w:p>
    <w:bookmarkStart w:id="24" w:name="page25"/>
    <w:bookmarkEnd w:id="24"/>
    <w:p>
      <w:pPr>
        <w:spacing w:after="0"/>
        <w:tabs>
          <w:tab w:leader="none" w:pos="2300" w:val="left"/>
        </w:tabs>
        <w:rPr>
          <w:sz w:val="20"/>
          <w:szCs w:val="20"/>
          <w:color w:val="auto"/>
        </w:rPr>
      </w:pPr>
      <w:r>
        <w:rPr>
          <w:rFonts w:ascii="Times New Roman" w:cs="Times New Roman" w:eastAsia="Times New Roman" w:hAnsi="Times New Roman"/>
          <w:sz w:val="21"/>
          <w:szCs w:val="21"/>
          <w:color w:val="auto"/>
        </w:rPr>
        <w:t>The TJX Companies, Inc.</w:t>
      </w:r>
      <w:r>
        <w:rPr>
          <w:sz w:val="20"/>
          <w:szCs w:val="20"/>
          <w:color w:val="auto"/>
        </w:rPr>
        <w:tab/>
      </w:r>
      <w:r>
        <w:rPr>
          <w:rFonts w:ascii="Times New Roman" w:cs="Times New Roman" w:eastAsia="Times New Roman" w:hAnsi="Times New Roman"/>
          <w:sz w:val="19"/>
          <w:szCs w:val="19"/>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21"/>
          <w:szCs w:val="21"/>
          <w:color w:val="auto"/>
        </w:rPr>
        <w:t>Securities will constitute valid and binding obligations of the Company, enforceable against the Company in accordance with their respective terms.</w:t>
      </w:r>
    </w:p>
    <w:p>
      <w:pPr>
        <w:spacing w:after="0" w:line="168" w:lineRule="exact"/>
        <w:rPr>
          <w:sz w:val="20"/>
          <w:szCs w:val="20"/>
          <w:color w:val="auto"/>
        </w:rPr>
      </w:pPr>
    </w:p>
    <w:p>
      <w:pPr>
        <w:ind w:right="120" w:firstLine="615"/>
        <w:spacing w:after="0" w:line="275" w:lineRule="auto"/>
        <w:rPr>
          <w:sz w:val="20"/>
          <w:szCs w:val="20"/>
          <w:color w:val="auto"/>
        </w:rPr>
      </w:pPr>
      <w:r>
        <w:rPr>
          <w:rFonts w:ascii="Times New Roman" w:cs="Times New Roman" w:eastAsia="Times New Roman" w:hAnsi="Times New Roman"/>
          <w:sz w:val="19"/>
          <w:szCs w:val="19"/>
          <w:color w:val="auto"/>
        </w:rPr>
        <w:t>In rendering the opinions set forth above, we have assumed that (i) the Registration Statement will have become effective under the Securities Act, a prospectus supplement will have been prepared and filed with the Commission describing the Debt Securities offered thereby and such Debt Securities will have been issued and sold in accordance with the terms of such prospectus supplement;</w:t>
      </w:r>
    </w:p>
    <w:p>
      <w:pPr>
        <w:spacing w:after="0" w:line="2" w:lineRule="exact"/>
        <w:rPr>
          <w:sz w:val="20"/>
          <w:szCs w:val="20"/>
          <w:color w:val="auto"/>
        </w:rPr>
      </w:pPr>
    </w:p>
    <w:p>
      <w:pPr>
        <w:ind w:right="20" w:firstLine="3"/>
        <w:spacing w:after="0" w:line="274" w:lineRule="auto"/>
        <w:tabs>
          <w:tab w:leader="none" w:pos="302"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definitive purchase, underwriting, or similar agreement and the Indenture (including any supplemental indenture), pursuant to which such Debt Securities may be issued, will have been duly authorized, executed and delivered by the Company and the other parties thereto, and the specific terms of such Debt Securities will have been duly established in conformity with the applicable agreement and the certificate of incorporation and bylaws of the Company (if applicable); (iii) at the time of the issuance of any Debt Securities, the Company will be a validly existing corporation under the law of its jurisdiction of incorporation; and (iv) all the foregoing actions to be taken by the Company will have been taken so as not to violate any applicable law and so as to comply with any requirement or restriction imposed by any court or governmental or regulatory body having jurisdiction over the Company or any of its property.</w:t>
      </w:r>
    </w:p>
    <w:p>
      <w:pPr>
        <w:spacing w:after="0" w:line="155" w:lineRule="exact"/>
        <w:rPr>
          <w:sz w:val="20"/>
          <w:szCs w:val="20"/>
          <w:color w:val="auto"/>
        </w:rPr>
      </w:pPr>
    </w:p>
    <w:p>
      <w:pPr>
        <w:ind w:firstLine="615"/>
        <w:spacing w:after="0" w:line="249" w:lineRule="auto"/>
        <w:rPr>
          <w:sz w:val="20"/>
          <w:szCs w:val="20"/>
          <w:color w:val="auto"/>
        </w:rPr>
      </w:pPr>
      <w:r>
        <w:rPr>
          <w:rFonts w:ascii="Times New Roman" w:cs="Times New Roman" w:eastAsia="Times New Roman" w:hAnsi="Times New Roman"/>
          <w:sz w:val="21"/>
          <w:szCs w:val="21"/>
          <w:color w:val="auto"/>
        </w:rPr>
        <w:t>Our opinions set forth above are subject to (a) bankruptcy, insolvency, reorganization, moratorium, fraudulent conveyance and similar laws affecting the rights and remedies of creditors generally and (b) general principles of equity. Our opinions are also subject to the qualification that the enforceability of provisions in the Indenture (including any supplemental indenture) providing for indemnification or contribution, broadly worded waivers, waivers of rights to damages or defenses, waivers of unknown or future claims, and waivers of statutory, regulatory or constitutional rights may be limited on public policy or statutory grounds. In addition, we express no opinion with respect to the enforceability of rights to receive prepayment premiums or the unaccrued portion of original issue discount upon acceleration of any Debt Securities, in each case to the extent determined to be unreasonable or to constitute unmatured interest.</w:t>
      </w:r>
    </w:p>
    <w:p>
      <w:pPr>
        <w:spacing w:after="0" w:line="175" w:lineRule="exact"/>
        <w:rPr>
          <w:sz w:val="20"/>
          <w:szCs w:val="20"/>
          <w:color w:val="auto"/>
        </w:rPr>
      </w:pPr>
    </w:p>
    <w:p>
      <w:pPr>
        <w:ind w:right="160" w:firstLine="615"/>
        <w:spacing w:after="0" w:line="250" w:lineRule="auto"/>
        <w:rPr>
          <w:sz w:val="20"/>
          <w:szCs w:val="20"/>
          <w:color w:val="auto"/>
        </w:rPr>
      </w:pPr>
      <w:r>
        <w:rPr>
          <w:rFonts w:ascii="Times New Roman" w:cs="Times New Roman" w:eastAsia="Times New Roman" w:hAnsi="Times New Roman"/>
          <w:sz w:val="21"/>
          <w:szCs w:val="21"/>
          <w:color w:val="auto"/>
        </w:rPr>
        <w:t>We hereby consent to the filing of this opinion letter as an exhibit to the Registration Statement and to the use of our name therein and in any related prospectus or prospectus supplement under the caption “Validity of Debt Securities.” In giving such consent, we do not thereby admit that we are in the category of persons whose consent is required under Section 7 of the Securities Act or the rules and regulations of the Commission thereunder.</w:t>
      </w:r>
    </w:p>
    <w:p>
      <w:pPr>
        <w:spacing w:after="0" w:line="18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/s/ Ropes &amp; Gray LLP</w:t>
      </w:r>
    </w:p>
    <w:p>
      <w:pPr>
        <w:spacing w:after="0" w:line="7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Ropes &amp; Gray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589" w:right="35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Georgia" w:cs="Georgia" w:eastAsia="Georgia" w:hAnsi="Georgia"/>
          <w:sz w:val="17"/>
          <w:szCs w:val="17"/>
          <w:color w:val="auto"/>
        </w:rPr>
        <w:t>CONSENT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ind w:right="180"/>
        <w:spacing w:after="0" w:line="254" w:lineRule="auto"/>
        <w:rPr>
          <w:sz w:val="20"/>
          <w:szCs w:val="20"/>
          <w:color w:val="auto"/>
        </w:rPr>
      </w:pPr>
      <w:r>
        <w:rPr>
          <w:rFonts w:ascii="Georgia" w:cs="Georgia" w:eastAsia="Georgia" w:hAnsi="Georgia"/>
          <w:sz w:val="17"/>
          <w:szCs w:val="17"/>
          <w:color w:val="auto"/>
        </w:rPr>
        <w:t>We hereby consent to the incorporation by reference in this Registration Statement on Form S-3 of The TJX Companies, Inc. of our report dated March 31, 2026 relating to the financial statements, financial statement schedule and the effectiveness of internal control over financial reporting, which appears in The TJX Companies, Inc.'s Annual Report on Form 10-K for the year ended January 31, 2026. We also consent to the reference to us under the heading “Experts” in such Registration Statement.</w:t>
      </w:r>
    </w:p>
    <w:p>
      <w:pPr>
        <w:spacing w:after="0" w:line="207" w:lineRule="exact"/>
        <w:rPr>
          <w:sz w:val="20"/>
          <w:szCs w:val="20"/>
          <w:color w:val="auto"/>
        </w:rPr>
      </w:pPr>
    </w:p>
    <w:p>
      <w:pPr>
        <w:spacing w:after="0"/>
        <w:rPr>
          <w:sz w:val="20"/>
          <w:szCs w:val="20"/>
          <w:color w:val="auto"/>
        </w:rPr>
      </w:pPr>
      <w:r>
        <w:rPr>
          <w:rFonts w:ascii="Georgia" w:cs="Georgia" w:eastAsia="Georgia" w:hAnsi="Georgia"/>
          <w:sz w:val="17"/>
          <w:szCs w:val="17"/>
          <w:color w:val="auto"/>
        </w:rPr>
        <w:t>/s/ PricewaterhouseCoopers LLP</w:t>
      </w:r>
    </w:p>
    <w:p>
      <w:pPr>
        <w:spacing w:after="0" w:line="12" w:lineRule="exact"/>
        <w:rPr>
          <w:sz w:val="20"/>
          <w:szCs w:val="20"/>
          <w:color w:val="auto"/>
        </w:rPr>
      </w:pPr>
    </w:p>
    <w:p>
      <w:pPr>
        <w:spacing w:after="0"/>
        <w:rPr>
          <w:sz w:val="20"/>
          <w:szCs w:val="20"/>
          <w:color w:val="auto"/>
        </w:rPr>
      </w:pPr>
      <w:r>
        <w:rPr>
          <w:rFonts w:ascii="Georgia" w:cs="Georgia" w:eastAsia="Georgia" w:hAnsi="Georgia"/>
          <w:sz w:val="17"/>
          <w:szCs w:val="17"/>
          <w:color w:val="auto"/>
        </w:rPr>
        <w:t>Boston, Massachusetts</w:t>
      </w:r>
    </w:p>
    <w:p>
      <w:pPr>
        <w:spacing w:after="0" w:line="12" w:lineRule="exact"/>
        <w:rPr>
          <w:sz w:val="20"/>
          <w:szCs w:val="20"/>
          <w:color w:val="auto"/>
        </w:rPr>
      </w:pPr>
    </w:p>
    <w:p>
      <w:pPr>
        <w:spacing w:after="0"/>
        <w:rPr>
          <w:sz w:val="20"/>
          <w:szCs w:val="20"/>
          <w:color w:val="auto"/>
        </w:rPr>
      </w:pPr>
      <w:r>
        <w:rPr>
          <w:rFonts w:ascii="Georgia" w:cs="Georgia" w:eastAsia="Georgia" w:hAnsi="Georgia"/>
          <w:sz w:val="17"/>
          <w:szCs w:val="17"/>
          <w:color w:val="auto"/>
        </w:rPr>
        <w:t>May 29, 2026</w:t>
      </w:r>
    </w:p>
    <w:p>
      <w:pPr>
        <w:sectPr>
          <w:pgSz w:w="11900" w:h="16838" w:orient="portrait"/>
          <w:cols w:equalWidth="0" w:num="1">
            <w:col w:w="11240"/>
          </w:cols>
          <w:pgMar w:left="320" w:top="12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1"/>
          <w:szCs w:val="21"/>
          <w:b w:val="1"/>
          <w:bCs w:val="1"/>
          <w:color w:val="auto"/>
        </w:rPr>
        <w:t>Exhibit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u w:val="single" w:color="auto"/>
          <w:color w:val="auto"/>
        </w:rPr>
        <w:t>_____________________________________________________________________________</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__________________________</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T-1</w:t>
      </w: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b w:val="1"/>
          <w:bCs w:val="1"/>
          <w:color w:val="auto"/>
        </w:rPr>
        <w:t>STATEMENT OF ELIGIBILITY UNDER</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b w:val="1"/>
          <w:bCs w:val="1"/>
          <w:color w:val="auto"/>
        </w:rPr>
        <w:t>THE TRUST INDENTURE ACT OF 1939 OF A</w:t>
      </w:r>
    </w:p>
    <w:p>
      <w:pPr>
        <w:spacing w:after="0" w:line="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b w:val="1"/>
          <w:bCs w:val="1"/>
          <w:color w:val="auto"/>
        </w:rPr>
        <w:t>CORPORATION DESIGNATED TO ACT AS TRUSTEE</w:t>
      </w:r>
    </w:p>
    <w:p>
      <w:pPr>
        <w:spacing w:after="0" w:line="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color w:val="auto"/>
        </w:rPr>
        <w:t>Check if an Application to Determine Eligibility of</w:t>
      </w:r>
    </w:p>
    <w:p>
      <w:pPr>
        <w:jc w:val="center"/>
        <w:spacing w:after="0" w:line="219" w:lineRule="exact"/>
        <w:rPr>
          <w:sz w:val="20"/>
          <w:szCs w:val="20"/>
          <w:color w:val="auto"/>
        </w:rPr>
      </w:pPr>
      <w:r>
        <w:rPr>
          <w:rFonts w:ascii="Times New Roman" w:cs="Times New Roman" w:eastAsia="Times New Roman" w:hAnsi="Times New Roman"/>
          <w:sz w:val="19"/>
          <w:szCs w:val="19"/>
          <w:color w:val="auto"/>
        </w:rPr>
        <w:t xml:space="preserve">a Trustee Pursuant to Section 305(b)(2) </w:t>
      </w:r>
      <w:r>
        <w:rPr>
          <w:rFonts w:ascii="MS PGothic" w:cs="MS PGothic" w:eastAsia="MS PGothic" w:hAnsi="MS PGothic"/>
          <w:sz w:val="19"/>
          <w:szCs w:val="19"/>
          <w:color w:val="auto"/>
        </w:rPr>
        <w:t>☐</w:t>
      </w:r>
    </w:p>
    <w:p>
      <w:pPr>
        <w:spacing w:after="0" w:line="1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_______________________________________________________</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1120" w:type="dxa"/>
            <w:vAlign w:val="bottom"/>
            <w:gridSpan w:val="6"/>
          </w:tcPr>
          <w:p>
            <w:pPr>
              <w:jc w:val="center"/>
              <w:ind w:left="28"/>
              <w:spacing w:after="0"/>
              <w:rPr>
                <w:sz w:val="20"/>
                <w:szCs w:val="20"/>
                <w:color w:val="auto"/>
              </w:rPr>
            </w:pPr>
            <w:r>
              <w:rPr>
                <w:rFonts w:ascii="Times New Roman" w:cs="Times New Roman" w:eastAsia="Times New Roman" w:hAnsi="Times New Roman"/>
                <w:sz w:val="24"/>
                <w:szCs w:val="24"/>
                <w:b w:val="1"/>
                <w:bCs w:val="1"/>
                <w:color w:val="auto"/>
                <w:w w:val="98"/>
              </w:rPr>
              <w:t>U.S. BANK TRUST COMPANY, NATIONAL ASSOCIATION</w:t>
            </w:r>
          </w:p>
        </w:tc>
        <w:tc>
          <w:tcPr>
            <w:tcW w:w="0" w:type="dxa"/>
            <w:vAlign w:val="bottom"/>
          </w:tcPr>
          <w:p>
            <w:pPr>
              <w:spacing w:after="0"/>
              <w:rPr>
                <w:sz w:val="1"/>
                <w:szCs w:val="1"/>
                <w:color w:val="auto"/>
              </w:rPr>
            </w:pPr>
          </w:p>
        </w:tc>
      </w:tr>
      <w:tr>
        <w:trPr>
          <w:trHeight w:val="199"/>
        </w:trPr>
        <w:tc>
          <w:tcPr>
            <w:tcW w:w="11120" w:type="dxa"/>
            <w:vAlign w:val="bottom"/>
            <w:gridSpan w:val="6"/>
          </w:tcPr>
          <w:p>
            <w:pPr>
              <w:jc w:val="center"/>
              <w:ind w:left="48"/>
              <w:spacing w:after="0"/>
              <w:rPr>
                <w:sz w:val="20"/>
                <w:szCs w:val="20"/>
                <w:color w:val="auto"/>
              </w:rPr>
            </w:pPr>
            <w:r>
              <w:rPr>
                <w:rFonts w:ascii="Times New Roman" w:cs="Times New Roman" w:eastAsia="Times New Roman" w:hAnsi="Times New Roman"/>
                <w:sz w:val="15"/>
                <w:szCs w:val="15"/>
                <w:color w:val="auto"/>
              </w:rPr>
              <w:t>(Exact name of Trustee as specified in its charter)</w:t>
            </w:r>
          </w:p>
        </w:tc>
        <w:tc>
          <w:tcPr>
            <w:tcW w:w="0" w:type="dxa"/>
            <w:vAlign w:val="bottom"/>
          </w:tcPr>
          <w:p>
            <w:pPr>
              <w:spacing w:after="0"/>
              <w:rPr>
                <w:sz w:val="1"/>
                <w:szCs w:val="1"/>
                <w:color w:val="auto"/>
              </w:rPr>
            </w:pPr>
          </w:p>
        </w:tc>
      </w:tr>
      <w:tr>
        <w:trPr>
          <w:trHeight w:val="442"/>
        </w:trPr>
        <w:tc>
          <w:tcPr>
            <w:tcW w:w="4560" w:type="dxa"/>
            <w:vAlign w:val="bottom"/>
          </w:tcPr>
          <w:p>
            <w:pPr>
              <w:spacing w:after="0"/>
              <w:rPr>
                <w:sz w:val="24"/>
                <w:szCs w:val="24"/>
                <w:color w:val="auto"/>
              </w:rPr>
            </w:pPr>
          </w:p>
        </w:tc>
        <w:tc>
          <w:tcPr>
            <w:tcW w:w="6520" w:type="dxa"/>
            <w:vAlign w:val="bottom"/>
            <w:gridSpan w:val="4"/>
          </w:tcPr>
          <w:p>
            <w:pPr>
              <w:jc w:val="right"/>
              <w:ind w:right="4919"/>
              <w:spacing w:after="0"/>
              <w:rPr>
                <w:sz w:val="20"/>
                <w:szCs w:val="20"/>
                <w:color w:val="auto"/>
              </w:rPr>
            </w:pPr>
            <w:r>
              <w:rPr>
                <w:rFonts w:ascii="Times New Roman" w:cs="Times New Roman" w:eastAsia="Times New Roman" w:hAnsi="Times New Roman"/>
                <w:sz w:val="19"/>
                <w:szCs w:val="19"/>
                <w:b w:val="1"/>
                <w:bCs w:val="1"/>
                <w:color w:val="auto"/>
              </w:rPr>
              <w:t>91-1821036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560" w:type="dxa"/>
            <w:vAlign w:val="bottom"/>
          </w:tcPr>
          <w:p>
            <w:pPr>
              <w:spacing w:after="0"/>
              <w:rPr>
                <w:sz w:val="17"/>
                <w:szCs w:val="17"/>
                <w:color w:val="auto"/>
              </w:rPr>
            </w:pPr>
          </w:p>
        </w:tc>
        <w:tc>
          <w:tcPr>
            <w:tcW w:w="6560" w:type="dxa"/>
            <w:vAlign w:val="bottom"/>
            <w:gridSpan w:val="5"/>
          </w:tcPr>
          <w:p>
            <w:pPr>
              <w:jc w:val="center"/>
              <w:ind w:right="4420"/>
              <w:spacing w:after="0"/>
              <w:rPr>
                <w:sz w:val="20"/>
                <w:szCs w:val="20"/>
                <w:color w:val="auto"/>
              </w:rPr>
            </w:pPr>
            <w:r>
              <w:rPr>
                <w:rFonts w:ascii="Times New Roman" w:cs="Times New Roman" w:eastAsia="Times New Roman" w:hAnsi="Times New Roman"/>
                <w:sz w:val="15"/>
                <w:szCs w:val="15"/>
                <w:color w:val="auto"/>
              </w:rPr>
              <w:t>I.R.S. Employer Identification No.</w:t>
            </w:r>
          </w:p>
        </w:tc>
        <w:tc>
          <w:tcPr>
            <w:tcW w:w="0" w:type="dxa"/>
            <w:vAlign w:val="bottom"/>
          </w:tcPr>
          <w:p>
            <w:pPr>
              <w:spacing w:after="0"/>
              <w:rPr>
                <w:sz w:val="1"/>
                <w:szCs w:val="1"/>
                <w:color w:val="auto"/>
              </w:rPr>
            </w:pPr>
          </w:p>
        </w:tc>
      </w:tr>
      <w:tr>
        <w:trPr>
          <w:trHeight w:val="249"/>
        </w:trPr>
        <w:tc>
          <w:tcPr>
            <w:tcW w:w="4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5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560" w:type="dxa"/>
            <w:vAlign w:val="bottom"/>
            <w:tcBorders>
              <w:left w:val="single" w:sz="8" w:color="auto"/>
            </w:tcBorders>
          </w:tcPr>
          <w:p>
            <w:pPr>
              <w:jc w:val="center"/>
              <w:ind w:left="908"/>
              <w:spacing w:after="0" w:line="228" w:lineRule="exact"/>
              <w:rPr>
                <w:sz w:val="20"/>
                <w:szCs w:val="20"/>
                <w:color w:val="auto"/>
              </w:rPr>
            </w:pPr>
            <w:r>
              <w:rPr>
                <w:rFonts w:ascii="Times New Roman" w:cs="Times New Roman" w:eastAsia="Times New Roman" w:hAnsi="Times New Roman"/>
                <w:sz w:val="19"/>
                <w:szCs w:val="19"/>
                <w:color w:val="auto"/>
                <w:w w:val="96"/>
              </w:rPr>
              <w:t>200 South 6</w:t>
            </w:r>
            <w:r>
              <w:rPr>
                <w:rFonts w:ascii="Times New Roman" w:cs="Times New Roman" w:eastAsia="Times New Roman" w:hAnsi="Times New Roman"/>
                <w:sz w:val="24"/>
                <w:szCs w:val="24"/>
                <w:color w:val="auto"/>
                <w:w w:val="96"/>
                <w:vertAlign w:val="superscript"/>
              </w:rPr>
              <w:t>th</w:t>
            </w:r>
            <w:r>
              <w:rPr>
                <w:rFonts w:ascii="Times New Roman" w:cs="Times New Roman" w:eastAsia="Times New Roman" w:hAnsi="Times New Roman"/>
                <w:sz w:val="19"/>
                <w:szCs w:val="19"/>
                <w:color w:val="auto"/>
                <w:w w:val="96"/>
              </w:rPr>
              <w:t xml:space="preserve"> Street</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55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60" w:type="dxa"/>
            <w:vAlign w:val="bottom"/>
            <w:tcBorders>
              <w:left w:val="single" w:sz="8" w:color="auto"/>
            </w:tcBorders>
          </w:tcPr>
          <w:p>
            <w:pPr>
              <w:jc w:val="center"/>
              <w:ind w:left="928"/>
              <w:spacing w:after="0"/>
              <w:rPr>
                <w:sz w:val="20"/>
                <w:szCs w:val="20"/>
                <w:color w:val="auto"/>
              </w:rPr>
            </w:pPr>
            <w:r>
              <w:rPr>
                <w:rFonts w:ascii="Times New Roman" w:cs="Times New Roman" w:eastAsia="Times New Roman" w:hAnsi="Times New Roman"/>
                <w:sz w:val="19"/>
                <w:szCs w:val="19"/>
                <w:color w:val="auto"/>
                <w:w w:val="98"/>
              </w:rPr>
              <w:t>Minneapolis, Minnesota</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5500" w:type="dxa"/>
            <w:vAlign w:val="bottom"/>
          </w:tcPr>
          <w:p>
            <w:pPr>
              <w:jc w:val="right"/>
              <w:ind w:right="2419"/>
              <w:spacing w:after="0"/>
              <w:rPr>
                <w:sz w:val="20"/>
                <w:szCs w:val="20"/>
                <w:color w:val="auto"/>
              </w:rPr>
            </w:pPr>
            <w:r>
              <w:rPr>
                <w:rFonts w:ascii="Times New Roman" w:cs="Times New Roman" w:eastAsia="Times New Roman" w:hAnsi="Times New Roman"/>
                <w:sz w:val="19"/>
                <w:szCs w:val="19"/>
                <w:color w:val="auto"/>
              </w:rPr>
              <w:t>55402</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56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60" w:type="dxa"/>
            <w:vAlign w:val="bottom"/>
            <w:tcBorders>
              <w:left w:val="single" w:sz="8" w:color="auto"/>
              <w:bottom w:val="single" w:sz="8" w:color="auto"/>
            </w:tcBorders>
          </w:tcPr>
          <w:p>
            <w:pPr>
              <w:jc w:val="center"/>
              <w:ind w:left="908"/>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(Zip Code)</w:t>
            </w:r>
          </w:p>
        </w:tc>
        <w:tc>
          <w:tcPr>
            <w:tcW w:w="0" w:type="dxa"/>
            <w:vAlign w:val="bottom"/>
          </w:tcPr>
          <w:p>
            <w:pPr>
              <w:spacing w:after="0"/>
              <w:rPr>
                <w:sz w:val="1"/>
                <w:szCs w:val="1"/>
                <w:color w:val="auto"/>
              </w:rPr>
            </w:pPr>
          </w:p>
        </w:tc>
      </w:tr>
      <w:tr>
        <w:trPr>
          <w:trHeight w:val="518"/>
        </w:trPr>
        <w:tc>
          <w:tcPr>
            <w:tcW w:w="4560" w:type="dxa"/>
            <w:vAlign w:val="bottom"/>
          </w:tcPr>
          <w:p>
            <w:pPr>
              <w:spacing w:after="0"/>
              <w:rPr>
                <w:sz w:val="24"/>
                <w:szCs w:val="24"/>
                <w:color w:val="auto"/>
              </w:rPr>
            </w:pPr>
          </w:p>
        </w:tc>
        <w:tc>
          <w:tcPr>
            <w:tcW w:w="6560" w:type="dxa"/>
            <w:vAlign w:val="bottom"/>
            <w:gridSpan w:val="5"/>
          </w:tcPr>
          <w:p>
            <w:pPr>
              <w:jc w:val="center"/>
              <w:ind w:right="4440"/>
              <w:spacing w:after="0"/>
              <w:rPr>
                <w:sz w:val="20"/>
                <w:szCs w:val="20"/>
                <w:color w:val="auto"/>
              </w:rPr>
            </w:pPr>
            <w:r>
              <w:rPr>
                <w:rFonts w:ascii="Times New Roman" w:cs="Times New Roman" w:eastAsia="Times New Roman" w:hAnsi="Times New Roman"/>
                <w:sz w:val="19"/>
                <w:szCs w:val="19"/>
                <w:color w:val="auto"/>
                <w:w w:val="96"/>
              </w:rPr>
              <w:t>Ivy L. Wegener</w:t>
            </w:r>
          </w:p>
        </w:tc>
        <w:tc>
          <w:tcPr>
            <w:tcW w:w="0" w:type="dxa"/>
            <w:vAlign w:val="bottom"/>
          </w:tcPr>
          <w:p>
            <w:pPr>
              <w:spacing w:after="0"/>
              <w:rPr>
                <w:sz w:val="1"/>
                <w:szCs w:val="1"/>
                <w:color w:val="auto"/>
              </w:rPr>
            </w:pPr>
          </w:p>
        </w:tc>
      </w:tr>
      <w:tr>
        <w:trPr>
          <w:trHeight w:val="231"/>
        </w:trPr>
        <w:tc>
          <w:tcPr>
            <w:tcW w:w="11120" w:type="dxa"/>
            <w:vAlign w:val="bottom"/>
            <w:gridSpan w:val="6"/>
          </w:tcPr>
          <w:p>
            <w:pPr>
              <w:jc w:val="center"/>
              <w:ind w:left="48"/>
              <w:spacing w:after="0"/>
              <w:rPr>
                <w:sz w:val="20"/>
                <w:szCs w:val="20"/>
                <w:color w:val="auto"/>
              </w:rPr>
            </w:pPr>
            <w:r>
              <w:rPr>
                <w:rFonts w:ascii="Times New Roman" w:cs="Times New Roman" w:eastAsia="Times New Roman" w:hAnsi="Times New Roman"/>
                <w:sz w:val="19"/>
                <w:szCs w:val="19"/>
                <w:color w:val="auto"/>
                <w:w w:val="98"/>
              </w:rPr>
              <w:t>U.S. Bank Trust Company, National Association</w:t>
            </w:r>
          </w:p>
        </w:tc>
        <w:tc>
          <w:tcPr>
            <w:tcW w:w="0" w:type="dxa"/>
            <w:vAlign w:val="bottom"/>
          </w:tcPr>
          <w:p>
            <w:pPr>
              <w:spacing w:after="0"/>
              <w:rPr>
                <w:sz w:val="1"/>
                <w:szCs w:val="1"/>
                <w:color w:val="auto"/>
              </w:rPr>
            </w:pPr>
          </w:p>
        </w:tc>
      </w:tr>
      <w:tr>
        <w:trPr>
          <w:trHeight w:val="218"/>
        </w:trPr>
        <w:tc>
          <w:tcPr>
            <w:tcW w:w="4560" w:type="dxa"/>
            <w:vAlign w:val="bottom"/>
          </w:tcPr>
          <w:p>
            <w:pPr>
              <w:spacing w:after="0"/>
              <w:rPr>
                <w:sz w:val="18"/>
                <w:szCs w:val="18"/>
                <w:color w:val="auto"/>
              </w:rPr>
            </w:pPr>
          </w:p>
        </w:tc>
        <w:tc>
          <w:tcPr>
            <w:tcW w:w="6560" w:type="dxa"/>
            <w:vAlign w:val="bottom"/>
            <w:gridSpan w:val="5"/>
          </w:tcPr>
          <w:p>
            <w:pPr>
              <w:jc w:val="center"/>
              <w:ind w:right="4440"/>
              <w:spacing w:after="0"/>
              <w:rPr>
                <w:sz w:val="20"/>
                <w:szCs w:val="20"/>
                <w:color w:val="auto"/>
              </w:rPr>
            </w:pPr>
            <w:r>
              <w:rPr>
                <w:rFonts w:ascii="Times New Roman" w:cs="Times New Roman" w:eastAsia="Times New Roman" w:hAnsi="Times New Roman"/>
                <w:sz w:val="19"/>
                <w:szCs w:val="19"/>
                <w:color w:val="auto"/>
                <w:w w:val="98"/>
              </w:rPr>
              <w:t>One Federal Street</w:t>
            </w:r>
          </w:p>
        </w:tc>
        <w:tc>
          <w:tcPr>
            <w:tcW w:w="0" w:type="dxa"/>
            <w:vAlign w:val="bottom"/>
          </w:tcPr>
          <w:p>
            <w:pPr>
              <w:spacing w:after="0"/>
              <w:rPr>
                <w:sz w:val="1"/>
                <w:szCs w:val="1"/>
                <w:color w:val="auto"/>
              </w:rPr>
            </w:pPr>
          </w:p>
        </w:tc>
      </w:tr>
      <w:tr>
        <w:trPr>
          <w:trHeight w:val="231"/>
        </w:trPr>
        <w:tc>
          <w:tcPr>
            <w:tcW w:w="4560" w:type="dxa"/>
            <w:vAlign w:val="bottom"/>
          </w:tcPr>
          <w:p>
            <w:pPr>
              <w:spacing w:after="0"/>
              <w:rPr>
                <w:sz w:val="20"/>
                <w:szCs w:val="20"/>
                <w:color w:val="auto"/>
              </w:rPr>
            </w:pPr>
          </w:p>
        </w:tc>
        <w:tc>
          <w:tcPr>
            <w:tcW w:w="6560" w:type="dxa"/>
            <w:vAlign w:val="bottom"/>
            <w:gridSpan w:val="5"/>
          </w:tcPr>
          <w:p>
            <w:pPr>
              <w:jc w:val="center"/>
              <w:ind w:right="4440"/>
              <w:spacing w:after="0"/>
              <w:rPr>
                <w:sz w:val="20"/>
                <w:szCs w:val="20"/>
                <w:color w:val="auto"/>
              </w:rPr>
            </w:pPr>
            <w:r>
              <w:rPr>
                <w:rFonts w:ascii="Times New Roman" w:cs="Times New Roman" w:eastAsia="Times New Roman" w:hAnsi="Times New Roman"/>
                <w:sz w:val="19"/>
                <w:szCs w:val="19"/>
                <w:color w:val="auto"/>
                <w:w w:val="98"/>
              </w:rPr>
              <w:t>Boston, MA 02110</w:t>
            </w: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p>
        </w:tc>
        <w:tc>
          <w:tcPr>
            <w:tcW w:w="6520" w:type="dxa"/>
            <w:vAlign w:val="bottom"/>
            <w:gridSpan w:val="4"/>
          </w:tcPr>
          <w:p>
            <w:pPr>
              <w:jc w:val="right"/>
              <w:ind w:right="4779"/>
              <w:spacing w:after="0"/>
              <w:rPr>
                <w:sz w:val="20"/>
                <w:szCs w:val="20"/>
                <w:color w:val="auto"/>
              </w:rPr>
            </w:pPr>
            <w:r>
              <w:rPr>
                <w:rFonts w:ascii="Times New Roman" w:cs="Times New Roman" w:eastAsia="Times New Roman" w:hAnsi="Times New Roman"/>
                <w:sz w:val="19"/>
                <w:szCs w:val="19"/>
                <w:color w:val="auto"/>
              </w:rPr>
              <w:t>(917) 256-2865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1120" w:type="dxa"/>
            <w:vAlign w:val="bottom"/>
            <w:gridSpan w:val="6"/>
          </w:tcPr>
          <w:p>
            <w:pPr>
              <w:jc w:val="center"/>
              <w:ind w:left="28"/>
              <w:spacing w:after="0" w:line="164" w:lineRule="exact"/>
              <w:rPr>
                <w:sz w:val="20"/>
                <w:szCs w:val="20"/>
                <w:color w:val="auto"/>
              </w:rPr>
            </w:pPr>
            <w:r>
              <w:rPr>
                <w:rFonts w:ascii="Times New Roman" w:cs="Times New Roman" w:eastAsia="Times New Roman" w:hAnsi="Times New Roman"/>
                <w:sz w:val="15"/>
                <w:szCs w:val="15"/>
                <w:color w:val="auto"/>
              </w:rPr>
              <w:t>(Name, address and telephone number of agent for service)</w:t>
            </w:r>
          </w:p>
        </w:tc>
        <w:tc>
          <w:tcPr>
            <w:tcW w:w="0" w:type="dxa"/>
            <w:vAlign w:val="bottom"/>
          </w:tcPr>
          <w:p>
            <w:pPr>
              <w:spacing w:after="0"/>
              <w:rPr>
                <w:sz w:val="1"/>
                <w:szCs w:val="1"/>
                <w:color w:val="auto"/>
              </w:rPr>
            </w:pPr>
          </w:p>
        </w:tc>
      </w:tr>
      <w:tr>
        <w:trPr>
          <w:trHeight w:val="297"/>
        </w:trPr>
        <w:tc>
          <w:tcPr>
            <w:tcW w:w="11120" w:type="dxa"/>
            <w:vAlign w:val="bottom"/>
            <w:gridSpan w:val="6"/>
          </w:tcPr>
          <w:p>
            <w:pPr>
              <w:jc w:val="center"/>
              <w:ind w:left="48"/>
              <w:spacing w:after="0"/>
              <w:rPr>
                <w:sz w:val="20"/>
                <w:szCs w:val="20"/>
                <w:color w:val="auto"/>
              </w:rPr>
            </w:pPr>
            <w:r>
              <w:rPr>
                <w:rFonts w:ascii="Times New Roman" w:cs="Times New Roman" w:eastAsia="Times New Roman" w:hAnsi="Times New Roman"/>
                <w:sz w:val="24"/>
                <w:szCs w:val="24"/>
                <w:b w:val="1"/>
                <w:bCs w:val="1"/>
                <w:color w:val="auto"/>
                <w:w w:val="99"/>
              </w:rPr>
              <w:t>THE TJX COMPANIES, INC.</w:t>
            </w:r>
          </w:p>
        </w:tc>
        <w:tc>
          <w:tcPr>
            <w:tcW w:w="0" w:type="dxa"/>
            <w:vAlign w:val="bottom"/>
          </w:tcPr>
          <w:p>
            <w:pPr>
              <w:spacing w:after="0"/>
              <w:rPr>
                <w:sz w:val="1"/>
                <w:szCs w:val="1"/>
                <w:color w:val="auto"/>
              </w:rPr>
            </w:pPr>
          </w:p>
        </w:tc>
      </w:tr>
      <w:tr>
        <w:trPr>
          <w:trHeight w:val="199"/>
        </w:trPr>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(Issuer with respect to the Securities)</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4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4560" w:type="dxa"/>
            <w:vAlign w:val="bottom"/>
            <w:tcBorders>
              <w:left w:val="single" w:sz="8" w:color="auto"/>
              <w:bottom w:val="single" w:sz="8" w:color="auto"/>
            </w:tcBorders>
          </w:tcPr>
          <w:p>
            <w:pPr>
              <w:jc w:val="center"/>
              <w:ind w:left="768"/>
              <w:spacing w:after="0"/>
              <w:rPr>
                <w:sz w:val="20"/>
                <w:szCs w:val="20"/>
                <w:color w:val="auto"/>
              </w:rPr>
            </w:pPr>
            <w:r>
              <w:rPr>
                <w:rFonts w:ascii="Times New Roman" w:cs="Times New Roman" w:eastAsia="Times New Roman" w:hAnsi="Times New Roman"/>
                <w:sz w:val="21"/>
                <w:szCs w:val="21"/>
                <w:color w:val="auto"/>
                <w:w w:val="96"/>
              </w:rPr>
              <w:t>Delaware</w:t>
            </w:r>
          </w:p>
        </w:tc>
        <w:tc>
          <w:tcPr>
            <w:tcW w:w="880" w:type="dxa"/>
            <w:vAlign w:val="bottom"/>
            <w:tcBorders>
              <w:bottom w:val="single" w:sz="8" w:color="auto"/>
              <w:right w:val="single" w:sz="8" w:color="auto"/>
            </w:tcBorders>
          </w:tcPr>
          <w:p>
            <w:pPr>
              <w:spacing w:after="0"/>
              <w:rPr>
                <w:sz w:val="21"/>
                <w:szCs w:val="21"/>
                <w:color w:val="auto"/>
              </w:rPr>
            </w:pPr>
          </w:p>
        </w:tc>
        <w:tc>
          <w:tcPr>
            <w:tcW w:w="5640" w:type="dxa"/>
            <w:vAlign w:val="bottom"/>
            <w:tcBorders>
              <w:bottom w:val="single" w:sz="8" w:color="auto"/>
              <w:right w:val="single" w:sz="8" w:color="auto"/>
            </w:tcBorders>
            <w:gridSpan w:val="3"/>
          </w:tcPr>
          <w:p>
            <w:pPr>
              <w:jc w:val="right"/>
              <w:ind w:right="2259"/>
              <w:spacing w:after="0"/>
              <w:rPr>
                <w:sz w:val="20"/>
                <w:szCs w:val="20"/>
                <w:color w:val="auto"/>
              </w:rPr>
            </w:pPr>
            <w:r>
              <w:rPr>
                <w:rFonts w:ascii="Times New Roman" w:cs="Times New Roman" w:eastAsia="Times New Roman" w:hAnsi="Times New Roman"/>
                <w:sz w:val="21"/>
                <w:szCs w:val="21"/>
                <w:color w:val="auto"/>
              </w:rPr>
              <w:t>04-2207613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bottom w:val="single" w:sz="8" w:color="auto"/>
            </w:tcBorders>
          </w:tcPr>
          <w:p>
            <w:pPr>
              <w:jc w:val="center"/>
              <w:ind w:left="788"/>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8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50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5"/>
                <w:szCs w:val="15"/>
                <w:color w:val="auto"/>
              </w:rPr>
              <w:t>(I.R.S. Employer Identification No.)</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56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5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4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560" w:type="dxa"/>
            <w:vAlign w:val="bottom"/>
            <w:tcBorders>
              <w:left w:val="single" w:sz="8" w:color="auto"/>
            </w:tcBorders>
          </w:tcPr>
          <w:p>
            <w:pPr>
              <w:jc w:val="center"/>
              <w:ind w:left="808"/>
              <w:spacing w:after="0"/>
              <w:rPr>
                <w:sz w:val="20"/>
                <w:szCs w:val="20"/>
                <w:color w:val="auto"/>
              </w:rPr>
            </w:pPr>
            <w:r>
              <w:rPr>
                <w:rFonts w:ascii="Times New Roman" w:cs="Times New Roman" w:eastAsia="Times New Roman" w:hAnsi="Times New Roman"/>
                <w:sz w:val="21"/>
                <w:szCs w:val="21"/>
                <w:color w:val="auto"/>
                <w:w w:val="98"/>
              </w:rPr>
              <w:t>770 Cochituate Road</w:t>
            </w:r>
          </w:p>
        </w:tc>
        <w:tc>
          <w:tcPr>
            <w:tcW w:w="8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5600" w:type="dxa"/>
            <w:vAlign w:val="bottom"/>
            <w:gridSpan w:val="2"/>
            <w:vMerge w:val="restart"/>
          </w:tcPr>
          <w:p>
            <w:pPr>
              <w:jc w:val="right"/>
              <w:ind w:right="2459"/>
              <w:spacing w:after="0"/>
              <w:rPr>
                <w:sz w:val="20"/>
                <w:szCs w:val="20"/>
                <w:color w:val="auto"/>
              </w:rPr>
            </w:pPr>
            <w:r>
              <w:rPr>
                <w:rFonts w:ascii="Times New Roman" w:cs="Times New Roman" w:eastAsia="Times New Roman" w:hAnsi="Times New Roman"/>
                <w:sz w:val="21"/>
                <w:szCs w:val="21"/>
                <w:color w:val="auto"/>
              </w:rPr>
              <w:t>01701</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560" w:type="dxa"/>
            <w:vAlign w:val="bottom"/>
            <w:tcBorders>
              <w:left w:val="single" w:sz="8" w:color="auto"/>
              <w:bottom w:val="single" w:sz="8" w:color="auto"/>
            </w:tcBorders>
          </w:tcPr>
          <w:p>
            <w:pPr>
              <w:jc w:val="center"/>
              <w:ind w:left="808"/>
              <w:spacing w:after="0"/>
              <w:rPr>
                <w:sz w:val="20"/>
                <w:szCs w:val="20"/>
                <w:color w:val="auto"/>
              </w:rPr>
            </w:pPr>
            <w:r>
              <w:rPr>
                <w:rFonts w:ascii="Times New Roman" w:cs="Times New Roman" w:eastAsia="Times New Roman" w:hAnsi="Times New Roman"/>
                <w:sz w:val="21"/>
                <w:szCs w:val="21"/>
                <w:color w:val="auto"/>
                <w:w w:val="97"/>
              </w:rPr>
              <w:t>Framingham, Massachusetts</w:t>
            </w:r>
          </w:p>
        </w:tc>
        <w:tc>
          <w:tcPr>
            <w:tcW w:w="920" w:type="dxa"/>
            <w:vAlign w:val="bottom"/>
            <w:tcBorders>
              <w:bottom w:val="single" w:sz="8" w:color="auto"/>
              <w:right w:val="single" w:sz="8" w:color="auto"/>
            </w:tcBorders>
            <w:gridSpan w:val="2"/>
          </w:tcPr>
          <w:p>
            <w:pPr>
              <w:spacing w:after="0"/>
              <w:rPr>
                <w:sz w:val="23"/>
                <w:szCs w:val="23"/>
                <w:color w:val="auto"/>
              </w:rPr>
            </w:pPr>
          </w:p>
        </w:tc>
        <w:tc>
          <w:tcPr>
            <w:tcW w:w="5600" w:type="dxa"/>
            <w:vAlign w:val="bottom"/>
            <w:tcBorders>
              <w:bottom w:val="single" w:sz="8" w:color="auto"/>
            </w:tcBorders>
            <w:gridSpan w:val="2"/>
            <w:vMerge w:val="continue"/>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560" w:type="dxa"/>
            <w:vAlign w:val="bottom"/>
            <w:tcBorders>
              <w:left w:val="single" w:sz="8" w:color="auto"/>
              <w:bottom w:val="single" w:sz="8" w:color="auto"/>
            </w:tcBorders>
          </w:tcPr>
          <w:p>
            <w:pPr>
              <w:jc w:val="center"/>
              <w:ind w:left="808"/>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540" w:type="dxa"/>
            <w:vAlign w:val="bottom"/>
            <w:tcBorders>
              <w:bottom w:val="single" w:sz="8" w:color="auto"/>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(Zip Code)</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4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b w:val="1"/>
          <w:bCs w:val="1"/>
          <w:color w:val="auto"/>
        </w:rPr>
        <w:t>(Title of the Indenture Securities)</w:t>
      </w:r>
    </w:p>
    <w:p>
      <w:pPr>
        <w:sectPr>
          <w:pgSz w:w="11900" w:h="16838" w:orient="portrait"/>
          <w:cols w:equalWidth="0" w:num="1">
            <w:col w:w="11240"/>
          </w:cols>
          <w:pgMar w:left="320" w:top="123" w:right="339" w:bottom="1440" w:gutter="0" w:footer="0" w:header="0"/>
        </w:sectPr>
      </w:pPr>
    </w:p>
    <w:bookmarkStart w:id="27" w:name="page28"/>
    <w:bookmarkEnd w:id="27"/>
    <w:p>
      <w:pPr>
        <w:jc w:val="center"/>
        <w:ind w:right="-179"/>
        <w:spacing w:after="0"/>
        <w:rPr>
          <w:sz w:val="20"/>
          <w:szCs w:val="20"/>
          <w:color w:val="auto"/>
        </w:rPr>
      </w:pPr>
      <w:r>
        <w:rPr>
          <w:rFonts w:ascii="Times New Roman" w:cs="Times New Roman" w:eastAsia="Times New Roman" w:hAnsi="Times New Roman"/>
          <w:sz w:val="21"/>
          <w:szCs w:val="21"/>
          <w:b w:val="1"/>
          <w:bCs w:val="1"/>
          <w:u w:val="single" w:color="auto"/>
          <w:color w:val="auto"/>
        </w:rPr>
        <w:t>FORM T-1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GENERAL INFORMATION</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Furnish the following information as to the Trustee.</w:t>
      </w:r>
    </w:p>
    <w:p>
      <w:pPr>
        <w:spacing w:after="0" w:line="235" w:lineRule="exact"/>
        <w:rPr>
          <w:sz w:val="20"/>
          <w:szCs w:val="20"/>
          <w:color w:val="auto"/>
        </w:rPr>
      </w:pPr>
    </w:p>
    <w:p>
      <w:pPr>
        <w:ind w:left="620" w:right="2880" w:firstLine="306"/>
        <w:spacing w:after="0" w:line="255" w:lineRule="auto"/>
        <w:tabs>
          <w:tab w:leader="none" w:pos="1292"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Name and address of each examining or supervising authority to which it is subject. </w:t>
      </w:r>
      <w:r>
        <w:rPr>
          <w:rFonts w:ascii="Times New Roman" w:cs="Times New Roman" w:eastAsia="Times New Roman" w:hAnsi="Times New Roman"/>
          <w:sz w:val="21"/>
          <w:szCs w:val="21"/>
          <w:color w:val="auto"/>
        </w:rPr>
        <w:t>Comptroller of the Currency</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Washington, D.C.</w:t>
      </w:r>
    </w:p>
    <w:p>
      <w:pPr>
        <w:spacing w:after="0" w:line="206" w:lineRule="exact"/>
        <w:rPr>
          <w:rFonts w:ascii="Times New Roman" w:cs="Times New Roman" w:eastAsia="Times New Roman" w:hAnsi="Times New Roman"/>
          <w:sz w:val="21"/>
          <w:szCs w:val="21"/>
          <w:color w:val="auto"/>
        </w:rPr>
      </w:pPr>
    </w:p>
    <w:p>
      <w:pPr>
        <w:ind w:left="1280" w:hanging="385"/>
        <w:spacing w:after="0"/>
        <w:tabs>
          <w:tab w:leader="none" w:pos="12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Whether it is authorized to exercise corporate trust powers.</w:t>
      </w:r>
    </w:p>
    <w:p>
      <w:pPr>
        <w:spacing w:after="0" w:line="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1"/>
          <w:szCs w:val="21"/>
          <w:color w:val="auto"/>
        </w:rPr>
        <w:t>Yes</w:t>
      </w:r>
    </w:p>
    <w:p>
      <w:pPr>
        <w:spacing w:after="0" w:line="218" w:lineRule="exact"/>
        <w:rPr>
          <w:sz w:val="20"/>
          <w:szCs w:val="20"/>
          <w:color w:val="auto"/>
        </w:rPr>
      </w:pPr>
    </w:p>
    <w:p>
      <w:pPr>
        <w:ind w:left="420" w:right="720" w:hanging="409"/>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Item 2. AFFILIATIONS WITH THE OBLIGOR. </w:t>
      </w:r>
      <w:r>
        <w:rPr>
          <w:rFonts w:ascii="Times New Roman" w:cs="Times New Roman" w:eastAsia="Times New Roman" w:hAnsi="Times New Roman"/>
          <w:sz w:val="21"/>
          <w:szCs w:val="21"/>
          <w:i w:val="1"/>
          <w:iCs w:val="1"/>
          <w:color w:val="auto"/>
        </w:rPr>
        <w:t>If the obligor is an affiliate of the Trustee, describe each such affiliation.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None</w:t>
      </w:r>
    </w:p>
    <w:p>
      <w:pPr>
        <w:spacing w:after="0" w:line="173" w:lineRule="exact"/>
        <w:rPr>
          <w:sz w:val="20"/>
          <w:szCs w:val="20"/>
          <w:color w:val="auto"/>
        </w:rPr>
      </w:pPr>
    </w:p>
    <w:p>
      <w:pPr>
        <w:ind w:left="1120" w:right="480" w:hanging="1230"/>
        <w:spacing w:after="0" w:line="271" w:lineRule="auto"/>
        <w:tabs>
          <w:tab w:leader="none" w:pos="1100" w:val="left"/>
        </w:tabs>
        <w:rPr>
          <w:sz w:val="20"/>
          <w:szCs w:val="20"/>
          <w:color w:val="auto"/>
        </w:rPr>
      </w:pPr>
      <w:r>
        <w:rPr>
          <w:rFonts w:ascii="Times New Roman" w:cs="Times New Roman" w:eastAsia="Times New Roman" w:hAnsi="Times New Roman"/>
          <w:sz w:val="21"/>
          <w:szCs w:val="21"/>
          <w:b w:val="1"/>
          <w:bCs w:val="1"/>
          <w:color w:val="auto"/>
        </w:rPr>
        <w:t>Items 3-15</w:t>
      </w:r>
      <w:r>
        <w:rPr>
          <w:sz w:val="20"/>
          <w:szCs w:val="20"/>
          <w:color w:val="auto"/>
        </w:rPr>
        <w:tab/>
      </w:r>
      <w:r>
        <w:rPr>
          <w:rFonts w:ascii="Times New Roman" w:cs="Times New Roman" w:eastAsia="Times New Roman" w:hAnsi="Times New Roman"/>
          <w:sz w:val="21"/>
          <w:szCs w:val="21"/>
          <w:i w:val="1"/>
          <w:iCs w:val="1"/>
          <w:color w:val="auto"/>
        </w:rPr>
        <w:t>Items 3-15 are not applicable because to the best of the Trustee's knowledge, the obligor is not in default under any Indenture for which the Trustee acts as Trustee.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Item 16. LIST OF EXHIBITS: </w:t>
      </w:r>
      <w:r>
        <w:rPr>
          <w:rFonts w:ascii="Times New Roman" w:cs="Times New Roman" w:eastAsia="Times New Roman" w:hAnsi="Times New Roman"/>
          <w:sz w:val="21"/>
          <w:szCs w:val="21"/>
          <w:i w:val="1"/>
          <w:iCs w:val="1"/>
          <w:color w:val="auto"/>
        </w:rPr>
        <w:t>List below all exhibits filed as a part of this statement of eligibility and qualification.</w:t>
      </w:r>
    </w:p>
    <w:p>
      <w:pPr>
        <w:spacing w:after="0" w:line="237" w:lineRule="exact"/>
        <w:rPr>
          <w:sz w:val="20"/>
          <w:szCs w:val="20"/>
          <w:color w:val="auto"/>
        </w:rPr>
      </w:pPr>
    </w:p>
    <w:p>
      <w:pPr>
        <w:ind w:left="420" w:hanging="212"/>
        <w:spacing w:after="0"/>
        <w:tabs>
          <w:tab w:leader="none" w:pos="4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Articles of Association of the Trustee, attached as Exhibit 1.</w:t>
      </w:r>
    </w:p>
    <w:p>
      <w:pPr>
        <w:spacing w:after="0" w:line="232" w:lineRule="exact"/>
        <w:rPr>
          <w:rFonts w:ascii="Times New Roman" w:cs="Times New Roman" w:eastAsia="Times New Roman" w:hAnsi="Times New Roman"/>
          <w:sz w:val="21"/>
          <w:szCs w:val="21"/>
          <w:color w:val="auto"/>
        </w:rPr>
      </w:pPr>
    </w:p>
    <w:p>
      <w:pPr>
        <w:ind w:left="420" w:hanging="212"/>
        <w:spacing w:after="0"/>
        <w:tabs>
          <w:tab w:leader="none" w:pos="4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certificate of authority of the Trustee to commence business, attached as Exhibit 2.</w:t>
      </w:r>
    </w:p>
    <w:p>
      <w:pPr>
        <w:spacing w:after="0" w:line="245" w:lineRule="exact"/>
        <w:rPr>
          <w:rFonts w:ascii="Times New Roman" w:cs="Times New Roman" w:eastAsia="Times New Roman" w:hAnsi="Times New Roman"/>
          <w:sz w:val="21"/>
          <w:szCs w:val="21"/>
          <w:color w:val="auto"/>
        </w:rPr>
      </w:pPr>
    </w:p>
    <w:p>
      <w:pPr>
        <w:ind w:left="420" w:hanging="212"/>
        <w:spacing w:after="0"/>
        <w:tabs>
          <w:tab w:leader="none" w:pos="4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authorization of the Trustee to exercise corporate trust powers, included as Exhibit 2.</w:t>
      </w:r>
    </w:p>
    <w:p>
      <w:pPr>
        <w:spacing w:after="0" w:line="245" w:lineRule="exact"/>
        <w:rPr>
          <w:rFonts w:ascii="Times New Roman" w:cs="Times New Roman" w:eastAsia="Times New Roman" w:hAnsi="Times New Roman"/>
          <w:sz w:val="21"/>
          <w:szCs w:val="21"/>
          <w:color w:val="auto"/>
        </w:rPr>
      </w:pPr>
    </w:p>
    <w:p>
      <w:pPr>
        <w:ind w:left="560" w:hanging="352"/>
        <w:spacing w:after="0"/>
        <w:tabs>
          <w:tab w:leader="none" w:pos="5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existing bylaws of the Trustee, attached as Exhibit 4.</w:t>
      </w:r>
    </w:p>
    <w:p>
      <w:pPr>
        <w:spacing w:after="0" w:line="24" w:lineRule="exact"/>
        <w:rPr>
          <w:rFonts w:ascii="Times New Roman" w:cs="Times New Roman" w:eastAsia="Times New Roman" w:hAnsi="Times New Roman"/>
          <w:sz w:val="21"/>
          <w:szCs w:val="21"/>
          <w:color w:val="auto"/>
        </w:rPr>
      </w:pPr>
    </w:p>
    <w:p>
      <w:pPr>
        <w:ind w:left="560" w:hanging="352"/>
        <w:spacing w:after="0"/>
        <w:tabs>
          <w:tab w:leader="none" w:pos="5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each Indenture referred to in Item 4. Not applicable.</w:t>
      </w:r>
    </w:p>
    <w:p>
      <w:pPr>
        <w:spacing w:after="0" w:line="210" w:lineRule="exact"/>
        <w:rPr>
          <w:rFonts w:ascii="Times New Roman" w:cs="Times New Roman" w:eastAsia="Times New Roman" w:hAnsi="Times New Roman"/>
          <w:sz w:val="21"/>
          <w:szCs w:val="21"/>
          <w:color w:val="auto"/>
        </w:rPr>
      </w:pPr>
    </w:p>
    <w:p>
      <w:pPr>
        <w:ind w:left="560" w:hanging="352"/>
        <w:spacing w:after="0"/>
        <w:tabs>
          <w:tab w:leader="none" w:pos="5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the Trustee required by Section 321(b) of the Trust Indenture Act of 1939, attached as Exhibit 6.</w:t>
      </w:r>
    </w:p>
    <w:p>
      <w:pPr>
        <w:spacing w:after="0" w:line="232" w:lineRule="exact"/>
        <w:rPr>
          <w:rFonts w:ascii="Times New Roman" w:cs="Times New Roman" w:eastAsia="Times New Roman" w:hAnsi="Times New Roman"/>
          <w:sz w:val="21"/>
          <w:szCs w:val="21"/>
          <w:color w:val="auto"/>
        </w:rPr>
      </w:pPr>
    </w:p>
    <w:p>
      <w:pPr>
        <w:ind w:left="1240" w:hanging="1032"/>
        <w:spacing w:after="0" w:line="267" w:lineRule="auto"/>
        <w:tabs>
          <w:tab w:leader="none" w:pos="57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Report of Condition of the Trustee as of December 31, 2025, published pursuant to law or the requirements of its supervising or examining authority, attached as Exhibit 7.</w:t>
      </w:r>
    </w:p>
    <w:p>
      <w:pPr>
        <w:sectPr>
          <w:pgSz w:w="11900" w:h="16838" w:orient="portrait"/>
          <w:cols w:equalWidth="0" w:num="1">
            <w:col w:w="11060"/>
          </w:cols>
          <w:pgMar w:left="320" w:top="1226" w:right="519" w:bottom="1440" w:gutter="0" w:footer="0" w:header="0"/>
        </w:sectPr>
      </w:pPr>
    </w:p>
    <w:bookmarkStart w:id="28" w:name="page29"/>
    <w:bookmarkEnd w:id="28"/>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SIGNATURE</w:t>
      </w:r>
    </w:p>
    <w:p>
      <w:pPr>
        <w:spacing w:after="0" w:line="250" w:lineRule="exact"/>
        <w:rPr>
          <w:sz w:val="20"/>
          <w:szCs w:val="20"/>
          <w:color w:val="auto"/>
        </w:rPr>
      </w:pPr>
    </w:p>
    <w:p>
      <w:pPr>
        <w:ind w:firstLine="205"/>
        <w:spacing w:after="0" w:line="260" w:lineRule="auto"/>
        <w:rPr>
          <w:sz w:val="20"/>
          <w:szCs w:val="20"/>
          <w:color w:val="auto"/>
        </w:rPr>
      </w:pPr>
      <w:r>
        <w:rPr>
          <w:rFonts w:ascii="Times New Roman" w:cs="Times New Roman" w:eastAsia="Times New Roman" w:hAnsi="Times New Roman"/>
          <w:sz w:val="21"/>
          <w:szCs w:val="21"/>
          <w:color w:val="auto"/>
        </w:rPr>
        <w:t>Pursuant to the requirements of the Trust Indenture Act of 1939, as amended, the Trustee, U.S. BANK TRUST COMPANY, NATIONAL ASSOCIATION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 national banking association organized and existing under the laws of the United States of America, has duly caused this statement of eligibility and qualification to be signed on its behalf by the undersigned, thereunto duly authorized, all in the City of Boston, Commonwealth of Massachusetts on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1"/>
          <w:szCs w:val="21"/>
          <w:color w:val="auto"/>
        </w:rPr>
        <w:t xml:space="preserve"> of May, 2026.</w:t>
      </w:r>
    </w:p>
    <w:p>
      <w:pPr>
        <w:spacing w:after="0" w:line="96" w:lineRule="exact"/>
        <w:rPr>
          <w:sz w:val="20"/>
          <w:szCs w:val="20"/>
          <w:color w:val="auto"/>
        </w:rPr>
      </w:pPr>
    </w:p>
    <w:p>
      <w:pPr>
        <w:ind w:left="3080"/>
        <w:spacing w:after="0"/>
        <w:tabs>
          <w:tab w:leader="none" w:pos="35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19"/>
          <w:szCs w:val="19"/>
          <w:u w:val="single" w:color="auto"/>
          <w:color w:val="auto"/>
        </w:rPr>
        <w:t>/s/ Ivy L. Wegener_</w:t>
      </w:r>
    </w:p>
    <w:p>
      <w:pPr>
        <w:spacing w:after="0" w:line="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Ivy L. Wegener</w:t>
      </w:r>
    </w:p>
    <w:p>
      <w:pPr>
        <w:spacing w:after="0" w:line="1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Vice President</w:t>
      </w:r>
    </w:p>
    <w:p>
      <w:pPr>
        <w:sectPr>
          <w:pgSz w:w="11900" w:h="16838" w:orient="portrait"/>
          <w:cols w:equalWidth="0" w:num="1">
            <w:col w:w="11180"/>
          </w:cols>
          <w:pgMar w:left="320" w:top="1440" w:right="399" w:bottom="1440" w:gutter="0" w:footer="0" w:header="0"/>
        </w:sectPr>
      </w:pPr>
    </w:p>
    <w:bookmarkStart w:id="29" w:name="page30"/>
    <w:bookmarkEnd w:id="29"/>
    <w:p>
      <w:pPr>
        <w:ind w:left="5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1</w:t>
      </w:r>
    </w:p>
    <w:p>
      <w:pPr>
        <w:spacing w:after="0" w:line="6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b w:val="1"/>
          <w:bCs w:val="1"/>
          <w:color w:val="auto"/>
        </w:rPr>
        <w:t>ARTICLES OF ASSOCIATION OF</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b w:val="1"/>
          <w:bCs w:val="1"/>
          <w:color w:val="auto"/>
        </w:rPr>
        <w:t>U. S. BANK TRUST COMPANY, NATIONAL ASSOCIATION</w:t>
      </w:r>
    </w:p>
    <w:p>
      <w:pPr>
        <w:spacing w:after="0" w:line="223" w:lineRule="exact"/>
        <w:rPr>
          <w:sz w:val="20"/>
          <w:szCs w:val="20"/>
          <w:color w:val="auto"/>
        </w:rPr>
      </w:pPr>
    </w:p>
    <w:p>
      <w:pPr>
        <w:jc w:val="both"/>
        <w:ind w:right="60" w:firstLine="3"/>
        <w:spacing w:after="0" w:line="267" w:lineRule="auto"/>
        <w:rPr>
          <w:sz w:val="20"/>
          <w:szCs w:val="20"/>
          <w:color w:val="auto"/>
        </w:rPr>
      </w:pPr>
      <w:r>
        <w:rPr>
          <w:rFonts w:ascii="Times New Roman" w:cs="Times New Roman" w:eastAsia="Times New Roman" w:hAnsi="Times New Roman"/>
          <w:sz w:val="21"/>
          <w:szCs w:val="21"/>
          <w:color w:val="auto"/>
        </w:rPr>
        <w:t>For the purpose of organizing an association (the “Association”) to perform any lawful activities of national banks, the undersigned enter into the following Articles of Association: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FIRST. </w:t>
      </w:r>
      <w:r>
        <w:rPr>
          <w:rFonts w:ascii="Times New Roman" w:cs="Times New Roman" w:eastAsia="Times New Roman" w:hAnsi="Times New Roman"/>
          <w:sz w:val="20"/>
          <w:szCs w:val="20"/>
          <w:color w:val="auto"/>
        </w:rPr>
        <w:t>The title of this Association shall be U. S. Bank Trust Company, National Association.</w:t>
      </w:r>
    </w:p>
    <w:p>
      <w:pPr>
        <w:spacing w:after="0" w:line="232" w:lineRule="exact"/>
        <w:rPr>
          <w:sz w:val="20"/>
          <w:szCs w:val="20"/>
          <w:color w:val="auto"/>
        </w:rPr>
      </w:pPr>
    </w:p>
    <w:p>
      <w:pPr>
        <w:jc w:val="both"/>
        <w:ind w:right="60" w:hanging="1"/>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SECOND. </w:t>
      </w:r>
      <w:r>
        <w:rPr>
          <w:rFonts w:ascii="Times New Roman" w:cs="Times New Roman" w:eastAsia="Times New Roman" w:hAnsi="Times New Roman"/>
          <w:sz w:val="20"/>
          <w:szCs w:val="20"/>
          <w:color w:val="auto"/>
        </w:rPr>
        <w:t>The main office of the Association shall be in the city of Portland, county of Multnomah, state of Oregon. The business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84" w:lineRule="exact"/>
        <w:rPr>
          <w:sz w:val="20"/>
          <w:szCs w:val="20"/>
          <w:color w:val="auto"/>
        </w:rPr>
      </w:pPr>
    </w:p>
    <w:p>
      <w:pPr>
        <w:jc w:val="both"/>
        <w:ind w:right="40" w:firstLine="2"/>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THIRD. </w:t>
      </w:r>
      <w:r>
        <w:rPr>
          <w:rFonts w:ascii="Times New Roman" w:cs="Times New Roman" w:eastAsia="Times New Roman" w:hAnsi="Times New Roman"/>
          <w:sz w:val="21"/>
          <w:szCs w:val="21"/>
          <w:color w:val="auto"/>
        </w:rPr>
        <w:t>The board of directors of the Association shall consist of not less than five nor more than twenty-five persons, the exact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208" w:lineRule="exact"/>
        <w:rPr>
          <w:sz w:val="20"/>
          <w:szCs w:val="20"/>
          <w:color w:val="auto"/>
        </w:rPr>
      </w:pPr>
    </w:p>
    <w:p>
      <w:pPr>
        <w:jc w:val="both"/>
        <w:ind w:right="20" w:firstLine="5"/>
        <w:spacing w:after="0" w:line="244" w:lineRule="auto"/>
        <w:rPr>
          <w:sz w:val="20"/>
          <w:szCs w:val="20"/>
          <w:color w:val="auto"/>
        </w:rPr>
      </w:pPr>
      <w:r>
        <w:rPr>
          <w:rFonts w:ascii="Times New Roman" w:cs="Times New Roman" w:eastAsia="Times New Roman" w:hAnsi="Times New Roman"/>
          <w:sz w:val="21"/>
          <w:szCs w:val="21"/>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206" w:lineRule="exact"/>
        <w:rPr>
          <w:sz w:val="20"/>
          <w:szCs w:val="20"/>
          <w:color w:val="auto"/>
        </w:rPr>
      </w:pPr>
    </w:p>
    <w:p>
      <w:pPr>
        <w:jc w:val="both"/>
        <w:ind w:left="20" w:right="20" w:firstLine="2"/>
        <w:spacing w:after="0" w:line="245" w:lineRule="auto"/>
        <w:rPr>
          <w:sz w:val="20"/>
          <w:szCs w:val="20"/>
          <w:color w:val="auto"/>
        </w:rPr>
      </w:pPr>
      <w:r>
        <w:rPr>
          <w:rFonts w:ascii="Times New Roman" w:cs="Times New Roman" w:eastAsia="Times New Roman" w:hAnsi="Times New Roman"/>
          <w:sz w:val="21"/>
          <w:szCs w:val="21"/>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203" w:lineRule="exact"/>
        <w:rPr>
          <w:sz w:val="20"/>
          <w:szCs w:val="20"/>
          <w:color w:val="auto"/>
        </w:rPr>
      </w:pPr>
    </w:p>
    <w:p>
      <w:pPr>
        <w:jc w:val="both"/>
        <w:ind w:left="20" w:firstLine="2"/>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FOURTH. </w:t>
      </w:r>
      <w:r>
        <w:rPr>
          <w:rFonts w:ascii="Times New Roman" w:cs="Times New Roman" w:eastAsia="Times New Roman" w:hAnsi="Times New Roman"/>
          <w:sz w:val="20"/>
          <w:szCs w:val="20"/>
          <w:color w:val="auto"/>
        </w:rPr>
        <w:t>There shall be an annual meeting of the shareholders to elect directors and transact whatever other business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brought before the meeting. It shall be held at the main office or any other convenient place the board of directors may designate, on the day of each year specified therefor in the Bylaws, or </w:t>
      </w:r>
      <w:r>
        <w:rPr>
          <w:rFonts w:ascii="Times New Roman" w:cs="Times New Roman" w:eastAsia="Times New Roman" w:hAnsi="Times New Roman"/>
          <w:sz w:val="21"/>
          <w:szCs w:val="21"/>
          <w:color w:val="auto"/>
        </w:rPr>
        <w:t>if that</w:t>
      </w:r>
      <w:r>
        <w:rPr>
          <w:rFonts w:ascii="Times New Roman" w:cs="Times New Roman" w:eastAsia="Times New Roman" w:hAnsi="Times New Roman"/>
          <w:sz w:val="20"/>
          <w:szCs w:val="20"/>
          <w:color w:val="auto"/>
        </w:rPr>
        <w:t xml:space="preserve"> day falls on a legal holiday in the state in which the</w:t>
      </w:r>
    </w:p>
    <w:p>
      <w:pPr>
        <w:spacing w:after="0" w:line="16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- 1 -</w:t>
      </w:r>
    </w:p>
    <w:p>
      <w:pPr>
        <w:sectPr>
          <w:pgSz w:w="11900" w:h="16838" w:orient="portrait"/>
          <w:cols w:equalWidth="0" w:num="1">
            <w:col w:w="11020"/>
          </w:cols>
          <w:pgMar w:left="440" w:top="1226" w:right="439" w:bottom="1440" w:gutter="0" w:footer="0" w:header="0"/>
        </w:sectPr>
      </w:pPr>
    </w:p>
    <w:bookmarkStart w:id="30" w:name="page31"/>
    <w:bookmarkEnd w:id="30"/>
    <w:p>
      <w:pPr>
        <w:jc w:val="both"/>
        <w:ind w:right="40" w:firstLine="5"/>
        <w:spacing w:after="0" w:line="250" w:lineRule="auto"/>
        <w:rPr>
          <w:sz w:val="20"/>
          <w:szCs w:val="20"/>
          <w:color w:val="auto"/>
        </w:rPr>
      </w:pPr>
      <w:r>
        <w:rPr>
          <w:rFonts w:ascii="Times New Roman" w:cs="Times New Roman" w:eastAsia="Times New Roman" w:hAnsi="Times New Roman"/>
          <w:sz w:val="21"/>
          <w:szCs w:val="21"/>
          <w:color w:val="auto"/>
        </w:rPr>
        <w:t xml:space="preserve">Association is located, on the next following banking day. </w:t>
      </w:r>
      <w:r>
        <w:rPr>
          <w:rFonts w:ascii="Arial" w:cs="Arial" w:eastAsia="Arial" w:hAnsi="Arial"/>
          <w:sz w:val="19"/>
          <w:szCs w:val="19"/>
          <w:color w:val="auto"/>
        </w:rPr>
        <w:t>If</w:t>
      </w:r>
      <w:r>
        <w:rPr>
          <w:rFonts w:ascii="Times New Roman" w:cs="Times New Roman" w:eastAsia="Times New Roman" w:hAnsi="Times New Roman"/>
          <w:sz w:val="21"/>
          <w:szCs w:val="21"/>
          <w:color w:val="auto"/>
        </w:rPr>
        <w:t xml:space="preserve"> no election is held on the day fixed or in the event of a legal holiday on the following banking day, an election may be held on any subsequent day within 60 days of the day fixed, to be designated by the board of directors, or, </w:t>
      </w:r>
      <w:r>
        <w:rPr>
          <w:rFonts w:ascii="Arial" w:cs="Arial" w:eastAsia="Arial" w:hAnsi="Arial"/>
          <w:sz w:val="19"/>
          <w:szCs w:val="19"/>
          <w:color w:val="auto"/>
        </w:rPr>
        <w:t>if</w:t>
      </w:r>
      <w:r>
        <w:rPr>
          <w:rFonts w:ascii="Times New Roman" w:cs="Times New Roman" w:eastAsia="Times New Roman" w:hAnsi="Times New Roman"/>
          <w:sz w:val="21"/>
          <w:szCs w:val="21"/>
          <w:color w:val="auto"/>
        </w:rPr>
        <w:t xml:space="preserve"> the directors fail to fix the day, by shareholders representing two-thirds of the shares issued and outstanding. In all cases, at least 10 days’ advance notice of the meeting shall be given to the shareholders by first-class mail.</w:t>
      </w:r>
    </w:p>
    <w:p>
      <w:pPr>
        <w:spacing w:after="0" w:line="199" w:lineRule="exact"/>
        <w:rPr>
          <w:sz w:val="20"/>
          <w:szCs w:val="20"/>
          <w:color w:val="auto"/>
        </w:rPr>
      </w:pPr>
    </w:p>
    <w:p>
      <w:pPr>
        <w:jc w:val="both"/>
        <w:ind w:right="40" w:firstLine="1"/>
        <w:spacing w:after="0" w:line="246" w:lineRule="auto"/>
        <w:rPr>
          <w:sz w:val="20"/>
          <w:szCs w:val="20"/>
          <w:color w:val="auto"/>
        </w:rPr>
      </w:pPr>
      <w:r>
        <w:rPr>
          <w:rFonts w:ascii="Times New Roman" w:cs="Times New Roman" w:eastAsia="Times New Roman" w:hAnsi="Times New Roman"/>
          <w:sz w:val="21"/>
          <w:szCs w:val="21"/>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215" w:lineRule="exact"/>
        <w:rPr>
          <w:sz w:val="20"/>
          <w:szCs w:val="20"/>
          <w:color w:val="auto"/>
        </w:rPr>
      </w:pPr>
    </w:p>
    <w:p>
      <w:pPr>
        <w:jc w:val="both"/>
        <w:ind w:left="20" w:right="40"/>
        <w:spacing w:after="0" w:line="254" w:lineRule="auto"/>
        <w:rPr>
          <w:sz w:val="20"/>
          <w:szCs w:val="20"/>
          <w:color w:val="auto"/>
        </w:rPr>
      </w:pPr>
      <w:r>
        <w:rPr>
          <w:rFonts w:ascii="Times New Roman" w:cs="Times New Roman" w:eastAsia="Times New Roman" w:hAnsi="Times New Roman"/>
          <w:sz w:val="21"/>
          <w:szCs w:val="21"/>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94" w:lineRule="exact"/>
        <w:rPr>
          <w:sz w:val="20"/>
          <w:szCs w:val="20"/>
          <w:color w:val="auto"/>
        </w:rPr>
      </w:pPr>
    </w:p>
    <w:p>
      <w:pPr>
        <w:jc w:val="both"/>
        <w:ind w:left="20" w:right="20" w:firstLine="6"/>
        <w:spacing w:after="0" w:line="250" w:lineRule="auto"/>
        <w:rPr>
          <w:sz w:val="20"/>
          <w:szCs w:val="20"/>
          <w:color w:val="auto"/>
        </w:rPr>
      </w:pPr>
      <w:r>
        <w:rPr>
          <w:rFonts w:ascii="Times New Roman" w:cs="Times New Roman" w:eastAsia="Times New Roman" w:hAnsi="Times New Roman"/>
          <w:sz w:val="21"/>
          <w:szCs w:val="21"/>
          <w:color w:val="auto"/>
        </w:rPr>
        <w:t xml:space="preserve">A director may be removed by the shareholders at a meeting called to remove him or her, when notice of the meeting stating that the purpose or one of the purposes is to remove </w:t>
      </w:r>
      <w:r>
        <w:rPr>
          <w:rFonts w:ascii="Times New Roman" w:cs="Times New Roman" w:eastAsia="Times New Roman" w:hAnsi="Times New Roman"/>
          <w:sz w:val="19"/>
          <w:szCs w:val="19"/>
          <w:color w:val="auto"/>
        </w:rPr>
        <w:t>him</w:t>
      </w:r>
      <w:r>
        <w:rPr>
          <w:rFonts w:ascii="Times New Roman" w:cs="Times New Roman" w:eastAsia="Times New Roman" w:hAnsi="Times New Roman"/>
          <w:sz w:val="21"/>
          <w:szCs w:val="21"/>
          <w:color w:val="auto"/>
        </w:rPr>
        <w:t xml:space="preserve"> or her is provided, </w:t>
      </w:r>
      <w:r>
        <w:rPr>
          <w:rFonts w:ascii="Arial" w:cs="Arial" w:eastAsia="Arial" w:hAnsi="Arial"/>
          <w:sz w:val="19"/>
          <w:szCs w:val="19"/>
          <w:color w:val="auto"/>
        </w:rPr>
        <w:t>if</w:t>
      </w:r>
      <w:r>
        <w:rPr>
          <w:rFonts w:ascii="Times New Roman" w:cs="Times New Roman" w:eastAsia="Times New Roman" w:hAnsi="Times New Roman"/>
          <w:sz w:val="21"/>
          <w:szCs w:val="21"/>
          <w:color w:val="auto"/>
        </w:rPr>
        <w:t xml:space="preserve"> there is a failure to fulfill one of the affirmative requirements for qualification, or for cause; provided, however, that a director may not be removed </w:t>
      </w:r>
      <w:r>
        <w:rPr>
          <w:rFonts w:ascii="Arial" w:cs="Arial" w:eastAsia="Arial" w:hAnsi="Arial"/>
          <w:sz w:val="19"/>
          <w:szCs w:val="19"/>
          <w:color w:val="auto"/>
        </w:rPr>
        <w:t>if</w:t>
      </w:r>
      <w:r>
        <w:rPr>
          <w:rFonts w:ascii="Times New Roman" w:cs="Times New Roman" w:eastAsia="Times New Roman" w:hAnsi="Times New Roman"/>
          <w:sz w:val="21"/>
          <w:szCs w:val="21"/>
          <w:color w:val="auto"/>
        </w:rPr>
        <w:t xml:space="preserve"> the number of votes sufficient to elect him or her under cumulative voting is voted against his or her removal.</w:t>
      </w:r>
    </w:p>
    <w:p>
      <w:pPr>
        <w:spacing w:after="0" w:line="195" w:lineRule="exact"/>
        <w:rPr>
          <w:sz w:val="20"/>
          <w:szCs w:val="20"/>
          <w:color w:val="auto"/>
        </w:rPr>
      </w:pPr>
    </w:p>
    <w:p>
      <w:pPr>
        <w:jc w:val="both"/>
        <w:ind w:left="20" w:firstLine="2"/>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FIFTH. </w:t>
      </w:r>
      <w:r>
        <w:rPr>
          <w:rFonts w:ascii="Times New Roman" w:cs="Times New Roman" w:eastAsia="Times New Roman" w:hAnsi="Times New Roman"/>
          <w:sz w:val="21"/>
          <w:szCs w:val="21"/>
          <w:color w:val="auto"/>
        </w:rPr>
        <w:t>The authorized amount of capital stock of the Association shall be 1,000,000 shares of common stock of the par value of ten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dollars ($10) each; but said capital stock may be increased or decreased from time to time, according to the provisions of the laws of the United States. The Association shall have only one class of capital stock.</w:t>
      </w:r>
    </w:p>
    <w:p>
      <w:pPr>
        <w:spacing w:after="0" w:line="198" w:lineRule="exact"/>
        <w:rPr>
          <w:sz w:val="20"/>
          <w:szCs w:val="20"/>
          <w:color w:val="auto"/>
        </w:rPr>
      </w:pPr>
    </w:p>
    <w:p>
      <w:pPr>
        <w:jc w:val="both"/>
        <w:ind w:left="20" w:firstLine="9"/>
        <w:spacing w:after="0" w:line="280" w:lineRule="auto"/>
        <w:rPr>
          <w:sz w:val="20"/>
          <w:szCs w:val="20"/>
          <w:color w:val="auto"/>
        </w:rPr>
      </w:pPr>
      <w:r>
        <w:rPr>
          <w:rFonts w:ascii="Times New Roman" w:cs="Times New Roman" w:eastAsia="Times New Roman" w:hAnsi="Times New Roman"/>
          <w:sz w:val="19"/>
          <w:szCs w:val="19"/>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73" w:lineRule="exact"/>
        <w:rPr>
          <w:sz w:val="20"/>
          <w:szCs w:val="20"/>
          <w:color w:val="auto"/>
        </w:rPr>
      </w:pPr>
    </w:p>
    <w:p>
      <w:pPr>
        <w:jc w:val="both"/>
        <w:ind w:left="20" w:right="20" w:firstLine="1"/>
        <w:spacing w:after="0" w:line="267" w:lineRule="auto"/>
        <w:rPr>
          <w:sz w:val="20"/>
          <w:szCs w:val="20"/>
          <w:color w:val="auto"/>
        </w:rPr>
      </w:pPr>
      <w:r>
        <w:rPr>
          <w:rFonts w:ascii="Times New Roman" w:cs="Times New Roman" w:eastAsia="Times New Roman" w:hAnsi="Times New Roman"/>
          <w:sz w:val="21"/>
          <w:szCs w:val="21"/>
          <w:color w:val="auto"/>
        </w:rPr>
        <w:t xml:space="preserve">Transfers of the Association's stock are subject to the prior written approval of a federal depository institution regulatory agency. </w:t>
      </w:r>
      <w:r>
        <w:rPr>
          <w:rFonts w:ascii="Arial" w:cs="Arial" w:eastAsia="Arial" w:hAnsi="Arial"/>
          <w:sz w:val="19"/>
          <w:szCs w:val="19"/>
          <w:color w:val="auto"/>
        </w:rPr>
        <w:t>If</w:t>
      </w:r>
      <w:r>
        <w:rPr>
          <w:rFonts w:ascii="Times New Roman" w:cs="Times New Roman" w:eastAsia="Times New Roman" w:hAnsi="Times New Roman"/>
          <w:sz w:val="21"/>
          <w:szCs w:val="21"/>
          <w:color w:val="auto"/>
        </w:rPr>
        <w:t xml:space="preserve"> </w:t>
      </w:r>
      <w:r>
        <w:rPr>
          <w:rFonts w:ascii="Arial" w:cs="Arial" w:eastAsia="Arial" w:hAnsi="Arial"/>
          <w:sz w:val="19"/>
          <w:szCs w:val="19"/>
          <w:color w:val="auto"/>
        </w:rPr>
        <w:t xml:space="preserve">no </w:t>
      </w:r>
      <w:r>
        <w:rPr>
          <w:rFonts w:ascii="Times New Roman" w:cs="Times New Roman" w:eastAsia="Times New Roman" w:hAnsi="Times New Roman"/>
          <w:sz w:val="20"/>
          <w:szCs w:val="20"/>
          <w:color w:val="auto"/>
        </w:rPr>
        <w:t>other agency approval is required, the approval of the Comptroller of the Currency must be obtained prior to any such transfers.</w:t>
      </w:r>
    </w:p>
    <w:p>
      <w:pPr>
        <w:spacing w:after="0" w:line="181" w:lineRule="exact"/>
        <w:rPr>
          <w:sz w:val="20"/>
          <w:szCs w:val="20"/>
          <w:color w:val="auto"/>
        </w:rPr>
      </w:pPr>
    </w:p>
    <w:p>
      <w:pPr>
        <w:jc w:val="both"/>
        <w:ind w:left="20" w:firstLine="5"/>
        <w:spacing w:after="0" w:line="249" w:lineRule="auto"/>
        <w:rPr>
          <w:sz w:val="20"/>
          <w:szCs w:val="20"/>
          <w:color w:val="auto"/>
        </w:rPr>
      </w:pPr>
      <w:r>
        <w:rPr>
          <w:rFonts w:ascii="Times New Roman" w:cs="Times New Roman" w:eastAsia="Times New Roman" w:hAnsi="Times New Roman"/>
          <w:sz w:val="21"/>
          <w:szCs w:val="21"/>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w:t>
      </w:r>
    </w:p>
    <w:p>
      <w:pPr>
        <w:spacing w:after="0" w:line="1" w:lineRule="exact"/>
        <w:rPr>
          <w:sz w:val="20"/>
          <w:szCs w:val="20"/>
          <w:color w:val="auto"/>
        </w:rPr>
      </w:pPr>
    </w:p>
    <w:p>
      <w:pPr>
        <w:ind w:left="320" w:hanging="281"/>
        <w:spacing w:after="0"/>
        <w:tabs>
          <w:tab w:leader="none" w:pos="3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shareholder shall be entitled to one vote per share.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2" w:lineRule="exact"/>
        <w:rPr>
          <w:rFonts w:ascii="Times New Roman" w:cs="Times New Roman" w:eastAsia="Times New Roman" w:hAnsi="Times New Roman"/>
          <w:sz w:val="21"/>
          <w:szCs w:val="21"/>
          <w:color w:val="auto"/>
        </w:rPr>
      </w:pPr>
    </w:p>
    <w:p>
      <w:pPr>
        <w:ind w:left="3980" w:hanging="124"/>
        <w:spacing w:after="0"/>
        <w:tabs>
          <w:tab w:leader="none" w:pos="398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w:t>
      </w:r>
    </w:p>
    <w:p>
      <w:pPr>
        <w:sectPr>
          <w:pgSz w:w="11900" w:h="16838" w:orient="portrait"/>
          <w:cols w:equalWidth="0" w:num="1">
            <w:col w:w="11020"/>
          </w:cols>
          <w:pgMar w:left="440" w:top="1281" w:right="439" w:bottom="1440" w:gutter="0" w:footer="0" w:header="0"/>
        </w:sectPr>
      </w:pPr>
    </w:p>
    <w:bookmarkStart w:id="31" w:name="page32"/>
    <w:bookmarkEnd w:id="31"/>
    <w:p>
      <w:pPr>
        <w:ind w:right="80" w:firstLine="2"/>
        <w:spacing w:after="0" w:line="267" w:lineRule="auto"/>
        <w:rPr>
          <w:sz w:val="20"/>
          <w:szCs w:val="20"/>
          <w:color w:val="auto"/>
        </w:rPr>
      </w:pPr>
      <w:r>
        <w:rPr>
          <w:rFonts w:ascii="Times New Roman" w:cs="Times New Roman" w:eastAsia="Times New Roman" w:hAnsi="Times New Roman"/>
          <w:sz w:val="21"/>
          <w:szCs w:val="21"/>
          <w:color w:val="auto"/>
        </w:rPr>
        <w:t>Unless otherwise specified in the Articles of Association or required by law, all shares of voting stock shall be voted together as a class, on any matters requiring shareholder approval.</w:t>
      </w:r>
    </w:p>
    <w:p>
      <w:pPr>
        <w:spacing w:after="0" w:line="168"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1"/>
          <w:szCs w:val="21"/>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95" w:lineRule="exact"/>
        <w:rPr>
          <w:sz w:val="20"/>
          <w:szCs w:val="20"/>
          <w:color w:val="auto"/>
        </w:rPr>
      </w:pPr>
    </w:p>
    <w:p>
      <w:pPr>
        <w:jc w:val="both"/>
        <w:ind w:left="20" w:right="40" w:hanging="5"/>
        <w:spacing w:after="0" w:line="246" w:lineRule="auto"/>
        <w:rPr>
          <w:sz w:val="20"/>
          <w:szCs w:val="20"/>
          <w:color w:val="auto"/>
        </w:rPr>
      </w:pPr>
      <w:r>
        <w:rPr>
          <w:rFonts w:ascii="Times New Roman" w:cs="Times New Roman" w:eastAsia="Times New Roman" w:hAnsi="Times New Roman"/>
          <w:sz w:val="21"/>
          <w:szCs w:val="21"/>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215" w:lineRule="exact"/>
        <w:rPr>
          <w:sz w:val="20"/>
          <w:szCs w:val="20"/>
          <w:color w:val="auto"/>
        </w:rPr>
      </w:pPr>
    </w:p>
    <w:p>
      <w:pPr>
        <w:jc w:val="both"/>
        <w:ind w:left="20" w:right="40" w:firstLine="2"/>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SIXTH. </w:t>
      </w:r>
      <w:r>
        <w:rPr>
          <w:rFonts w:ascii="Times New Roman" w:cs="Times New Roman" w:eastAsia="Times New Roman" w:hAnsi="Times New Roman"/>
          <w:sz w:val="20"/>
          <w:szCs w:val="20"/>
          <w:color w:val="auto"/>
        </w:rPr>
        <w:t>The board of directors shall appoint one of its members president of this Association and one of its members chairperson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The board of directors shall have the power to:</w:t>
      </w:r>
    </w:p>
    <w:p>
      <w:pPr>
        <w:spacing w:after="0" w:line="246" w:lineRule="exact"/>
        <w:rPr>
          <w:sz w:val="20"/>
          <w:szCs w:val="20"/>
          <w:color w:val="auto"/>
        </w:rPr>
      </w:pPr>
    </w:p>
    <w:p>
      <w:pPr>
        <w:ind w:left="640" w:hanging="607"/>
        <w:spacing w:after="0"/>
        <w:tabs>
          <w:tab w:leader="none" w:pos="6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Define the duties of the officers, employees, and agents of the Association.</w:t>
      </w:r>
    </w:p>
    <w:p>
      <w:pPr>
        <w:spacing w:after="0" w:line="232" w:lineRule="exact"/>
        <w:rPr>
          <w:rFonts w:ascii="Times New Roman" w:cs="Times New Roman" w:eastAsia="Times New Roman" w:hAnsi="Times New Roman"/>
          <w:sz w:val="21"/>
          <w:szCs w:val="21"/>
          <w:color w:val="auto"/>
        </w:rPr>
      </w:pPr>
    </w:p>
    <w:p>
      <w:pPr>
        <w:ind w:left="640" w:right="20" w:hanging="606"/>
        <w:spacing w:after="0" w:line="267" w:lineRule="auto"/>
        <w:tabs>
          <w:tab w:leader="none" w:pos="63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Delegate the performance of its duties, but not the responsibility for its duties, to the officers, employees, and agents of the Association.</w:t>
      </w:r>
    </w:p>
    <w:p>
      <w:pPr>
        <w:spacing w:after="0" w:line="193" w:lineRule="exact"/>
        <w:rPr>
          <w:rFonts w:ascii="Times New Roman" w:cs="Times New Roman" w:eastAsia="Times New Roman" w:hAnsi="Times New Roman"/>
          <w:sz w:val="21"/>
          <w:szCs w:val="21"/>
          <w:color w:val="auto"/>
        </w:rPr>
      </w:pPr>
    </w:p>
    <w:p>
      <w:pPr>
        <w:ind w:left="660" w:right="40" w:hanging="621"/>
        <w:spacing w:after="0" w:line="267" w:lineRule="auto"/>
        <w:tabs>
          <w:tab w:leader="none" w:pos="65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Fix the compensation and enter employment contracts with its officers and employees upon reasonable terms and conditions consistent with applicable law.</w:t>
      </w:r>
    </w:p>
    <w:p>
      <w:pPr>
        <w:spacing w:after="0" w:line="193" w:lineRule="exact"/>
        <w:rPr>
          <w:rFonts w:ascii="Times New Roman" w:cs="Times New Roman" w:eastAsia="Times New Roman" w:hAnsi="Times New Roman"/>
          <w:sz w:val="21"/>
          <w:szCs w:val="21"/>
          <w:color w:val="auto"/>
        </w:rPr>
      </w:pPr>
    </w:p>
    <w:p>
      <w:pPr>
        <w:ind w:left="660" w:hanging="621"/>
        <w:spacing w:after="0"/>
        <w:tabs>
          <w:tab w:leader="none" w:pos="6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Dismiss officers and employees.</w:t>
      </w:r>
    </w:p>
    <w:p>
      <w:pPr>
        <w:spacing w:after="0" w:line="232" w:lineRule="exact"/>
        <w:rPr>
          <w:rFonts w:ascii="Times New Roman" w:cs="Times New Roman" w:eastAsia="Times New Roman" w:hAnsi="Times New Roman"/>
          <w:sz w:val="21"/>
          <w:szCs w:val="21"/>
          <w:color w:val="auto"/>
        </w:rPr>
      </w:pPr>
    </w:p>
    <w:p>
      <w:pPr>
        <w:ind w:left="660" w:hanging="621"/>
        <w:spacing w:after="0"/>
        <w:tabs>
          <w:tab w:leader="none" w:pos="6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bonds from officers and employees and to fix the penalty thereof.</w:t>
      </w:r>
    </w:p>
    <w:p>
      <w:pPr>
        <w:spacing w:after="0" w:line="232" w:lineRule="exact"/>
        <w:rPr>
          <w:rFonts w:ascii="Times New Roman" w:cs="Times New Roman" w:eastAsia="Times New Roman" w:hAnsi="Times New Roman"/>
          <w:sz w:val="21"/>
          <w:szCs w:val="21"/>
          <w:color w:val="auto"/>
        </w:rPr>
      </w:pPr>
    </w:p>
    <w:p>
      <w:pPr>
        <w:ind w:left="660" w:hanging="614"/>
        <w:spacing w:after="0"/>
        <w:tabs>
          <w:tab w:leader="none" w:pos="66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Ratify written policies authorized by the Association's management or committees of the board.</w:t>
      </w:r>
    </w:p>
    <w:p>
      <w:pPr>
        <w:spacing w:after="0" w:line="232" w:lineRule="exact"/>
        <w:rPr>
          <w:rFonts w:ascii="Times New Roman" w:cs="Times New Roman" w:eastAsia="Times New Roman" w:hAnsi="Times New Roman"/>
          <w:sz w:val="21"/>
          <w:szCs w:val="21"/>
          <w:color w:val="auto"/>
        </w:rPr>
      </w:pPr>
    </w:p>
    <w:p>
      <w:pPr>
        <w:jc w:val="both"/>
        <w:ind w:left="660" w:hanging="615"/>
        <w:spacing w:after="0" w:line="294" w:lineRule="auto"/>
        <w:tabs>
          <w:tab w:leader="none" w:pos="657"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45" w:lineRule="exact"/>
        <w:rPr>
          <w:rFonts w:ascii="Times New Roman" w:cs="Times New Roman" w:eastAsia="Times New Roman" w:hAnsi="Times New Roman"/>
          <w:sz w:val="19"/>
          <w:szCs w:val="19"/>
          <w:color w:val="auto"/>
        </w:rPr>
      </w:pPr>
    </w:p>
    <w:p>
      <w:pPr>
        <w:ind w:left="3980" w:hanging="116"/>
        <w:spacing w:after="0"/>
        <w:tabs>
          <w:tab w:leader="none" w:pos="3980" w:val="left"/>
        </w:tabs>
        <w:numPr>
          <w:ilvl w:val="2"/>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3 -</w:t>
      </w:r>
    </w:p>
    <w:p>
      <w:pPr>
        <w:sectPr>
          <w:pgSz w:w="11900" w:h="16838" w:orient="portrait"/>
          <w:cols w:equalWidth="0" w:num="1">
            <w:col w:w="11040"/>
          </w:cols>
          <w:pgMar w:left="420" w:top="1281" w:right="439" w:bottom="1440" w:gutter="0" w:footer="0" w:header="0"/>
        </w:sectPr>
      </w:pPr>
    </w:p>
    <w:bookmarkStart w:id="32" w:name="page33"/>
    <w:bookmarkEnd w:id="32"/>
    <w:p>
      <w:pPr>
        <w:ind w:left="620" w:hanging="619"/>
        <w:spacing w:after="0"/>
        <w:tabs>
          <w:tab w:leader="none" w:pos="6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Manage and administer the business and affairs of the Association.</w:t>
      </w:r>
    </w:p>
    <w:p>
      <w:pPr>
        <w:spacing w:after="0" w:line="220" w:lineRule="exact"/>
        <w:rPr>
          <w:rFonts w:ascii="Times New Roman" w:cs="Times New Roman" w:eastAsia="Times New Roman" w:hAnsi="Times New Roman"/>
          <w:sz w:val="21"/>
          <w:szCs w:val="21"/>
          <w:color w:val="auto"/>
        </w:rPr>
      </w:pPr>
    </w:p>
    <w:p>
      <w:pPr>
        <w:ind w:left="620" w:right="300" w:hanging="619"/>
        <w:spacing w:after="0" w:line="267" w:lineRule="auto"/>
        <w:tabs>
          <w:tab w:leader="none" w:pos="613"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Adopt initial Bylaws, not inconsistent with law or the Articles of Association, for managing the business and regulating the affairs of the Association.</w:t>
      </w:r>
    </w:p>
    <w:p>
      <w:pPr>
        <w:spacing w:after="0" w:line="193" w:lineRule="exact"/>
        <w:rPr>
          <w:rFonts w:ascii="Times New Roman" w:cs="Times New Roman" w:eastAsia="Times New Roman" w:hAnsi="Times New Roman"/>
          <w:sz w:val="21"/>
          <w:szCs w:val="21"/>
          <w:color w:val="auto"/>
        </w:rPr>
      </w:pPr>
    </w:p>
    <w:p>
      <w:pPr>
        <w:ind w:left="620" w:right="420" w:hanging="613"/>
        <w:spacing w:after="0" w:line="267" w:lineRule="auto"/>
        <w:tabs>
          <w:tab w:leader="none" w:pos="61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or repeal Bylaws, except to the extent that the Articles of Association reserve this power in whole or in part to the shareholders.</w:t>
      </w:r>
    </w:p>
    <w:p>
      <w:pPr>
        <w:spacing w:after="0" w:line="193" w:lineRule="exact"/>
        <w:rPr>
          <w:rFonts w:ascii="Times New Roman" w:cs="Times New Roman" w:eastAsia="Times New Roman" w:hAnsi="Times New Roman"/>
          <w:sz w:val="21"/>
          <w:szCs w:val="21"/>
          <w:color w:val="auto"/>
        </w:rPr>
      </w:pPr>
    </w:p>
    <w:p>
      <w:pPr>
        <w:ind w:left="600" w:hanging="593"/>
        <w:spacing w:after="0"/>
        <w:tabs>
          <w:tab w:leader="none" w:pos="60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contracts.</w:t>
      </w:r>
    </w:p>
    <w:p>
      <w:pPr>
        <w:spacing w:after="0" w:line="245" w:lineRule="exact"/>
        <w:rPr>
          <w:rFonts w:ascii="Times New Roman" w:cs="Times New Roman" w:eastAsia="Times New Roman" w:hAnsi="Times New Roman"/>
          <w:sz w:val="21"/>
          <w:szCs w:val="21"/>
          <w:color w:val="auto"/>
        </w:rPr>
      </w:pPr>
    </w:p>
    <w:p>
      <w:pPr>
        <w:ind w:left="620" w:hanging="613"/>
        <w:spacing w:after="0"/>
        <w:tabs>
          <w:tab w:leader="none" w:pos="6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Generally perform all acts that are legal for a board of directors to perform.</w:t>
      </w:r>
    </w:p>
    <w:p>
      <w:pPr>
        <w:spacing w:after="0" w:line="220" w:lineRule="exact"/>
        <w:rPr>
          <w:sz w:val="20"/>
          <w:szCs w:val="20"/>
          <w:color w:val="auto"/>
        </w:rPr>
      </w:pPr>
    </w:p>
    <w:p>
      <w:pPr>
        <w:jc w:val="both"/>
        <w:ind w:right="20" w:firstLine="2"/>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SEVENTH. </w:t>
      </w:r>
      <w:r>
        <w:rPr>
          <w:rFonts w:ascii="Times New Roman" w:cs="Times New Roman" w:eastAsia="Times New Roman" w:hAnsi="Times New Roman"/>
          <w:sz w:val="20"/>
          <w:szCs w:val="20"/>
          <w:color w:val="auto"/>
        </w:rPr>
        <w:t>The board of directors shall have the power to change the location of the main office to any authorized branch within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xml:space="preserve">EIGHTH. </w:t>
      </w:r>
      <w:r>
        <w:rPr>
          <w:rFonts w:ascii="Times New Roman" w:cs="Times New Roman" w:eastAsia="Times New Roman" w:hAnsi="Times New Roman"/>
          <w:sz w:val="20"/>
          <w:szCs w:val="20"/>
          <w:color w:val="auto"/>
        </w:rPr>
        <w:t>The corporate existence of this Association shall continue until termination according to the laws of the United States.</w:t>
      </w:r>
    </w:p>
    <w:p>
      <w:pPr>
        <w:spacing w:after="0" w:line="257" w:lineRule="exact"/>
        <w:rPr>
          <w:sz w:val="20"/>
          <w:szCs w:val="20"/>
          <w:color w:val="auto"/>
        </w:rPr>
      </w:pPr>
    </w:p>
    <w:p>
      <w:pPr>
        <w:jc w:val="both"/>
        <w:ind w:right="20" w:firstLine="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NINTH. </w:t>
      </w:r>
      <w:r>
        <w:rPr>
          <w:rFonts w:ascii="Times New Roman" w:cs="Times New Roman" w:eastAsia="Times New Roman" w:hAnsi="Times New Roman"/>
          <w:sz w:val="20"/>
          <w:szCs w:val="20"/>
          <w:color w:val="auto"/>
        </w:rPr>
        <w:t>The board of directors of the Association, or any shareholder owning, in the aggregate, not less than 25 percent of the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95" w:lineRule="exact"/>
        <w:rPr>
          <w:sz w:val="20"/>
          <w:szCs w:val="20"/>
          <w:color w:val="auto"/>
        </w:rPr>
      </w:pPr>
    </w:p>
    <w:p>
      <w:pPr>
        <w:jc w:val="both"/>
        <w:ind w:left="20" w:firstLine="1"/>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TENTH. </w:t>
      </w:r>
      <w:r>
        <w:rPr>
          <w:rFonts w:ascii="Times New Roman" w:cs="Times New Roman" w:eastAsia="Times New Roman" w:hAnsi="Times New Roman"/>
          <w:sz w:val="20"/>
          <w:szCs w:val="20"/>
          <w:color w:val="auto"/>
        </w:rPr>
        <w:t>These Articles of Association may be amended at any regular or special meeting of the shareholders by the affirmative vote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- 4 -</w:t>
      </w:r>
    </w:p>
    <w:p>
      <w:pPr>
        <w:sectPr>
          <w:pgSz w:w="11900" w:h="16838" w:orient="portrait"/>
          <w:cols w:equalWidth="0" w:num="1">
            <w:col w:w="11020"/>
          </w:cols>
          <w:pgMar w:left="440" w:top="1294"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 xml:space="preserve">In witness whereof, we have hereunto set our hands this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24"/>
          <w:szCs w:val="24"/>
          <w:u w:val="single" w:color="auto"/>
          <w:color w:val="auto"/>
          <w:vertAlign w:val="superscript"/>
        </w:rPr>
        <w:t>th</w:t>
      </w:r>
      <w:r>
        <w:rPr>
          <w:rFonts w:ascii="Times New Roman" w:cs="Times New Roman" w:eastAsia="Times New Roman" w:hAnsi="Times New Roman"/>
          <w:sz w:val="20"/>
          <w:szCs w:val="20"/>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-36195</wp:posOffset>
            </wp:positionV>
            <wp:extent cx="31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142240</wp:posOffset>
            </wp:positionV>
            <wp:extent cx="1774825" cy="2246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774825" cy="2246630"/>
                    </a:xfrm>
                    <a:prstGeom prst="rect">
                      <a:avLst/>
                    </a:prstGeom>
                    <a:noFill/>
                  </pic:spPr>
                </pic:pic>
              </a:graphicData>
            </a:graphic>
          </wp:anchor>
        </w:drawing>
      </w:r>
    </w:p>
    <w:p>
      <w:pPr>
        <w:sectPr>
          <w:pgSz w:w="11900" w:h="16838" w:orient="portrait"/>
          <w:cols w:equalWidth="0" w:num="1">
            <w:col w:w="10039"/>
          </w:cols>
          <w:pgMar w:left="420" w:top="1230"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466090</wp:posOffset>
            </wp:positionV>
            <wp:extent cx="4639945" cy="5991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639945" cy="5991225"/>
                    </a:xfrm>
                    <a:prstGeom prst="rect">
                      <a:avLst/>
                    </a:prstGeom>
                    <a:noFill/>
                  </pic:spPr>
                </pic:pic>
              </a:graphicData>
            </a:graphic>
          </wp:anchor>
        </w:drawing>
      </w:r>
    </w:p>
    <w:p>
      <w:pPr>
        <w:sectPr>
          <w:pgSz w:w="11900" w:h="16838" w:orient="portrait"/>
          <w:cols w:equalWidth="0" w:num="1">
            <w:col w:w="9019"/>
          </w:cols>
          <w:pgMar w:left="1440" w:top="1174" w:right="1440" w:bottom="1440" w:gutter="0" w:footer="0" w:header="0"/>
        </w:sectPr>
      </w:pPr>
    </w:p>
    <w:bookmarkStart w:id="35" w:name="page36"/>
    <w:bookmarkEnd w:id="35"/>
    <w:p>
      <w:pPr>
        <w:spacing w:after="0" w:line="1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1"/>
          <w:szCs w:val="21"/>
          <w:b w:val="1"/>
          <w:bCs w:val="1"/>
          <w:u w:val="single" w:color="auto"/>
          <w:color w:val="auto"/>
        </w:rPr>
        <w:t>Exhibit 4</w:t>
      </w: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U.S. BANK TRUST COMPANY, NATIONAL ASSOCIATION</w:t>
      </w:r>
    </w:p>
    <w:p>
      <w:pPr>
        <w:spacing w:after="0" w:line="297" w:lineRule="exact"/>
        <w:rPr>
          <w:sz w:val="20"/>
          <w:szCs w:val="20"/>
          <w:color w:val="auto"/>
        </w:rPr>
      </w:pPr>
    </w:p>
    <w:p>
      <w:pPr>
        <w:ind w:left="3820"/>
        <w:spacing w:after="0"/>
        <w:rPr>
          <w:sz w:val="20"/>
          <w:szCs w:val="20"/>
          <w:color w:val="auto"/>
        </w:rPr>
      </w:pPr>
      <w:r>
        <w:rPr>
          <w:rFonts w:ascii="Arial" w:cs="Arial" w:eastAsia="Arial" w:hAnsi="Arial"/>
          <w:sz w:val="21"/>
          <w:szCs w:val="21"/>
          <w:b w:val="1"/>
          <w:bCs w:val="1"/>
          <w:u w:val="single" w:color="auto"/>
          <w:color w:val="auto"/>
        </w:rPr>
        <w:t>AMENDED AND RESTATED BYLAWS</w:t>
      </w:r>
    </w:p>
    <w:p>
      <w:pPr>
        <w:spacing w:after="0" w:line="182" w:lineRule="exact"/>
        <w:rPr>
          <w:sz w:val="20"/>
          <w:szCs w:val="20"/>
          <w:color w:val="auto"/>
        </w:rPr>
      </w:pPr>
    </w:p>
    <w:p>
      <w:pPr>
        <w:ind w:left="5140"/>
        <w:spacing w:after="0"/>
        <w:rPr>
          <w:sz w:val="20"/>
          <w:szCs w:val="20"/>
          <w:color w:val="auto"/>
        </w:rPr>
      </w:pPr>
      <w:r>
        <w:rPr>
          <w:rFonts w:ascii="Arial" w:cs="Arial" w:eastAsia="Arial" w:hAnsi="Arial"/>
          <w:sz w:val="21"/>
          <w:szCs w:val="21"/>
          <w:u w:val="single" w:color="auto"/>
          <w:color w:val="auto"/>
        </w:rPr>
        <w:t>ARTICLE I</w:t>
      </w:r>
    </w:p>
    <w:p>
      <w:pPr>
        <w:spacing w:after="0" w:line="30" w:lineRule="exact"/>
        <w:rPr>
          <w:sz w:val="20"/>
          <w:szCs w:val="20"/>
          <w:color w:val="auto"/>
        </w:rPr>
      </w:pPr>
    </w:p>
    <w:p>
      <w:pPr>
        <w:jc w:val="center"/>
        <w:ind w:right="-359"/>
        <w:spacing w:after="0"/>
        <w:rPr>
          <w:sz w:val="20"/>
          <w:szCs w:val="20"/>
          <w:color w:val="auto"/>
        </w:rPr>
      </w:pPr>
      <w:r>
        <w:rPr>
          <w:rFonts w:ascii="Arial" w:cs="Arial" w:eastAsia="Arial" w:hAnsi="Arial"/>
          <w:sz w:val="21"/>
          <w:szCs w:val="21"/>
          <w:u w:val="single" w:color="auto"/>
          <w:color w:val="auto"/>
        </w:rPr>
        <w:t>Meetings of Shareholders</w:t>
      </w:r>
    </w:p>
    <w:p>
      <w:pPr>
        <w:spacing w:after="0" w:line="230"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Annual Meeting</w:t>
      </w:r>
      <w:r>
        <w:rPr>
          <w:rFonts w:ascii="Arial" w:cs="Arial" w:eastAsia="Arial" w:hAnsi="Arial"/>
          <w:sz w:val="21"/>
          <w:szCs w:val="21"/>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99"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Special Meetings</w:t>
      </w:r>
      <w:r>
        <w:rPr>
          <w:rFonts w:ascii="Arial" w:cs="Arial" w:eastAsia="Arial" w:hAnsi="Arial"/>
          <w:sz w:val="21"/>
          <w:szCs w:val="21"/>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Every such special meeting, unless otherwise provided by law, shall be called upon not less than ten (10) days nor more than sixty (60) days prior notice stating the purpose of the meeting.</w:t>
      </w:r>
    </w:p>
    <w:p>
      <w:pPr>
        <w:spacing w:after="0" w:line="216" w:lineRule="exact"/>
        <w:rPr>
          <w:sz w:val="20"/>
          <w:szCs w:val="20"/>
          <w:color w:val="auto"/>
        </w:rPr>
      </w:pPr>
    </w:p>
    <w:p>
      <w:pPr>
        <w:ind w:right="540"/>
        <w:spacing w:after="0" w:line="272"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Nominations for Directors</w:t>
      </w:r>
      <w:r>
        <w:rPr>
          <w:rFonts w:ascii="Arial" w:cs="Arial" w:eastAsia="Arial" w:hAnsi="Arial"/>
          <w:sz w:val="21"/>
          <w:szCs w:val="21"/>
          <w:color w:val="auto"/>
        </w:rPr>
        <w:t>. Nominations for election to the Board may be made by the Board or by any shareholder.</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Proxies</w:t>
      </w:r>
      <w:r>
        <w:rPr>
          <w:rFonts w:ascii="Arial" w:cs="Arial" w:eastAsia="Arial" w:hAnsi="Arial"/>
          <w:sz w:val="21"/>
          <w:szCs w:val="21"/>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80" w:lineRule="exact"/>
        <w:rPr>
          <w:sz w:val="20"/>
          <w:szCs w:val="20"/>
          <w:color w:val="auto"/>
        </w:rPr>
      </w:pPr>
    </w:p>
    <w:p>
      <w:pPr>
        <w:ind w:right="360"/>
        <w:spacing w:after="0" w:line="272"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Record Date</w:t>
      </w:r>
      <w:r>
        <w:rPr>
          <w:rFonts w:ascii="Arial" w:cs="Arial" w:eastAsia="Arial" w:hAnsi="Arial"/>
          <w:sz w:val="21"/>
          <w:szCs w:val="21"/>
          <w:color w:val="auto"/>
        </w:rPr>
        <w:t>. The record date for determining shareholders entitled to notice and to vote at any meeting will be thirty days before the date of such meeting, unless otherwise determined by the Board.</w:t>
      </w:r>
    </w:p>
    <w:p>
      <w:pPr>
        <w:sectPr>
          <w:pgSz w:w="11900" w:h="16838" w:orient="portrait"/>
          <w:cols w:equalWidth="0" w:num="1">
            <w:col w:w="10900"/>
          </w:cols>
          <w:pgMar w:left="320" w:top="1440" w:right="679" w:bottom="1440" w:gutter="0" w:footer="0" w:header="0"/>
        </w:sectPr>
      </w:pPr>
    </w:p>
    <w:bookmarkStart w:id="36" w:name="page37"/>
    <w:bookmarkEnd w:id="36"/>
    <w:p>
      <w:pPr>
        <w:spacing w:after="0" w:line="272"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Quorum and Voting</w:t>
      </w:r>
      <w:r>
        <w:rPr>
          <w:rFonts w:ascii="Arial" w:cs="Arial" w:eastAsia="Arial" w:hAnsi="Arial"/>
          <w:sz w:val="21"/>
          <w:szCs w:val="21"/>
          <w:color w:val="auto"/>
        </w:rPr>
        <w:t>. A majority of the outstanding capital stock, represented in person or by proxy, shall constitute a quorum at any</w:t>
      </w:r>
    </w:p>
    <w:p>
      <w:pPr>
        <w:sectPr>
          <w:pgSz w:w="11900" w:h="16838" w:orient="portrait"/>
          <w:cols w:equalWidth="0" w:num="1">
            <w:col w:w="10520"/>
          </w:cols>
          <w:pgMar w:left="320" w:top="1177" w:right="1059" w:bottom="1440" w:gutter="0" w:footer="0" w:header="0"/>
        </w:sectPr>
      </w:pPr>
    </w:p>
    <w:bookmarkStart w:id="37" w:name="page38"/>
    <w:bookmarkEnd w:id="37"/>
    <w:p>
      <w:pPr>
        <w:jc w:val="both"/>
        <w:ind w:right="60"/>
        <w:spacing w:after="0" w:line="252" w:lineRule="auto"/>
        <w:rPr>
          <w:sz w:val="20"/>
          <w:szCs w:val="20"/>
          <w:color w:val="auto"/>
        </w:rPr>
      </w:pPr>
      <w:r>
        <w:rPr>
          <w:rFonts w:ascii="Arial" w:cs="Arial" w:eastAsia="Arial" w:hAnsi="Arial"/>
          <w:sz w:val="21"/>
          <w:szCs w:val="21"/>
          <w:color w:val="auto"/>
        </w:rPr>
        <w:t>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216"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Inspectors</w:t>
      </w:r>
      <w:r>
        <w:rPr>
          <w:rFonts w:ascii="Arial" w:cs="Arial" w:eastAsia="Arial" w:hAnsi="Arial"/>
          <w:sz w:val="21"/>
          <w:szCs w:val="21"/>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206"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 xml:space="preserve">Section 1.8. </w:t>
      </w:r>
      <w:r>
        <w:rPr>
          <w:rFonts w:ascii="Arial" w:cs="Arial" w:eastAsia="Arial" w:hAnsi="Arial"/>
          <w:sz w:val="21"/>
          <w:szCs w:val="21"/>
          <w:u w:val="single" w:color="auto"/>
          <w:color w:val="auto"/>
        </w:rPr>
        <w:t>Waiver and Consent</w:t>
      </w:r>
      <w:r>
        <w:rPr>
          <w:rFonts w:ascii="Arial" w:cs="Arial" w:eastAsia="Arial" w:hAnsi="Arial"/>
          <w:sz w:val="21"/>
          <w:szCs w:val="21"/>
          <w:color w:val="auto"/>
        </w:rPr>
        <w:t>. The shareholders may act without notice or a meeting by a unanimous written consent by all shareholders.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21"/>
          <w:szCs w:val="21"/>
          <w:color w:val="auto"/>
        </w:rPr>
        <w:t xml:space="preserve">Section 1.9. </w:t>
      </w:r>
      <w:r>
        <w:rPr>
          <w:rFonts w:ascii="Arial" w:cs="Arial" w:eastAsia="Arial" w:hAnsi="Arial"/>
          <w:sz w:val="21"/>
          <w:szCs w:val="21"/>
          <w:u w:val="single" w:color="auto"/>
          <w:color w:val="auto"/>
        </w:rPr>
        <w:t>Remote Meetings</w:t>
      </w:r>
      <w:r>
        <w:rPr>
          <w:rFonts w:ascii="Arial" w:cs="Arial" w:eastAsia="Arial" w:hAnsi="Arial"/>
          <w:sz w:val="21"/>
          <w:szCs w:val="21"/>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21"/>
          <w:szCs w:val="21"/>
          <w:u w:val="single" w:color="auto"/>
          <w:color w:val="auto"/>
        </w:rPr>
        <w:t>ARTICLE II</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21"/>
          <w:szCs w:val="21"/>
          <w:u w:val="single" w:color="auto"/>
          <w:color w:val="auto"/>
        </w:rPr>
        <w:t>Directors</w:t>
      </w:r>
    </w:p>
    <w:p>
      <w:pPr>
        <w:spacing w:after="0" w:line="213" w:lineRule="exact"/>
        <w:rPr>
          <w:sz w:val="20"/>
          <w:szCs w:val="20"/>
          <w:color w:val="auto"/>
        </w:rPr>
      </w:pPr>
    </w:p>
    <w:p>
      <w:pPr>
        <w:jc w:val="both"/>
        <w:ind w:right="180"/>
        <w:spacing w:after="0" w:line="257"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u w:val="single" w:color="auto"/>
          <w:color w:val="auto"/>
        </w:rPr>
        <w:t>Board of Directors</w:t>
      </w:r>
      <w:r>
        <w:rPr>
          <w:rFonts w:ascii="Arial" w:cs="Arial" w:eastAsia="Arial" w:hAnsi="Arial"/>
          <w:sz w:val="21"/>
          <w:szCs w:val="21"/>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99" w:lineRule="exact"/>
        <w:rPr>
          <w:sz w:val="20"/>
          <w:szCs w:val="20"/>
          <w:color w:val="auto"/>
        </w:rPr>
      </w:pPr>
    </w:p>
    <w:p>
      <w:pPr>
        <w:ind w:right="140"/>
        <w:spacing w:after="0" w:line="272"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Term of Office</w:t>
      </w:r>
      <w:r>
        <w:rPr>
          <w:rFonts w:ascii="Arial" w:cs="Arial" w:eastAsia="Arial" w:hAnsi="Arial"/>
          <w:sz w:val="21"/>
          <w:szCs w:val="21"/>
          <w:color w:val="auto"/>
        </w:rPr>
        <w:t>. The directors of this Association shall hold office for one year and until their successors are duly elected and qualified, or until their earlier resignation or removal.</w:t>
      </w:r>
    </w:p>
    <w:p>
      <w:pPr>
        <w:spacing w:after="0" w:line="196" w:lineRule="exact"/>
        <w:rPr>
          <w:sz w:val="20"/>
          <w:szCs w:val="20"/>
          <w:color w:val="auto"/>
        </w:rPr>
      </w:pPr>
    </w:p>
    <w:p>
      <w:pPr>
        <w:ind w:right="140"/>
        <w:spacing w:after="0" w:line="272"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u w:val="single" w:color="auto"/>
          <w:color w:val="auto"/>
        </w:rPr>
        <w:t>Powers</w:t>
      </w:r>
      <w:r>
        <w:rPr>
          <w:rFonts w:ascii="Arial" w:cs="Arial" w:eastAsia="Arial" w:hAnsi="Arial"/>
          <w:sz w:val="21"/>
          <w:szCs w:val="21"/>
          <w:color w:val="auto"/>
        </w:rPr>
        <w:t>. In addition to the foregoing, the Board shall have and may exercise all of the powers granted to or conferred upon it by the Articles of Association, the Bylaws and by law.</w:t>
      </w:r>
    </w:p>
    <w:p>
      <w:pPr>
        <w:spacing w:after="0" w:line="196" w:lineRule="exact"/>
        <w:rPr>
          <w:sz w:val="20"/>
          <w:szCs w:val="20"/>
          <w:color w:val="auto"/>
        </w:rPr>
      </w:pPr>
    </w:p>
    <w:p>
      <w:pPr>
        <w:ind w:right="400"/>
        <w:spacing w:after="0" w:line="252" w:lineRule="auto"/>
        <w:rPr>
          <w:sz w:val="20"/>
          <w:szCs w:val="20"/>
          <w:color w:val="auto"/>
        </w:rPr>
      </w:pPr>
      <w:r>
        <w:rPr>
          <w:rFonts w:ascii="Arial" w:cs="Arial" w:eastAsia="Arial" w:hAnsi="Arial"/>
          <w:sz w:val="21"/>
          <w:szCs w:val="21"/>
          <w:color w:val="auto"/>
        </w:rPr>
        <w:t xml:space="preserve">Section 2.4. </w:t>
      </w:r>
      <w:r>
        <w:rPr>
          <w:rFonts w:ascii="Arial" w:cs="Arial" w:eastAsia="Arial" w:hAnsi="Arial"/>
          <w:sz w:val="21"/>
          <w:szCs w:val="21"/>
          <w:u w:val="single" w:color="auto"/>
          <w:color w:val="auto"/>
        </w:rPr>
        <w:t>Number</w:t>
      </w:r>
      <w:r>
        <w:rPr>
          <w:rFonts w:ascii="Arial" w:cs="Arial" w:eastAsia="Arial" w:hAnsi="Arial"/>
          <w:sz w:val="21"/>
          <w:szCs w:val="21"/>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920"/>
          </w:cols>
          <w:pgMar w:left="320" w:top="1242" w:right="659" w:bottom="1440" w:gutter="0" w:footer="0" w:header="0"/>
        </w:sectPr>
      </w:pPr>
    </w:p>
    <w:bookmarkStart w:id="38" w:name="page39"/>
    <w:bookmarkEnd w:id="38"/>
    <w:p>
      <w:pPr>
        <w:spacing w:after="0" w:line="33" w:lineRule="exact"/>
        <w:rPr>
          <w:sz w:val="20"/>
          <w:szCs w:val="20"/>
          <w:color w:val="auto"/>
        </w:rPr>
      </w:pPr>
    </w:p>
    <w:p>
      <w:pPr>
        <w:ind w:right="360"/>
        <w:spacing w:after="0" w:line="249" w:lineRule="auto"/>
        <w:rPr>
          <w:sz w:val="20"/>
          <w:szCs w:val="20"/>
          <w:color w:val="auto"/>
        </w:rPr>
      </w:pPr>
      <w:r>
        <w:rPr>
          <w:rFonts w:ascii="Arial" w:cs="Arial" w:eastAsia="Arial" w:hAnsi="Arial"/>
          <w:sz w:val="21"/>
          <w:szCs w:val="21"/>
          <w:color w:val="auto"/>
        </w:rPr>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220" w:lineRule="exact"/>
        <w:rPr>
          <w:sz w:val="20"/>
          <w:szCs w:val="20"/>
          <w:color w:val="auto"/>
        </w:rPr>
      </w:pPr>
    </w:p>
    <w:p>
      <w:pPr>
        <w:ind w:right="300"/>
        <w:spacing w:after="0" w:line="252"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u w:val="single" w:color="auto"/>
          <w:color w:val="auto"/>
        </w:rPr>
        <w:t>Organization Meeting</w:t>
      </w:r>
      <w:r>
        <w:rPr>
          <w:rFonts w:ascii="Arial" w:cs="Arial" w:eastAsia="Arial" w:hAnsi="Arial"/>
          <w:sz w:val="21"/>
          <w:szCs w:val="21"/>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94" w:lineRule="exact"/>
        <w:rPr>
          <w:sz w:val="20"/>
          <w:szCs w:val="20"/>
          <w:color w:val="auto"/>
        </w:rPr>
      </w:pPr>
    </w:p>
    <w:p>
      <w:pPr>
        <w:ind w:right="780"/>
        <w:spacing w:after="0" w:line="272" w:lineRule="auto"/>
        <w:rPr>
          <w:sz w:val="20"/>
          <w:szCs w:val="20"/>
          <w:color w:val="auto"/>
        </w:rPr>
      </w:pPr>
      <w:r>
        <w:rPr>
          <w:rFonts w:ascii="Arial" w:cs="Arial" w:eastAsia="Arial" w:hAnsi="Arial"/>
          <w:sz w:val="21"/>
          <w:szCs w:val="21"/>
          <w:color w:val="auto"/>
        </w:rPr>
        <w:t xml:space="preserve">Section 2.6. </w:t>
      </w:r>
      <w:r>
        <w:rPr>
          <w:rFonts w:ascii="Arial" w:cs="Arial" w:eastAsia="Arial" w:hAnsi="Arial"/>
          <w:sz w:val="21"/>
          <w:szCs w:val="21"/>
          <w:u w:val="single" w:color="auto"/>
          <w:color w:val="auto"/>
        </w:rPr>
        <w:t>Regular Meetings</w:t>
      </w:r>
      <w:r>
        <w:rPr>
          <w:rFonts w:ascii="Arial" w:cs="Arial" w:eastAsia="Arial" w:hAnsi="Arial"/>
          <w:sz w:val="21"/>
          <w:szCs w:val="21"/>
          <w:color w:val="auto"/>
        </w:rPr>
        <w:t>. The regular meetings of the Board shall be held, without notice, as the Chairman or President may designate and deem suitable.</w:t>
      </w:r>
    </w:p>
    <w:p>
      <w:pPr>
        <w:spacing w:after="0" w:line="171" w:lineRule="exact"/>
        <w:rPr>
          <w:sz w:val="20"/>
          <w:szCs w:val="20"/>
          <w:color w:val="auto"/>
        </w:rPr>
      </w:pPr>
    </w:p>
    <w:p>
      <w:pPr>
        <w:ind w:right="340"/>
        <w:spacing w:after="0" w:line="249" w:lineRule="auto"/>
        <w:rPr>
          <w:sz w:val="20"/>
          <w:szCs w:val="20"/>
          <w:color w:val="auto"/>
        </w:rPr>
      </w:pPr>
      <w:r>
        <w:rPr>
          <w:rFonts w:ascii="Arial" w:cs="Arial" w:eastAsia="Arial" w:hAnsi="Arial"/>
          <w:sz w:val="21"/>
          <w:szCs w:val="21"/>
          <w:color w:val="auto"/>
        </w:rPr>
        <w:t xml:space="preserve">Section 2.7. </w:t>
      </w:r>
      <w:r>
        <w:rPr>
          <w:rFonts w:ascii="Arial" w:cs="Arial" w:eastAsia="Arial" w:hAnsi="Arial"/>
          <w:sz w:val="21"/>
          <w:szCs w:val="21"/>
          <w:u w:val="single" w:color="auto"/>
          <w:color w:val="auto"/>
        </w:rPr>
        <w:t>Special Meetings</w:t>
      </w:r>
      <w:r>
        <w:rPr>
          <w:rFonts w:ascii="Arial" w:cs="Arial" w:eastAsia="Arial" w:hAnsi="Arial"/>
          <w:sz w:val="21"/>
          <w:szCs w:val="21"/>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95"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Section 2.8. </w:t>
      </w:r>
      <w:r>
        <w:rPr>
          <w:rFonts w:ascii="Arial" w:cs="Arial" w:eastAsia="Arial" w:hAnsi="Arial"/>
          <w:sz w:val="21"/>
          <w:szCs w:val="21"/>
          <w:u w:val="single" w:color="auto"/>
          <w:color w:val="auto"/>
        </w:rPr>
        <w:t>Quorum and Necessary Vote</w:t>
      </w:r>
      <w:r>
        <w:rPr>
          <w:rFonts w:ascii="Arial" w:cs="Arial" w:eastAsia="Arial" w:hAnsi="Arial"/>
          <w:sz w:val="21"/>
          <w:szCs w:val="21"/>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00"/>
          </w:cols>
          <w:pgMar w:left="320" w:top="1440" w:right="379" w:bottom="1440" w:gutter="0" w:footer="0" w:header="0"/>
        </w:sectPr>
      </w:pPr>
    </w:p>
    <w:bookmarkStart w:id="39" w:name="page40"/>
    <w:bookmarkEnd w:id="39"/>
    <w:p>
      <w:pPr>
        <w:spacing w:after="0" w:line="33" w:lineRule="exact"/>
        <w:rPr>
          <w:sz w:val="20"/>
          <w:szCs w:val="20"/>
          <w:color w:val="auto"/>
        </w:rPr>
      </w:pPr>
    </w:p>
    <w:p>
      <w:pPr>
        <w:ind w:right="540"/>
        <w:spacing w:after="0" w:line="257" w:lineRule="auto"/>
        <w:rPr>
          <w:sz w:val="20"/>
          <w:szCs w:val="20"/>
          <w:color w:val="auto"/>
        </w:rPr>
      </w:pPr>
      <w:r>
        <w:rPr>
          <w:rFonts w:ascii="Arial" w:cs="Arial" w:eastAsia="Arial" w:hAnsi="Arial"/>
          <w:sz w:val="21"/>
          <w:szCs w:val="21"/>
          <w:color w:val="auto"/>
        </w:rPr>
        <w:t xml:space="preserve">Section 2.9. </w:t>
      </w:r>
      <w:r>
        <w:rPr>
          <w:rFonts w:ascii="Arial" w:cs="Arial" w:eastAsia="Arial" w:hAnsi="Arial"/>
          <w:sz w:val="21"/>
          <w:szCs w:val="21"/>
          <w:u w:val="single" w:color="auto"/>
          <w:color w:val="auto"/>
        </w:rPr>
        <w:t>Written Consent</w:t>
      </w:r>
      <w:r>
        <w:rPr>
          <w:rFonts w:ascii="Arial" w:cs="Arial" w:eastAsia="Arial" w:hAnsi="Arial"/>
          <w:sz w:val="21"/>
          <w:szCs w:val="21"/>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211" w:lineRule="exact"/>
        <w:rPr>
          <w:sz w:val="20"/>
          <w:szCs w:val="20"/>
          <w:color w:val="auto"/>
        </w:rPr>
      </w:pPr>
    </w:p>
    <w:p>
      <w:pPr>
        <w:ind w:right="420"/>
        <w:spacing w:after="0" w:line="256" w:lineRule="auto"/>
        <w:rPr>
          <w:sz w:val="20"/>
          <w:szCs w:val="20"/>
          <w:color w:val="auto"/>
        </w:rPr>
      </w:pPr>
      <w:r>
        <w:rPr>
          <w:rFonts w:ascii="Arial" w:cs="Arial" w:eastAsia="Arial" w:hAnsi="Arial"/>
          <w:sz w:val="21"/>
          <w:szCs w:val="21"/>
          <w:color w:val="auto"/>
        </w:rPr>
        <w:t xml:space="preserve">Section 2.10. </w:t>
      </w:r>
      <w:r>
        <w:rPr>
          <w:rFonts w:ascii="Arial" w:cs="Arial" w:eastAsia="Arial" w:hAnsi="Arial"/>
          <w:sz w:val="21"/>
          <w:szCs w:val="21"/>
          <w:u w:val="single" w:color="auto"/>
          <w:color w:val="auto"/>
        </w:rPr>
        <w:t>Remote Meetings</w:t>
      </w:r>
      <w:r>
        <w:rPr>
          <w:rFonts w:ascii="Arial" w:cs="Arial" w:eastAsia="Arial" w:hAnsi="Arial"/>
          <w:sz w:val="21"/>
          <w:szCs w:val="21"/>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88" w:lineRule="exact"/>
        <w:rPr>
          <w:sz w:val="20"/>
          <w:szCs w:val="20"/>
          <w:color w:val="auto"/>
        </w:rPr>
      </w:pPr>
    </w:p>
    <w:p>
      <w:pPr>
        <w:ind w:right="680"/>
        <w:spacing w:after="0" w:line="257"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u w:val="single" w:color="auto"/>
          <w:color w:val="auto"/>
        </w:rPr>
        <w:t>Vacancies</w:t>
      </w:r>
      <w:r>
        <w:rPr>
          <w:rFonts w:ascii="Arial" w:cs="Arial" w:eastAsia="Arial" w:hAnsi="Arial"/>
          <w:sz w:val="21"/>
          <w:szCs w:val="21"/>
          <w:color w:val="auto"/>
        </w:rPr>
        <w:t>. When any vacancy occurs among the directors, the remaining members of the Board may appoint a director to fill such vacancy at any regular meeting of the Board, or at a special meeting called for that purpose.</w:t>
      </w:r>
    </w:p>
    <w:p>
      <w:pPr>
        <w:spacing w:after="0" w:line="250" w:lineRule="exact"/>
        <w:rPr>
          <w:sz w:val="20"/>
          <w:szCs w:val="20"/>
          <w:color w:val="auto"/>
        </w:rPr>
      </w:pPr>
    </w:p>
    <w:p>
      <w:pPr>
        <w:ind w:left="5080"/>
        <w:spacing w:after="0"/>
        <w:rPr>
          <w:sz w:val="20"/>
          <w:szCs w:val="20"/>
          <w:color w:val="auto"/>
        </w:rPr>
      </w:pPr>
      <w:r>
        <w:rPr>
          <w:rFonts w:ascii="Arial" w:cs="Arial" w:eastAsia="Arial" w:hAnsi="Arial"/>
          <w:sz w:val="21"/>
          <w:szCs w:val="21"/>
          <w:u w:val="single" w:color="auto"/>
          <w:color w:val="auto"/>
        </w:rPr>
        <w:t>ARTICLE III</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21"/>
          <w:szCs w:val="21"/>
          <w:u w:val="single" w:color="auto"/>
          <w:color w:val="auto"/>
        </w:rPr>
        <w:t>Committees</w:t>
      </w:r>
    </w:p>
    <w:p>
      <w:pPr>
        <w:spacing w:after="0" w:line="251" w:lineRule="exact"/>
        <w:rPr>
          <w:sz w:val="20"/>
          <w:szCs w:val="20"/>
          <w:color w:val="auto"/>
        </w:rPr>
      </w:pPr>
    </w:p>
    <w:p>
      <w:pPr>
        <w:ind w:right="360"/>
        <w:spacing w:after="0" w:line="252"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Advisory Board of Directors</w:t>
      </w:r>
      <w:r>
        <w:rPr>
          <w:rFonts w:ascii="Arial" w:cs="Arial" w:eastAsia="Arial" w:hAnsi="Arial"/>
          <w:sz w:val="21"/>
          <w:szCs w:val="21"/>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94" w:lineRule="exact"/>
        <w:rPr>
          <w:sz w:val="20"/>
          <w:szCs w:val="20"/>
          <w:color w:val="auto"/>
        </w:rPr>
      </w:pPr>
    </w:p>
    <w:p>
      <w:pPr>
        <w:ind w:right="240"/>
        <w:spacing w:after="0" w:line="250"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u w:val="single" w:color="auto"/>
          <w:color w:val="auto"/>
        </w:rPr>
        <w:t>Trust Audit Committee</w:t>
      </w:r>
      <w:r>
        <w:rPr>
          <w:rFonts w:ascii="Arial" w:cs="Arial" w:eastAsia="Arial" w:hAnsi="Arial"/>
          <w:sz w:val="21"/>
          <w:szCs w:val="21"/>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196"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The Audit Committee of the financial holding company that is the ultimate parent of this Association, fulfilling the function of the trust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120"/>
          </w:cols>
          <w:pgMar w:left="320" w:top="1440" w:right="459" w:bottom="1440" w:gutter="0" w:footer="0" w:header="0"/>
        </w:sectPr>
      </w:pPr>
    </w:p>
    <w:bookmarkStart w:id="40" w:name="page41"/>
    <w:bookmarkEnd w:id="40"/>
    <w:p>
      <w:pPr>
        <w:spacing w:after="0" w:line="33" w:lineRule="exact"/>
        <w:rPr>
          <w:sz w:val="20"/>
          <w:szCs w:val="20"/>
          <w:color w:val="auto"/>
        </w:rPr>
      </w:pPr>
    </w:p>
    <w:p>
      <w:pPr>
        <w:ind w:left="920" w:right="1180" w:firstLine="6"/>
        <w:spacing w:after="0" w:line="272" w:lineRule="auto"/>
        <w:tabs>
          <w:tab w:leader="none" w:pos="1235" w:val="left"/>
        </w:tabs>
        <w:numPr>
          <w:ilvl w:val="0"/>
          <w:numId w:val="30"/>
        </w:numPr>
        <w:rPr>
          <w:rFonts w:ascii="Arial" w:cs="Arial" w:eastAsia="Arial" w:hAnsi="Arial"/>
          <w:sz w:val="21"/>
          <w:szCs w:val="21"/>
          <w:color w:val="auto"/>
        </w:rPr>
      </w:pPr>
      <w:r>
        <w:rPr>
          <w:rFonts w:ascii="Arial" w:cs="Arial" w:eastAsia="Arial" w:hAnsi="Arial"/>
          <w:sz w:val="21"/>
          <w:szCs w:val="21"/>
          <w:color w:val="auto"/>
        </w:rPr>
        <w:t>Must not include any officers of the Association or an affiliate who participate significantly in the administration of the Association’s fiduciary activities; and</w:t>
      </w:r>
    </w:p>
    <w:p>
      <w:pPr>
        <w:spacing w:after="0" w:line="196" w:lineRule="exact"/>
        <w:rPr>
          <w:rFonts w:ascii="Arial" w:cs="Arial" w:eastAsia="Arial" w:hAnsi="Arial"/>
          <w:sz w:val="21"/>
          <w:szCs w:val="21"/>
          <w:color w:val="auto"/>
        </w:rPr>
      </w:pPr>
    </w:p>
    <w:p>
      <w:pPr>
        <w:ind w:left="920" w:right="500" w:firstLine="6"/>
        <w:spacing w:after="0" w:line="272" w:lineRule="auto"/>
        <w:tabs>
          <w:tab w:leader="none" w:pos="1235" w:val="left"/>
        </w:tabs>
        <w:numPr>
          <w:ilvl w:val="0"/>
          <w:numId w:val="30"/>
        </w:numPr>
        <w:rPr>
          <w:rFonts w:ascii="Arial" w:cs="Arial" w:eastAsia="Arial" w:hAnsi="Arial"/>
          <w:sz w:val="21"/>
          <w:szCs w:val="21"/>
          <w:color w:val="auto"/>
        </w:rPr>
      </w:pPr>
      <w:r>
        <w:rPr>
          <w:rFonts w:ascii="Arial" w:cs="Arial" w:eastAsia="Arial" w:hAnsi="Arial"/>
          <w:sz w:val="21"/>
          <w:szCs w:val="21"/>
          <w:color w:val="auto"/>
        </w:rPr>
        <w:t>Must consist of a majority of members who are not also members of any committee to which the Board has delegated power to manage and control the fiduciary activities of the Association.</w:t>
      </w:r>
    </w:p>
    <w:p>
      <w:pPr>
        <w:spacing w:after="0" w:line="196" w:lineRule="exact"/>
        <w:rPr>
          <w:sz w:val="20"/>
          <w:szCs w:val="20"/>
          <w:color w:val="auto"/>
        </w:rPr>
      </w:pPr>
    </w:p>
    <w:p>
      <w:pPr>
        <w:jc w:val="both"/>
        <w:ind w:right="200"/>
        <w:spacing w:after="0" w:line="263"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Executive Committee</w:t>
      </w:r>
      <w:r>
        <w:rPr>
          <w:rFonts w:ascii="Arial" w:cs="Arial" w:eastAsia="Arial" w:hAnsi="Arial"/>
          <w:sz w:val="21"/>
          <w:szCs w:val="21"/>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206"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 xml:space="preserve">Section 3.4. </w:t>
      </w:r>
      <w:r>
        <w:rPr>
          <w:rFonts w:ascii="Arial" w:cs="Arial" w:eastAsia="Arial" w:hAnsi="Arial"/>
          <w:sz w:val="21"/>
          <w:szCs w:val="21"/>
          <w:u w:val="single" w:color="auto"/>
          <w:color w:val="auto"/>
        </w:rPr>
        <w:t>Trust Management Committee</w:t>
      </w:r>
      <w:r>
        <w:rPr>
          <w:rFonts w:ascii="Arial" w:cs="Arial" w:eastAsia="Arial" w:hAnsi="Arial"/>
          <w:sz w:val="21"/>
          <w:szCs w:val="21"/>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95" w:lineRule="exact"/>
        <w:rPr>
          <w:sz w:val="20"/>
          <w:szCs w:val="20"/>
          <w:color w:val="auto"/>
        </w:rPr>
      </w:pPr>
    </w:p>
    <w:p>
      <w:pPr>
        <w:ind w:right="140"/>
        <w:spacing w:after="0" w:line="249"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21"/>
          <w:szCs w:val="21"/>
          <w:u w:val="single" w:color="auto"/>
          <w:color w:val="auto"/>
        </w:rPr>
        <w:t>Other Committees</w:t>
      </w:r>
      <w:r>
        <w:rPr>
          <w:rFonts w:ascii="Arial" w:cs="Arial" w:eastAsia="Arial" w:hAnsi="Arial"/>
          <w:sz w:val="21"/>
          <w:szCs w:val="21"/>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95"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 xml:space="preserve">Section 3.6. </w:t>
      </w:r>
      <w:r>
        <w:rPr>
          <w:rFonts w:ascii="Arial" w:cs="Arial" w:eastAsia="Arial" w:hAnsi="Arial"/>
          <w:sz w:val="21"/>
          <w:szCs w:val="21"/>
          <w:u w:val="single" w:color="auto"/>
          <w:color w:val="auto"/>
        </w:rPr>
        <w:t>Meetings, Minutes and Rules</w:t>
      </w:r>
      <w:r>
        <w:rPr>
          <w:rFonts w:ascii="Arial" w:cs="Arial" w:eastAsia="Arial" w:hAnsi="Arial"/>
          <w:sz w:val="21"/>
          <w:szCs w:val="21"/>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40"/>
          </w:cols>
          <w:pgMar w:left="320" w:top="1440" w:right="539" w:bottom="1440" w:gutter="0" w:footer="0" w:header="0"/>
        </w:sectPr>
      </w:pPr>
    </w:p>
    <w:bookmarkStart w:id="41" w:name="page42"/>
    <w:bookmarkEnd w:id="41"/>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its purpose, adopt its own rules for the exercise of any of its functions or authority.</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ARTICLE IV</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Officers</w:t>
      </w:r>
    </w:p>
    <w:p>
      <w:pPr>
        <w:spacing w:after="0" w:line="213" w:lineRule="exact"/>
        <w:rPr>
          <w:sz w:val="20"/>
          <w:szCs w:val="20"/>
          <w:color w:val="auto"/>
        </w:rPr>
      </w:pPr>
    </w:p>
    <w:p>
      <w:pPr>
        <w:ind w:right="300"/>
        <w:spacing w:after="0" w:line="279" w:lineRule="auto"/>
        <w:rPr>
          <w:sz w:val="20"/>
          <w:szCs w:val="20"/>
          <w:color w:val="auto"/>
        </w:rPr>
      </w:pPr>
      <w:r>
        <w:rPr>
          <w:rFonts w:ascii="Arial" w:cs="Arial" w:eastAsia="Arial" w:hAnsi="Arial"/>
          <w:sz w:val="19"/>
          <w:szCs w:val="19"/>
          <w:color w:val="auto"/>
        </w:rPr>
        <w:t xml:space="preserve">Section 4.1 Who Shall Constitut </w:t>
      </w:r>
      <w:r>
        <w:rPr>
          <w:rFonts w:ascii="Arial" w:cs="Arial" w:eastAsia="Arial" w:hAnsi="Arial"/>
          <w:sz w:val="19"/>
          <w:szCs w:val="19"/>
          <w:u w:val="single" w:color="auto"/>
          <w:color w:val="auto"/>
        </w:rPr>
        <w:t>e.</w:t>
      </w:r>
      <w:r>
        <w:rPr>
          <w:rFonts w:ascii="Arial" w:cs="Arial" w:eastAsia="Arial" w:hAnsi="Arial"/>
          <w:sz w:val="19"/>
          <w:szCs w:val="19"/>
          <w:color w:val="auto"/>
        </w:rPr>
        <w:t xml:space="preserve">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spacing w:after="0" w:line="196" w:lineRule="exact"/>
        <w:rPr>
          <w:sz w:val="20"/>
          <w:szCs w:val="20"/>
          <w:color w:val="auto"/>
        </w:rPr>
      </w:pPr>
    </w:p>
    <w:p>
      <w:pPr>
        <w:ind w:right="340"/>
        <w:spacing w:after="0" w:line="252" w:lineRule="auto"/>
        <w:rPr>
          <w:sz w:val="20"/>
          <w:szCs w:val="20"/>
          <w:color w:val="auto"/>
        </w:rPr>
      </w:pPr>
      <w:r>
        <w:rPr>
          <w:rFonts w:ascii="Arial" w:cs="Arial" w:eastAsia="Arial" w:hAnsi="Arial"/>
          <w:sz w:val="21"/>
          <w:szCs w:val="21"/>
          <w:color w:val="auto"/>
        </w:rPr>
        <w:t>Section 4.2 Term of Offic</w:t>
      </w:r>
      <w:r>
        <w:rPr>
          <w:rFonts w:ascii="Arial" w:cs="Arial" w:eastAsia="Arial" w:hAnsi="Arial"/>
          <w:sz w:val="21"/>
          <w:szCs w:val="21"/>
          <w:u w:val="single" w:color="auto"/>
          <w:color w:val="auto"/>
        </w:rPr>
        <w:t>e.</w:t>
      </w:r>
      <w:r>
        <w:rPr>
          <w:rFonts w:ascii="Arial" w:cs="Arial" w:eastAsia="Arial" w:hAnsi="Arial"/>
          <w:sz w:val="21"/>
          <w:szCs w:val="21"/>
          <w:color w:val="auto"/>
        </w:rPr>
        <w:t xml:space="preserve">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spacing w:after="0" w:line="219" w:lineRule="exact"/>
        <w:rPr>
          <w:sz w:val="20"/>
          <w:szCs w:val="20"/>
          <w:color w:val="auto"/>
        </w:rPr>
      </w:pPr>
    </w:p>
    <w:p>
      <w:pPr>
        <w:ind w:right="300"/>
        <w:spacing w:after="0" w:line="291"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Chairman of the Board</w:t>
      </w:r>
      <w:r>
        <w:rPr>
          <w:rFonts w:ascii="Arial" w:cs="Arial" w:eastAsia="Arial" w:hAnsi="Arial"/>
          <w:sz w:val="19"/>
          <w:szCs w:val="19"/>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Section 4.4. </w:t>
      </w:r>
      <w:r>
        <w:rPr>
          <w:rFonts w:ascii="Arial" w:cs="Arial" w:eastAsia="Arial" w:hAnsi="Arial"/>
          <w:sz w:val="21"/>
          <w:szCs w:val="21"/>
          <w:u w:val="single" w:color="auto"/>
          <w:color w:val="auto"/>
        </w:rPr>
        <w:t>President</w:t>
      </w:r>
      <w:r>
        <w:rPr>
          <w:rFonts w:ascii="Arial" w:cs="Arial" w:eastAsia="Arial" w:hAnsi="Arial"/>
          <w:sz w:val="21"/>
          <w:szCs w:val="21"/>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94" w:lineRule="exact"/>
        <w:rPr>
          <w:sz w:val="20"/>
          <w:szCs w:val="20"/>
          <w:color w:val="auto"/>
        </w:rPr>
      </w:pPr>
    </w:p>
    <w:p>
      <w:pPr>
        <w:ind w:right="220"/>
        <w:spacing w:after="0" w:line="272" w:lineRule="auto"/>
        <w:rPr>
          <w:sz w:val="20"/>
          <w:szCs w:val="20"/>
          <w:color w:val="auto"/>
        </w:rPr>
      </w:pPr>
      <w:r>
        <w:rPr>
          <w:rFonts w:ascii="Arial" w:cs="Arial" w:eastAsia="Arial" w:hAnsi="Arial"/>
          <w:sz w:val="21"/>
          <w:szCs w:val="21"/>
          <w:color w:val="auto"/>
        </w:rPr>
        <w:t xml:space="preserve">Section 4.5. </w:t>
      </w:r>
      <w:r>
        <w:rPr>
          <w:rFonts w:ascii="Arial" w:cs="Arial" w:eastAsia="Arial" w:hAnsi="Arial"/>
          <w:sz w:val="21"/>
          <w:szCs w:val="21"/>
          <w:u w:val="single" w:color="auto"/>
          <w:color w:val="auto"/>
        </w:rPr>
        <w:t>Vice President</w:t>
      </w:r>
      <w:r>
        <w:rPr>
          <w:rFonts w:ascii="Arial" w:cs="Arial" w:eastAsia="Arial" w:hAnsi="Arial"/>
          <w:sz w:val="21"/>
          <w:szCs w:val="21"/>
          <w:color w:val="auto"/>
        </w:rPr>
        <w:t>. The Board may appoint one or more Vice Presidents who shall have such powers and duties as may be assigned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00"/>
          </w:cols>
          <w:pgMar w:left="320" w:top="1440" w:right="379" w:bottom="1440" w:gutter="0" w:footer="0" w:header="0"/>
        </w:sectPr>
      </w:pPr>
    </w:p>
    <w:bookmarkStart w:id="42" w:name="page43"/>
    <w:bookmarkEnd w:id="42"/>
    <w:p>
      <w:pPr>
        <w:spacing w:after="0" w:line="33" w:lineRule="exact"/>
        <w:rPr>
          <w:sz w:val="20"/>
          <w:szCs w:val="20"/>
          <w:color w:val="auto"/>
        </w:rPr>
      </w:pPr>
    </w:p>
    <w:p>
      <w:pPr>
        <w:ind w:right="360"/>
        <w:spacing w:after="0" w:line="272" w:lineRule="auto"/>
        <w:rPr>
          <w:sz w:val="20"/>
          <w:szCs w:val="20"/>
          <w:color w:val="auto"/>
        </w:rPr>
      </w:pPr>
      <w:r>
        <w:rPr>
          <w:rFonts w:ascii="Arial" w:cs="Arial" w:eastAsia="Arial" w:hAnsi="Arial"/>
          <w:sz w:val="21"/>
          <w:szCs w:val="21"/>
          <w:color w:val="auto"/>
        </w:rPr>
        <w:t>Board and to perform the duties of the President on those occasions when the President is absent, including presiding at any meeting of the Board in the absence of both the Chairman and President.</w:t>
      </w:r>
    </w:p>
    <w:p>
      <w:pPr>
        <w:spacing w:after="0" w:line="196" w:lineRule="exact"/>
        <w:rPr>
          <w:sz w:val="20"/>
          <w:szCs w:val="20"/>
          <w:color w:val="auto"/>
        </w:rPr>
      </w:pPr>
    </w:p>
    <w:p>
      <w:pPr>
        <w:ind w:right="240"/>
        <w:spacing w:after="0" w:line="277"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Secretary</w:t>
      </w:r>
      <w:r>
        <w:rPr>
          <w:rFonts w:ascii="Arial" w:cs="Arial" w:eastAsia="Arial" w:hAnsi="Arial"/>
          <w:sz w:val="19"/>
          <w:szCs w:val="19"/>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75" w:lineRule="exact"/>
        <w:rPr>
          <w:sz w:val="20"/>
          <w:szCs w:val="20"/>
          <w:color w:val="auto"/>
        </w:rPr>
      </w:pPr>
    </w:p>
    <w:p>
      <w:pPr>
        <w:ind w:right="220"/>
        <w:spacing w:after="0" w:line="252" w:lineRule="auto"/>
        <w:rPr>
          <w:sz w:val="20"/>
          <w:szCs w:val="20"/>
          <w:color w:val="auto"/>
        </w:rPr>
      </w:pPr>
      <w:r>
        <w:rPr>
          <w:rFonts w:ascii="Arial" w:cs="Arial" w:eastAsia="Arial" w:hAnsi="Arial"/>
          <w:sz w:val="21"/>
          <w:szCs w:val="21"/>
          <w:color w:val="auto"/>
        </w:rPr>
        <w:t xml:space="preserve">Section 4.7. </w:t>
      </w:r>
      <w:r>
        <w:rPr>
          <w:rFonts w:ascii="Arial" w:cs="Arial" w:eastAsia="Arial" w:hAnsi="Arial"/>
          <w:sz w:val="21"/>
          <w:szCs w:val="21"/>
          <w:u w:val="single" w:color="auto"/>
          <w:color w:val="auto"/>
        </w:rPr>
        <w:t>Other Officers</w:t>
      </w:r>
      <w:r>
        <w:rPr>
          <w:rFonts w:ascii="Arial" w:cs="Arial" w:eastAsia="Arial" w:hAnsi="Arial"/>
          <w:sz w:val="21"/>
          <w:szCs w:val="21"/>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spacing w:after="0" w:line="3" w:lineRule="exact"/>
        <w:rPr>
          <w:sz w:val="20"/>
          <w:szCs w:val="20"/>
          <w:color w:val="auto"/>
        </w:rPr>
      </w:pPr>
    </w:p>
    <w:p>
      <w:pPr>
        <w:ind w:right="340"/>
        <w:spacing w:after="0" w:line="247" w:lineRule="auto"/>
        <w:rPr>
          <w:sz w:val="20"/>
          <w:szCs w:val="20"/>
          <w:color w:val="auto"/>
        </w:rPr>
      </w:pPr>
      <w:r>
        <w:rPr>
          <w:rFonts w:ascii="Arial" w:cs="Arial" w:eastAsia="Arial" w:hAnsi="Arial"/>
          <w:sz w:val="21"/>
          <w:szCs w:val="21"/>
          <w:color w:val="auto"/>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200" w:lineRule="exact"/>
        <w:rPr>
          <w:sz w:val="20"/>
          <w:szCs w:val="20"/>
          <w:color w:val="auto"/>
        </w:rPr>
      </w:pP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21"/>
          <w:szCs w:val="21"/>
          <w:u w:val="single" w:color="auto"/>
          <w:color w:val="auto"/>
        </w:rPr>
        <w:t>ARTICLE V</w:t>
      </w:r>
    </w:p>
    <w:p>
      <w:pPr>
        <w:spacing w:after="0" w:line="30" w:lineRule="exact"/>
        <w:rPr>
          <w:sz w:val="20"/>
          <w:szCs w:val="20"/>
          <w:color w:val="auto"/>
        </w:rPr>
      </w:pPr>
    </w:p>
    <w:p>
      <w:pPr>
        <w:jc w:val="center"/>
        <w:ind w:right="-179"/>
        <w:spacing w:after="0"/>
        <w:rPr>
          <w:sz w:val="20"/>
          <w:szCs w:val="20"/>
          <w:color w:val="auto"/>
        </w:rPr>
      </w:pPr>
      <w:r>
        <w:rPr>
          <w:rFonts w:ascii="Arial" w:cs="Arial" w:eastAsia="Arial" w:hAnsi="Arial"/>
          <w:sz w:val="21"/>
          <w:szCs w:val="21"/>
          <w:u w:val="single" w:color="auto"/>
          <w:color w:val="auto"/>
        </w:rPr>
        <w:t>Stock</w:t>
      </w:r>
    </w:p>
    <w:p>
      <w:pPr>
        <w:spacing w:after="0" w:line="218"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060"/>
          </w:cols>
          <w:pgMar w:left="320" w:top="1440" w:right="519" w:bottom="1440" w:gutter="0" w:footer="0" w:header="0"/>
        </w:sectPr>
      </w:pPr>
    </w:p>
    <w:bookmarkStart w:id="43" w:name="page44"/>
    <w:bookmarkEnd w:id="43"/>
    <w:p>
      <w:pPr>
        <w:spacing w:after="0" w:line="33" w:lineRule="exact"/>
        <w:rPr>
          <w:sz w:val="20"/>
          <w:szCs w:val="20"/>
          <w:color w:val="auto"/>
        </w:rPr>
      </w:pPr>
    </w:p>
    <w:p>
      <w:pPr>
        <w:ind w:right="400"/>
        <w:spacing w:after="0" w:line="272" w:lineRule="auto"/>
        <w:rPr>
          <w:sz w:val="20"/>
          <w:szCs w:val="20"/>
          <w:color w:val="auto"/>
        </w:rPr>
      </w:pPr>
      <w:r>
        <w:rPr>
          <w:rFonts w:ascii="Arial" w:cs="Arial" w:eastAsia="Arial" w:hAnsi="Arial"/>
          <w:sz w:val="21"/>
          <w:szCs w:val="21"/>
          <w:color w:val="auto"/>
        </w:rPr>
        <w:t>Association for stock transfers, voting at shareholder meetings, and related matters, and to protect it against fraudulent transfers.</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1"/>
          <w:szCs w:val="21"/>
          <w:u w:val="single" w:color="auto"/>
          <w:color w:val="auto"/>
        </w:rPr>
        <w:t>ARTICLE VI</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21"/>
          <w:szCs w:val="21"/>
          <w:u w:val="single" w:color="auto"/>
          <w:color w:val="auto"/>
        </w:rPr>
        <w:t>Corporate Seal</w:t>
      </w:r>
    </w:p>
    <w:p>
      <w:pPr>
        <w:spacing w:after="0" w:line="230" w:lineRule="exact"/>
        <w:rPr>
          <w:sz w:val="20"/>
          <w:szCs w:val="20"/>
          <w:color w:val="auto"/>
        </w:rPr>
      </w:pPr>
    </w:p>
    <w:p>
      <w:pPr>
        <w:ind w:right="380"/>
        <w:spacing w:after="0" w:line="252" w:lineRule="auto"/>
        <w:rPr>
          <w:sz w:val="20"/>
          <w:szCs w:val="20"/>
          <w:color w:val="auto"/>
        </w:rPr>
      </w:pPr>
      <w:r>
        <w:rPr>
          <w:rFonts w:ascii="Arial" w:cs="Arial" w:eastAsia="Arial" w:hAnsi="Arial"/>
          <w:sz w:val="21"/>
          <w:szCs w:val="21"/>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1"/>
          <w:szCs w:val="21"/>
          <w:u w:val="single" w:color="auto"/>
          <w:color w:val="auto"/>
        </w:rPr>
        <w:t>ARTICLE VII</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1"/>
          <w:szCs w:val="21"/>
          <w:u w:val="single" w:color="auto"/>
          <w:color w:val="auto"/>
        </w:rPr>
        <w:t>Miscellaneous Provisions</w:t>
      </w:r>
    </w:p>
    <w:p>
      <w:pPr>
        <w:spacing w:after="0" w:line="238" w:lineRule="exact"/>
        <w:rPr>
          <w:sz w:val="20"/>
          <w:szCs w:val="20"/>
          <w:color w:val="auto"/>
        </w:rPr>
      </w:pPr>
    </w:p>
    <w:p>
      <w:pPr>
        <w:ind w:right="300"/>
        <w:spacing w:after="0" w:line="247" w:lineRule="auto"/>
        <w:rPr>
          <w:sz w:val="20"/>
          <w:szCs w:val="20"/>
          <w:color w:val="auto"/>
        </w:rPr>
      </w:pPr>
      <w:r>
        <w:rPr>
          <w:rFonts w:ascii="Arial" w:cs="Arial" w:eastAsia="Arial" w:hAnsi="Arial"/>
          <w:sz w:val="21"/>
          <w:szCs w:val="21"/>
          <w:color w:val="auto"/>
        </w:rPr>
        <w:t xml:space="preserve">Section 7.1. </w:t>
      </w:r>
      <w:r>
        <w:rPr>
          <w:rFonts w:ascii="Arial" w:cs="Arial" w:eastAsia="Arial" w:hAnsi="Arial"/>
          <w:sz w:val="21"/>
          <w:szCs w:val="21"/>
          <w:u w:val="single" w:color="auto"/>
          <w:color w:val="auto"/>
        </w:rPr>
        <w:t>Execution of Instruments</w:t>
      </w:r>
      <w:r>
        <w:rPr>
          <w:rFonts w:ascii="Arial" w:cs="Arial" w:eastAsia="Arial" w:hAnsi="Arial"/>
          <w:sz w:val="21"/>
          <w:szCs w:val="21"/>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212" w:lineRule="exact"/>
        <w:rPr>
          <w:sz w:val="20"/>
          <w:szCs w:val="20"/>
          <w:color w:val="auto"/>
        </w:rPr>
      </w:pPr>
    </w:p>
    <w:p>
      <w:pPr>
        <w:ind w:right="380"/>
        <w:spacing w:after="0" w:line="252"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Records</w:t>
      </w:r>
      <w:r>
        <w:rPr>
          <w:rFonts w:ascii="Arial" w:cs="Arial" w:eastAsia="Arial" w:hAnsi="Arial"/>
          <w:sz w:val="21"/>
          <w:szCs w:val="21"/>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216" w:lineRule="exact"/>
        <w:rPr>
          <w:sz w:val="20"/>
          <w:szCs w:val="20"/>
          <w:color w:val="auto"/>
        </w:rPr>
      </w:pPr>
    </w:p>
    <w:p>
      <w:pPr>
        <w:ind w:right="400"/>
        <w:spacing w:after="0" w:line="272"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u w:val="single" w:color="auto"/>
          <w:color w:val="auto"/>
        </w:rPr>
        <w:t>Trust Files</w:t>
      </w:r>
      <w:r>
        <w:rPr>
          <w:rFonts w:ascii="Arial" w:cs="Arial" w:eastAsia="Arial" w:hAnsi="Arial"/>
          <w:sz w:val="21"/>
          <w:szCs w:val="21"/>
          <w:color w:val="auto"/>
        </w:rPr>
        <w:t>. There shall be maintained in the Association files all fiduciary records necessary to assure that its fiduciary responsibilities have been properly undertaken and discharged.</w:t>
      </w:r>
    </w:p>
    <w:p>
      <w:pPr>
        <w:spacing w:after="0" w:line="183" w:lineRule="exact"/>
        <w:rPr>
          <w:sz w:val="20"/>
          <w:szCs w:val="20"/>
          <w:color w:val="auto"/>
        </w:rPr>
      </w:pPr>
    </w:p>
    <w:p>
      <w:pPr>
        <w:spacing w:after="0" w:line="325"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Trust Investments</w:t>
      </w:r>
      <w:r>
        <w:rPr>
          <w:rFonts w:ascii="Arial" w:cs="Arial" w:eastAsia="Arial" w:hAnsi="Arial"/>
          <w:sz w:val="19"/>
          <w:szCs w:val="19"/>
          <w:color w:val="auto"/>
        </w:rPr>
        <w:t>. Funds held in a fiduciary capacity shall be invested according to the instrument establishing the fiduciary relationship and according to law. Where such instrument does not specify the character and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160"/>
          </w:cols>
          <w:pgMar w:left="320" w:top="1440" w:right="419" w:bottom="1440" w:gutter="0" w:footer="0" w:header="0"/>
        </w:sectPr>
      </w:pPr>
    </w:p>
    <w:bookmarkStart w:id="44" w:name="page45"/>
    <w:bookmarkEnd w:id="44"/>
    <w:p>
      <w:pPr>
        <w:spacing w:after="0" w:line="33" w:lineRule="exact"/>
        <w:rPr>
          <w:sz w:val="20"/>
          <w:szCs w:val="20"/>
          <w:color w:val="auto"/>
        </w:rPr>
      </w:pPr>
    </w:p>
    <w:p>
      <w:pPr>
        <w:ind w:right="140"/>
        <w:spacing w:after="0" w:line="272" w:lineRule="auto"/>
        <w:rPr>
          <w:sz w:val="20"/>
          <w:szCs w:val="20"/>
          <w:color w:val="auto"/>
        </w:rPr>
      </w:pPr>
      <w:r>
        <w:rPr>
          <w:rFonts w:ascii="Arial" w:cs="Arial" w:eastAsia="Arial" w:hAnsi="Arial"/>
          <w:sz w:val="21"/>
          <w:szCs w:val="21"/>
          <w:color w:val="auto"/>
        </w:rPr>
        <w:t>of investments to be made and does not vest in the Association a discretion in the matter, funds held pursuant to such instrument shall be invested in investments in which corporate fiduciaries may invest under law.</w:t>
      </w:r>
    </w:p>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 xml:space="preserve">Section 7.5. </w:t>
      </w:r>
      <w:r>
        <w:rPr>
          <w:rFonts w:ascii="Arial" w:cs="Arial" w:eastAsia="Arial" w:hAnsi="Arial"/>
          <w:sz w:val="21"/>
          <w:szCs w:val="21"/>
          <w:u w:val="single" w:color="auto"/>
          <w:color w:val="auto"/>
        </w:rPr>
        <w:t>Notice</w:t>
      </w:r>
      <w:r>
        <w:rPr>
          <w:rFonts w:ascii="Arial" w:cs="Arial" w:eastAsia="Arial" w:hAnsi="Arial"/>
          <w:sz w:val="21"/>
          <w:szCs w:val="21"/>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1"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Except where specified otherwise in these Bylaws, prior notice shall be proper if given not more than 30 days nor less than 10 days prior to the event for which notice is given.</w:t>
      </w:r>
    </w:p>
    <w:p>
      <w:pPr>
        <w:spacing w:after="0" w:line="11" w:lineRule="exact"/>
        <w:rPr>
          <w:sz w:val="20"/>
          <w:szCs w:val="20"/>
          <w:color w:val="auto"/>
        </w:rPr>
      </w:pPr>
    </w:p>
    <w:p>
      <w:pPr>
        <w:jc w:val="center"/>
        <w:ind w:right="-419"/>
        <w:spacing w:after="0"/>
        <w:rPr>
          <w:sz w:val="20"/>
          <w:szCs w:val="20"/>
          <w:color w:val="auto"/>
        </w:rPr>
      </w:pPr>
      <w:r>
        <w:rPr>
          <w:rFonts w:ascii="Arial" w:cs="Arial" w:eastAsia="Arial" w:hAnsi="Arial"/>
          <w:sz w:val="21"/>
          <w:szCs w:val="21"/>
          <w:u w:val="single" w:color="auto"/>
          <w:color w:val="auto"/>
        </w:rPr>
        <w:t>ARTICLE VIII</w:t>
      </w:r>
    </w:p>
    <w:p>
      <w:pPr>
        <w:spacing w:after="0" w:line="22" w:lineRule="exact"/>
        <w:rPr>
          <w:sz w:val="20"/>
          <w:szCs w:val="20"/>
          <w:color w:val="auto"/>
        </w:rPr>
      </w:pPr>
    </w:p>
    <w:p>
      <w:pPr>
        <w:jc w:val="center"/>
        <w:ind w:right="-419"/>
        <w:spacing w:after="0"/>
        <w:rPr>
          <w:sz w:val="20"/>
          <w:szCs w:val="20"/>
          <w:color w:val="auto"/>
        </w:rPr>
      </w:pPr>
      <w:r>
        <w:rPr>
          <w:rFonts w:ascii="Arial" w:cs="Arial" w:eastAsia="Arial" w:hAnsi="Arial"/>
          <w:sz w:val="21"/>
          <w:szCs w:val="21"/>
          <w:u w:val="single" w:color="auto"/>
          <w:color w:val="auto"/>
        </w:rPr>
        <w:t>Indemnification</w:t>
      </w:r>
    </w:p>
    <w:p>
      <w:pPr>
        <w:spacing w:after="0" w:line="22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C.F.R. § 7.2014 and shall exclude coverage of liability for a formal order assessing civil money penalties against an</w:t>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auto"/>
        </w:rPr>
        <w:t>institution-affiliated party, as defined at 12</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U.S.C. § 1813(u).</w:t>
      </w:r>
    </w:p>
    <w:p>
      <w:pPr>
        <w:spacing w:after="0" w:line="213" w:lineRule="exact"/>
        <w:rPr>
          <w:sz w:val="20"/>
          <w:szCs w:val="20"/>
          <w:color w:val="auto"/>
        </w:rPr>
      </w:pPr>
    </w:p>
    <w:p>
      <w:pPr>
        <w:ind w:right="40"/>
        <w:spacing w:after="0" w:line="256" w:lineRule="auto"/>
        <w:rPr>
          <w:sz w:val="20"/>
          <w:szCs w:val="20"/>
          <w:color w:val="auto"/>
        </w:rPr>
      </w:pPr>
      <w:r>
        <w:rPr>
          <w:rFonts w:ascii="Arial" w:cs="Arial" w:eastAsia="Arial" w:hAnsi="Arial"/>
          <w:sz w:val="21"/>
          <w:szCs w:val="21"/>
          <w:color w:val="auto"/>
        </w:rPr>
        <w:t>Section 8.2. Notwithstanding Section 8.1, however, (a) any indemnification payments to an institution-affiliated party, as defined at 12</w:t>
      </w:r>
    </w:p>
    <w:p>
      <w:pPr>
        <w:ind w:right="120"/>
        <w:spacing w:after="0" w:line="247" w:lineRule="auto"/>
        <w:rPr>
          <w:sz w:val="20"/>
          <w:szCs w:val="20"/>
          <w:color w:val="auto"/>
        </w:rPr>
      </w:pPr>
      <w:r>
        <w:rPr>
          <w:rFonts w:ascii="Arial" w:cs="Arial" w:eastAsia="Arial" w:hAnsi="Arial"/>
          <w:sz w:val="21"/>
          <w:szCs w:val="21"/>
          <w:color w:val="auto"/>
        </w:rPr>
        <w:t>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820"/>
          </w:cols>
          <w:pgMar w:left="320" w:top="1440" w:right="759" w:bottom="1440" w:gutter="0" w:footer="0" w:header="0"/>
        </w:sectPr>
      </w:pPr>
    </w:p>
    <w:bookmarkStart w:id="45" w:name="page46"/>
    <w:bookmarkEnd w:id="45"/>
    <w:p>
      <w:pPr>
        <w:jc w:val="center"/>
        <w:ind w:right="-299"/>
        <w:spacing w:after="0"/>
        <w:rPr>
          <w:sz w:val="20"/>
          <w:szCs w:val="20"/>
          <w:color w:val="auto"/>
        </w:rPr>
      </w:pPr>
      <w:r>
        <w:rPr>
          <w:rFonts w:ascii="Arial" w:cs="Arial" w:eastAsia="Arial" w:hAnsi="Arial"/>
          <w:sz w:val="21"/>
          <w:szCs w:val="21"/>
          <w:u w:val="single" w:color="auto"/>
          <w:color w:val="auto"/>
        </w:rPr>
        <w:t>ARTICLE IX</w:t>
      </w:r>
    </w:p>
    <w:p>
      <w:pPr>
        <w:spacing w:after="0" w:line="22" w:lineRule="exact"/>
        <w:rPr>
          <w:sz w:val="20"/>
          <w:szCs w:val="20"/>
          <w:color w:val="auto"/>
        </w:rPr>
      </w:pPr>
    </w:p>
    <w:p>
      <w:pPr>
        <w:jc w:val="center"/>
        <w:ind w:right="-299"/>
        <w:spacing w:after="0"/>
        <w:rPr>
          <w:sz w:val="20"/>
          <w:szCs w:val="20"/>
          <w:color w:val="auto"/>
        </w:rPr>
      </w:pPr>
      <w:r>
        <w:rPr>
          <w:rFonts w:ascii="Arial" w:cs="Arial" w:eastAsia="Arial" w:hAnsi="Arial"/>
          <w:sz w:val="21"/>
          <w:szCs w:val="21"/>
          <w:u w:val="single" w:color="auto"/>
          <w:color w:val="auto"/>
        </w:rPr>
        <w:t>Bylaws: Interpretation and Amendment</w:t>
      </w:r>
    </w:p>
    <w:p>
      <w:pPr>
        <w:spacing w:after="0" w:line="238" w:lineRule="exact"/>
        <w:rPr>
          <w:sz w:val="20"/>
          <w:szCs w:val="20"/>
          <w:color w:val="auto"/>
        </w:rPr>
      </w:pPr>
    </w:p>
    <w:p>
      <w:pPr>
        <w:ind w:right="80"/>
        <w:spacing w:after="0" w:line="272" w:lineRule="auto"/>
        <w:rPr>
          <w:sz w:val="20"/>
          <w:szCs w:val="20"/>
          <w:color w:val="auto"/>
        </w:rPr>
      </w:pPr>
      <w:r>
        <w:rPr>
          <w:rFonts w:ascii="Arial" w:cs="Arial" w:eastAsia="Arial" w:hAnsi="Arial"/>
          <w:sz w:val="21"/>
          <w:szCs w:val="21"/>
          <w:color w:val="auto"/>
        </w:rPr>
        <w:t>Section 9.1. These Bylaws shall be interpreted in accordance with and subject to appropriate provisions of law, and may be added to, altered, amended, or repealed, at any regular or special meeting of the Board.</w:t>
      </w:r>
    </w:p>
    <w:p>
      <w:pPr>
        <w:spacing w:after="0" w:line="196" w:lineRule="exact"/>
        <w:rPr>
          <w:sz w:val="20"/>
          <w:szCs w:val="20"/>
          <w:color w:val="auto"/>
        </w:rPr>
      </w:pPr>
    </w:p>
    <w:p>
      <w:pPr>
        <w:ind w:right="360"/>
        <w:spacing w:after="0" w:line="284" w:lineRule="auto"/>
        <w:rPr>
          <w:sz w:val="20"/>
          <w:szCs w:val="20"/>
          <w:color w:val="auto"/>
        </w:rPr>
      </w:pPr>
      <w:r>
        <w:rPr>
          <w:rFonts w:ascii="Arial" w:cs="Arial" w:eastAsia="Arial" w:hAnsi="Arial"/>
          <w:sz w:val="21"/>
          <w:szCs w:val="21"/>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21"/>
          <w:szCs w:val="21"/>
          <w:u w:val="single" w:color="auto"/>
          <w:color w:val="auto"/>
        </w:rPr>
        <w:t>ARTICLE X</w:t>
      </w:r>
    </w:p>
    <w:p>
      <w:pPr>
        <w:spacing w:after="0" w:line="30" w:lineRule="exact"/>
        <w:rPr>
          <w:sz w:val="20"/>
          <w:szCs w:val="20"/>
          <w:color w:val="auto"/>
        </w:rPr>
      </w:pPr>
    </w:p>
    <w:p>
      <w:pPr>
        <w:jc w:val="center"/>
        <w:ind w:right="-299"/>
        <w:spacing w:after="0"/>
        <w:rPr>
          <w:sz w:val="20"/>
          <w:szCs w:val="20"/>
          <w:color w:val="auto"/>
        </w:rPr>
      </w:pPr>
      <w:r>
        <w:rPr>
          <w:rFonts w:ascii="Arial" w:cs="Arial" w:eastAsia="Arial" w:hAnsi="Arial"/>
          <w:sz w:val="21"/>
          <w:szCs w:val="21"/>
          <w:u w:val="single" w:color="auto"/>
          <w:color w:val="auto"/>
        </w:rPr>
        <w:t>Miscellaneous Provisions</w:t>
      </w:r>
    </w:p>
    <w:p>
      <w:pPr>
        <w:spacing w:after="0" w:line="230" w:lineRule="exact"/>
        <w:rPr>
          <w:sz w:val="20"/>
          <w:szCs w:val="20"/>
          <w:color w:val="auto"/>
        </w:rPr>
      </w:pPr>
    </w:p>
    <w:p>
      <w:pPr>
        <w:ind w:right="520"/>
        <w:spacing w:after="0" w:line="272"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Fiscal Year</w:t>
      </w:r>
      <w:r>
        <w:rPr>
          <w:rFonts w:ascii="Arial" w:cs="Arial" w:eastAsia="Arial" w:hAnsi="Arial"/>
          <w:sz w:val="21"/>
          <w:szCs w:val="21"/>
          <w:color w:val="auto"/>
        </w:rPr>
        <w:t>. The fiscal year of the Association shall begin on the first day of January in each year and shall end on the thirty-first day of December following.</w:t>
      </w:r>
    </w:p>
    <w:p>
      <w:pPr>
        <w:spacing w:after="0" w:line="171" w:lineRule="exact"/>
        <w:rPr>
          <w:sz w:val="20"/>
          <w:szCs w:val="20"/>
          <w:color w:val="auto"/>
        </w:rPr>
      </w:pPr>
    </w:p>
    <w:p>
      <w:pPr>
        <w:jc w:val="both"/>
        <w:ind w:right="280"/>
        <w:spacing w:after="0" w:line="257"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21"/>
          <w:szCs w:val="21"/>
          <w:color w:val="auto"/>
        </w:rPr>
        <w:t>(November 6, 2025)</w:t>
      </w:r>
    </w:p>
    <w:p>
      <w:pPr>
        <w:sectPr>
          <w:pgSz w:w="11900" w:h="16838" w:orient="portrait"/>
          <w:cols w:equalWidth="0" w:num="1">
            <w:col w:w="10940"/>
          </w:cols>
          <w:pgMar w:left="320" w:top="1241" w:right="639" w:bottom="1440" w:gutter="0" w:footer="0" w:header="0"/>
        </w:sectPr>
      </w:pPr>
    </w:p>
    <w:bookmarkStart w:id="46" w:name="page47"/>
    <w:bookmarkEnd w:id="46"/>
    <w:p>
      <w:pPr>
        <w:jc w:val="center"/>
        <w:ind w:right="-339"/>
        <w:spacing w:after="0"/>
        <w:rPr>
          <w:sz w:val="20"/>
          <w:szCs w:val="20"/>
          <w:color w:val="auto"/>
        </w:rPr>
      </w:pPr>
      <w:r>
        <w:rPr>
          <w:rFonts w:ascii="Times New Roman" w:cs="Times New Roman" w:eastAsia="Times New Roman" w:hAnsi="Times New Roman"/>
          <w:sz w:val="21"/>
          <w:szCs w:val="21"/>
          <w:b w:val="1"/>
          <w:bCs w:val="1"/>
          <w:u w:val="single" w:color="auto"/>
          <w:color w:val="auto"/>
        </w:rPr>
        <w:t>Exhibit 6</w:t>
      </w:r>
    </w:p>
    <w:p>
      <w:pPr>
        <w:spacing w:after="0" w:line="2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b w:val="1"/>
          <w:bCs w:val="1"/>
          <w:color w:val="auto"/>
        </w:rPr>
        <w:t>CONSENT</w:t>
      </w:r>
    </w:p>
    <w:p>
      <w:pPr>
        <w:spacing w:after="0" w:line="200" w:lineRule="exact"/>
        <w:rPr>
          <w:sz w:val="20"/>
          <w:szCs w:val="20"/>
          <w:color w:val="auto"/>
        </w:rPr>
      </w:pPr>
    </w:p>
    <w:p>
      <w:pPr>
        <w:spacing w:after="0" w:line="293" w:lineRule="exact"/>
        <w:rPr>
          <w:sz w:val="20"/>
          <w:szCs w:val="20"/>
          <w:color w:val="auto"/>
        </w:rPr>
      </w:pPr>
    </w:p>
    <w:p>
      <w:pPr>
        <w:ind w:firstLine="205"/>
        <w:spacing w:after="0" w:line="254" w:lineRule="auto"/>
        <w:rPr>
          <w:sz w:val="20"/>
          <w:szCs w:val="20"/>
          <w:color w:val="auto"/>
        </w:rPr>
      </w:pPr>
      <w:r>
        <w:rPr>
          <w:rFonts w:ascii="Times New Roman" w:cs="Times New Roman" w:eastAsia="Times New Roman" w:hAnsi="Times New Roman"/>
          <w:sz w:val="21"/>
          <w:szCs w:val="21"/>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May 21, 2026</w:t>
      </w:r>
    </w:p>
    <w:p>
      <w:pPr>
        <w:spacing w:after="0" w:line="200" w:lineRule="exact"/>
        <w:rPr>
          <w:sz w:val="20"/>
          <w:szCs w:val="20"/>
          <w:color w:val="auto"/>
        </w:rPr>
      </w:pPr>
    </w:p>
    <w:p>
      <w:pPr>
        <w:spacing w:after="0" w:line="276" w:lineRule="exact"/>
        <w:rPr>
          <w:sz w:val="20"/>
          <w:szCs w:val="20"/>
          <w:color w:val="auto"/>
        </w:rPr>
      </w:pPr>
    </w:p>
    <w:p>
      <w:pPr>
        <w:ind w:left="3080"/>
        <w:spacing w:after="0"/>
        <w:tabs>
          <w:tab w:leader="none" w:pos="35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19"/>
          <w:szCs w:val="19"/>
          <w:u w:val="single" w:color="auto"/>
          <w:color w:val="auto"/>
        </w:rPr>
        <w:t>/s/ Ivy L. Wegener_________</w:t>
      </w:r>
    </w:p>
    <w:p>
      <w:pPr>
        <w:spacing w:after="0" w:line="2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Ivy L. Wegener</w:t>
      </w:r>
    </w:p>
    <w:p>
      <w:pPr>
        <w:spacing w:after="0" w:line="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Vice President</w:t>
      </w:r>
    </w:p>
    <w:p>
      <w:pPr>
        <w:sectPr>
          <w:pgSz w:w="11900" w:h="16838" w:orient="portrait"/>
          <w:cols w:equalWidth="0" w:num="1">
            <w:col w:w="10900"/>
          </w:cols>
          <w:pgMar w:left="320" w:top="956" w:right="679" w:bottom="1440" w:gutter="0" w:footer="0" w:header="0"/>
        </w:sectPr>
      </w:pPr>
    </w:p>
    <w:bookmarkStart w:id="47" w:name="page48"/>
    <w:bookmarkEnd w:id="47"/>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Exhibit 7</w:t>
      </w:r>
    </w:p>
    <w:p>
      <w:pPr>
        <w:spacing w:after="0" w:line="233"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21"/>
          <w:szCs w:val="21"/>
          <w:b w:val="1"/>
          <w:bCs w:val="1"/>
          <w:color w:val="auto"/>
        </w:rPr>
        <w:t>U.S. Bank Trust Company, National Association</w:t>
      </w:r>
    </w:p>
    <w:p>
      <w:pPr>
        <w:spacing w:after="0" w:line="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b w:val="1"/>
          <w:bCs w:val="1"/>
          <w:color w:val="auto"/>
        </w:rPr>
        <w:t>Statement of Financial Condition</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as of 12/31/2025</w:t>
      </w:r>
    </w:p>
    <w:p>
      <w:pPr>
        <w:spacing w:after="0" w:line="20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1"/>
          <w:szCs w:val="21"/>
          <w:b w:val="1"/>
          <w:bCs w:val="1"/>
          <w:color w:val="auto"/>
        </w:rPr>
        <w:t>($000’s)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280" w:type="dxa"/>
            <w:vAlign w:val="bottom"/>
          </w:tcPr>
          <w:p>
            <w:pPr>
              <w:ind w:left="200"/>
              <w:spacing w:after="0"/>
              <w:rPr>
                <w:sz w:val="20"/>
                <w:szCs w:val="20"/>
                <w:color w:val="auto"/>
              </w:rPr>
            </w:pPr>
            <w:r>
              <w:rPr>
                <w:rFonts w:ascii="Times New Roman" w:cs="Times New Roman" w:eastAsia="Times New Roman" w:hAnsi="Times New Roman"/>
                <w:sz w:val="21"/>
                <w:szCs w:val="21"/>
                <w:b w:val="1"/>
                <w:bCs w:val="1"/>
                <w:color w:val="auto"/>
              </w:rPr>
              <w:t>12/31/2025</w:t>
            </w: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1"/>
                <w:szCs w:val="21"/>
                <w:b w:val="1"/>
                <w:bCs w:val="1"/>
                <w:color w:val="auto"/>
              </w:rPr>
              <w:t>Assets</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100" w:type="dxa"/>
            <w:vAlign w:val="bottom"/>
            <w:gridSpan w:val="4"/>
          </w:tcPr>
          <w:p>
            <w:pPr>
              <w:ind w:left="200"/>
              <w:spacing w:after="0"/>
              <w:rPr>
                <w:sz w:val="20"/>
                <w:szCs w:val="20"/>
                <w:color w:val="auto"/>
              </w:rPr>
            </w:pPr>
            <w:r>
              <w:rPr>
                <w:rFonts w:ascii="Times New Roman" w:cs="Times New Roman" w:eastAsia="Times New Roman" w:hAnsi="Times New Roman"/>
                <w:sz w:val="21"/>
                <w:szCs w:val="21"/>
                <w:color w:val="auto"/>
              </w:rPr>
              <w:t>Cash and Balances Due From</w:t>
            </w:r>
          </w:p>
        </w:tc>
        <w:tc>
          <w:tcPr>
            <w:tcW w:w="1920" w:type="dxa"/>
            <w:vAlign w:val="bottom"/>
            <w:gridSpan w:val="3"/>
          </w:tcPr>
          <w:p>
            <w:pPr>
              <w:jc w:val="right"/>
              <w:ind w:right="837"/>
              <w:spacing w:after="0"/>
              <w:rPr>
                <w:sz w:val="20"/>
                <w:szCs w:val="20"/>
                <w:color w:val="auto"/>
              </w:rPr>
            </w:pPr>
            <w:r>
              <w:rPr>
                <w:rFonts w:ascii="Times New Roman" w:cs="Times New Roman" w:eastAsia="Times New Roman" w:hAnsi="Times New Roman"/>
                <w:sz w:val="21"/>
                <w:szCs w:val="21"/>
                <w:color w:val="auto"/>
                <w:w w:val="96"/>
              </w:rPr>
              <w:t>$ 2,035,855</w:t>
            </w:r>
          </w:p>
        </w:tc>
        <w:tc>
          <w:tcPr>
            <w:tcW w:w="0" w:type="dxa"/>
            <w:vAlign w:val="bottom"/>
          </w:tcPr>
          <w:p>
            <w:pPr>
              <w:spacing w:after="0"/>
              <w:rPr>
                <w:sz w:val="1"/>
                <w:szCs w:val="1"/>
                <w:color w:val="auto"/>
              </w:rPr>
            </w:pPr>
          </w:p>
        </w:tc>
      </w:tr>
      <w:tr>
        <w:trPr>
          <w:trHeight w:val="244"/>
        </w:trPr>
        <w:tc>
          <w:tcPr>
            <w:tcW w:w="25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Depository Institutions</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Securities</w:t>
            </w:r>
          </w:p>
        </w:tc>
        <w:tc>
          <w:tcPr>
            <w:tcW w:w="1240" w:type="dxa"/>
            <w:vAlign w:val="bottom"/>
            <w:gridSpan w:val="2"/>
          </w:tcPr>
          <w:p>
            <w:pPr>
              <w:jc w:val="right"/>
              <w:ind w:right="537"/>
              <w:spacing w:after="0"/>
              <w:rPr>
                <w:sz w:val="20"/>
                <w:szCs w:val="20"/>
                <w:color w:val="auto"/>
              </w:rPr>
            </w:pPr>
            <w:r>
              <w:rPr>
                <w:rFonts w:ascii="Times New Roman" w:cs="Times New Roman" w:eastAsia="Times New Roman" w:hAnsi="Times New Roman"/>
                <w:sz w:val="21"/>
                <w:szCs w:val="21"/>
                <w:color w:val="auto"/>
              </w:rPr>
              <w:t>4,696</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76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Federal Funds</w:t>
            </w:r>
          </w:p>
        </w:tc>
        <w:tc>
          <w:tcPr>
            <w:tcW w:w="760" w:type="dxa"/>
            <w:vAlign w:val="bottom"/>
          </w:tcPr>
          <w:p>
            <w:pPr>
              <w:jc w:val="right"/>
              <w:ind w:right="537"/>
              <w:spacing w:after="0"/>
              <w:rPr>
                <w:sz w:val="20"/>
                <w:szCs w:val="20"/>
                <w:color w:val="auto"/>
              </w:rPr>
            </w:pPr>
            <w:r>
              <w:rPr>
                <w:rFonts w:ascii="Times New Roman" w:cs="Times New Roman" w:eastAsia="Times New Roman" w:hAnsi="Times New Roman"/>
                <w:sz w:val="21"/>
                <w:szCs w:val="21"/>
                <w:color w:val="auto"/>
                <w:w w:val="94"/>
              </w:rPr>
              <w:t>0</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60" w:type="dxa"/>
            <w:vAlign w:val="bottom"/>
            <w:gridSpan w:val="6"/>
          </w:tcPr>
          <w:p>
            <w:pPr>
              <w:ind w:left="200"/>
              <w:spacing w:after="0"/>
              <w:rPr>
                <w:sz w:val="20"/>
                <w:szCs w:val="20"/>
                <w:color w:val="auto"/>
              </w:rPr>
            </w:pPr>
            <w:r>
              <w:rPr>
                <w:rFonts w:ascii="Times New Roman" w:cs="Times New Roman" w:eastAsia="Times New Roman" w:hAnsi="Times New Roman"/>
                <w:sz w:val="21"/>
                <w:szCs w:val="21"/>
                <w:color w:val="auto"/>
              </w:rPr>
              <w:t>Loans &amp; Lease Financing Receivables</w:t>
            </w:r>
          </w:p>
        </w:tc>
        <w:tc>
          <w:tcPr>
            <w:tcW w:w="1260" w:type="dxa"/>
            <w:vAlign w:val="bottom"/>
          </w:tcPr>
          <w:p>
            <w:pPr>
              <w:jc w:val="right"/>
              <w:ind w:right="997"/>
              <w:spacing w:after="0"/>
              <w:rPr>
                <w:sz w:val="20"/>
                <w:szCs w:val="20"/>
                <w:color w:val="auto"/>
              </w:rPr>
            </w:pPr>
            <w:r>
              <w:rPr>
                <w:rFonts w:ascii="Times New Roman" w:cs="Times New Roman" w:eastAsia="Times New Roman" w:hAnsi="Times New Roman"/>
                <w:sz w:val="21"/>
                <w:szCs w:val="21"/>
                <w:color w:val="auto"/>
              </w:rPr>
              <w:t>0</w:t>
            </w:r>
          </w:p>
        </w:tc>
        <w:tc>
          <w:tcPr>
            <w:tcW w:w="0" w:type="dxa"/>
            <w:vAlign w:val="bottom"/>
          </w:tcPr>
          <w:p>
            <w:pPr>
              <w:spacing w:after="0"/>
              <w:rPr>
                <w:sz w:val="1"/>
                <w:szCs w:val="1"/>
                <w:color w:val="auto"/>
              </w:rPr>
            </w:pPr>
          </w:p>
        </w:tc>
      </w:tr>
      <w:tr>
        <w:trPr>
          <w:trHeight w:val="244"/>
        </w:trPr>
        <w:tc>
          <w:tcPr>
            <w:tcW w:w="128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98"/>
              </w:rPr>
              <w:t>Fixed Assets</w:t>
            </w:r>
          </w:p>
        </w:tc>
        <w:tc>
          <w:tcPr>
            <w:tcW w:w="1240" w:type="dxa"/>
            <w:vAlign w:val="bottom"/>
            <w:gridSpan w:val="2"/>
          </w:tcPr>
          <w:p>
            <w:pPr>
              <w:ind w:left="440"/>
              <w:spacing w:after="0"/>
              <w:rPr>
                <w:sz w:val="20"/>
                <w:szCs w:val="20"/>
                <w:color w:val="auto"/>
              </w:rPr>
            </w:pPr>
            <w:r>
              <w:rPr>
                <w:rFonts w:ascii="Times New Roman" w:cs="Times New Roman" w:eastAsia="Times New Roman" w:hAnsi="Times New Roman"/>
                <w:sz w:val="21"/>
                <w:szCs w:val="21"/>
                <w:color w:val="auto"/>
              </w:rPr>
              <w:t>623</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76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Intangible Assets</w:t>
            </w:r>
          </w:p>
        </w:tc>
        <w:tc>
          <w:tcPr>
            <w:tcW w:w="1340" w:type="dxa"/>
            <w:vAlign w:val="bottom"/>
            <w:gridSpan w:val="2"/>
          </w:tcPr>
          <w:p>
            <w:pPr>
              <w:jc w:val="right"/>
              <w:ind w:right="297"/>
              <w:spacing w:after="0"/>
              <w:rPr>
                <w:sz w:val="20"/>
                <w:szCs w:val="20"/>
                <w:color w:val="auto"/>
              </w:rPr>
            </w:pPr>
            <w:r>
              <w:rPr>
                <w:rFonts w:ascii="Times New Roman" w:cs="Times New Roman" w:eastAsia="Times New Roman" w:hAnsi="Times New Roman"/>
                <w:sz w:val="21"/>
                <w:szCs w:val="21"/>
                <w:color w:val="auto"/>
              </w:rPr>
              <w:t>574,084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280" w:type="dxa"/>
            <w:vAlign w:val="bottom"/>
          </w:tcPr>
          <w:p>
            <w:pPr>
              <w:ind w:left="200"/>
              <w:spacing w:after="0" w:line="240" w:lineRule="exact"/>
              <w:rPr>
                <w:sz w:val="20"/>
                <w:szCs w:val="20"/>
                <w:color w:val="auto"/>
              </w:rPr>
            </w:pPr>
            <w:r>
              <w:rPr>
                <w:rFonts w:ascii="Times New Roman" w:cs="Times New Roman" w:eastAsia="Times New Roman" w:hAnsi="Times New Roman"/>
                <w:sz w:val="21"/>
                <w:szCs w:val="21"/>
                <w:color w:val="auto"/>
                <w:w w:val="98"/>
              </w:rPr>
              <w:t>Other Assets</w:t>
            </w:r>
          </w:p>
        </w:tc>
        <w:tc>
          <w:tcPr>
            <w:tcW w:w="1240" w:type="dxa"/>
            <w:vAlign w:val="bottom"/>
            <w:gridSpan w:val="2"/>
          </w:tcPr>
          <w:p>
            <w:pPr>
              <w:ind w:left="440"/>
              <w:spacing w:after="0" w:line="240" w:lineRule="exact"/>
              <w:rPr>
                <w:sz w:val="20"/>
                <w:szCs w:val="20"/>
                <w:color w:val="auto"/>
              </w:rPr>
            </w:pPr>
            <w:r>
              <w:rPr>
                <w:rFonts w:ascii="Times New Roman" w:cs="Times New Roman" w:eastAsia="Times New Roman" w:hAnsi="Times New Roman"/>
                <w:sz w:val="21"/>
                <w:szCs w:val="21"/>
                <w:color w:val="auto"/>
              </w:rPr>
              <w:t>173,370</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280" w:type="dxa"/>
            <w:vAlign w:val="bottom"/>
          </w:tcPr>
          <w:p>
            <w:pPr>
              <w:spacing w:after="0"/>
              <w:rPr>
                <w:sz w:val="23"/>
                <w:szCs w:val="23"/>
                <w:color w:val="auto"/>
              </w:rPr>
            </w:pPr>
          </w:p>
        </w:tc>
        <w:tc>
          <w:tcPr>
            <w:tcW w:w="1820" w:type="dxa"/>
            <w:vAlign w:val="bottom"/>
            <w:gridSpan w:val="3"/>
          </w:tcPr>
          <w:p>
            <w:pPr>
              <w:ind w:left="400"/>
              <w:spacing w:after="0"/>
              <w:rPr>
                <w:sz w:val="20"/>
                <w:szCs w:val="20"/>
                <w:color w:val="auto"/>
              </w:rPr>
            </w:pPr>
            <w:r>
              <w:rPr>
                <w:rFonts w:ascii="Times New Roman" w:cs="Times New Roman" w:eastAsia="Times New Roman" w:hAnsi="Times New Roman"/>
                <w:sz w:val="21"/>
                <w:szCs w:val="21"/>
                <w:b w:val="1"/>
                <w:bCs w:val="1"/>
                <w:color w:val="auto"/>
              </w:rPr>
              <w:t>Total Assets</w:t>
            </w:r>
          </w:p>
        </w:tc>
        <w:tc>
          <w:tcPr>
            <w:tcW w:w="80" w:type="dxa"/>
            <w:vAlign w:val="bottom"/>
          </w:tcPr>
          <w:p>
            <w:pPr>
              <w:spacing w:after="0"/>
              <w:rPr>
                <w:sz w:val="23"/>
                <w:szCs w:val="23"/>
                <w:color w:val="auto"/>
              </w:rPr>
            </w:pPr>
          </w:p>
        </w:tc>
        <w:tc>
          <w:tcPr>
            <w:tcW w:w="1840" w:type="dxa"/>
            <w:vAlign w:val="bottom"/>
            <w:gridSpan w:val="2"/>
          </w:tcPr>
          <w:p>
            <w:pPr>
              <w:jc w:val="right"/>
              <w:ind w:right="797"/>
              <w:spacing w:after="0"/>
              <w:rPr>
                <w:sz w:val="20"/>
                <w:szCs w:val="20"/>
                <w:color w:val="auto"/>
              </w:rPr>
            </w:pPr>
            <w:r>
              <w:rPr>
                <w:rFonts w:ascii="Times New Roman" w:cs="Times New Roman" w:eastAsia="Times New Roman" w:hAnsi="Times New Roman"/>
                <w:sz w:val="21"/>
                <w:szCs w:val="21"/>
                <w:b w:val="1"/>
                <w:bCs w:val="1"/>
                <w:color w:val="auto"/>
                <w:w w:val="97"/>
              </w:rPr>
              <w:t>$2,788,628</w:t>
            </w:r>
          </w:p>
        </w:tc>
        <w:tc>
          <w:tcPr>
            <w:tcW w:w="0" w:type="dxa"/>
            <w:vAlign w:val="bottom"/>
          </w:tcPr>
          <w:p>
            <w:pPr>
              <w:spacing w:after="0"/>
              <w:rPr>
                <w:sz w:val="1"/>
                <w:szCs w:val="1"/>
                <w:color w:val="auto"/>
              </w:rPr>
            </w:pPr>
          </w:p>
        </w:tc>
      </w:tr>
      <w:tr>
        <w:trPr>
          <w:trHeight w:val="451"/>
        </w:trPr>
        <w:tc>
          <w:tcPr>
            <w:tcW w:w="12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Liabilities</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Deposits</w:t>
            </w:r>
          </w:p>
        </w:tc>
        <w:tc>
          <w:tcPr>
            <w:tcW w:w="4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$0</w:t>
            </w: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Fed Funds</w:t>
            </w:r>
          </w:p>
        </w:tc>
        <w:tc>
          <w:tcPr>
            <w:tcW w:w="4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0</w:t>
            </w: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20" w:type="dxa"/>
            <w:vAlign w:val="bottom"/>
            <w:gridSpan w:val="3"/>
          </w:tcPr>
          <w:p>
            <w:pPr>
              <w:ind w:left="200"/>
              <w:spacing w:after="0"/>
              <w:rPr>
                <w:sz w:val="20"/>
                <w:szCs w:val="20"/>
                <w:color w:val="auto"/>
              </w:rPr>
            </w:pPr>
            <w:r>
              <w:rPr>
                <w:rFonts w:ascii="Times New Roman" w:cs="Times New Roman" w:eastAsia="Times New Roman" w:hAnsi="Times New Roman"/>
                <w:sz w:val="21"/>
                <w:szCs w:val="21"/>
                <w:color w:val="auto"/>
              </w:rPr>
              <w:t>Treasury Demand Notes</w:t>
            </w:r>
          </w:p>
        </w:tc>
        <w:tc>
          <w:tcPr>
            <w:tcW w:w="580" w:type="dxa"/>
            <w:vAlign w:val="bottom"/>
          </w:tcPr>
          <w:p>
            <w:pPr>
              <w:jc w:val="right"/>
              <w:ind w:right="277"/>
              <w:spacing w:after="0"/>
              <w:rPr>
                <w:sz w:val="20"/>
                <w:szCs w:val="20"/>
                <w:color w:val="auto"/>
              </w:rPr>
            </w:pPr>
            <w:r>
              <w:rPr>
                <w:rFonts w:ascii="Times New Roman" w:cs="Times New Roman" w:eastAsia="Times New Roman" w:hAnsi="Times New Roman"/>
                <w:sz w:val="21"/>
                <w:szCs w:val="21"/>
                <w:color w:val="auto"/>
              </w:rPr>
              <w:t>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76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w w:val="98"/>
              </w:rPr>
              <w:t>Trading Liabilities</w:t>
            </w:r>
          </w:p>
        </w:tc>
        <w:tc>
          <w:tcPr>
            <w:tcW w:w="760" w:type="dxa"/>
            <w:vAlign w:val="bottom"/>
          </w:tcPr>
          <w:p>
            <w:pPr>
              <w:jc w:val="right"/>
              <w:ind w:right="117"/>
              <w:spacing w:after="0"/>
              <w:rPr>
                <w:sz w:val="20"/>
                <w:szCs w:val="20"/>
                <w:color w:val="auto"/>
              </w:rPr>
            </w:pPr>
            <w:r>
              <w:rPr>
                <w:rFonts w:ascii="Times New Roman" w:cs="Times New Roman" w:eastAsia="Times New Roman" w:hAnsi="Times New Roman"/>
                <w:sz w:val="21"/>
                <w:szCs w:val="21"/>
                <w:color w:val="auto"/>
              </w:rPr>
              <w:t>0</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20" w:type="dxa"/>
            <w:vAlign w:val="bottom"/>
            <w:gridSpan w:val="3"/>
          </w:tcPr>
          <w:p>
            <w:pPr>
              <w:ind w:left="200"/>
              <w:spacing w:after="0"/>
              <w:rPr>
                <w:sz w:val="20"/>
                <w:szCs w:val="20"/>
                <w:color w:val="auto"/>
              </w:rPr>
            </w:pPr>
            <w:r>
              <w:rPr>
                <w:rFonts w:ascii="Times New Roman" w:cs="Times New Roman" w:eastAsia="Times New Roman" w:hAnsi="Times New Roman"/>
                <w:sz w:val="21"/>
                <w:szCs w:val="21"/>
                <w:color w:val="auto"/>
              </w:rPr>
              <w:t>Other Borrowed Money</w:t>
            </w:r>
          </w:p>
        </w:tc>
        <w:tc>
          <w:tcPr>
            <w:tcW w:w="580" w:type="dxa"/>
            <w:vAlign w:val="bottom"/>
          </w:tcPr>
          <w:p>
            <w:pPr>
              <w:jc w:val="right"/>
              <w:ind w:right="297"/>
              <w:spacing w:after="0"/>
              <w:rPr>
                <w:sz w:val="20"/>
                <w:szCs w:val="20"/>
                <w:color w:val="auto"/>
              </w:rPr>
            </w:pPr>
            <w:r>
              <w:rPr>
                <w:rFonts w:ascii="Times New Roman" w:cs="Times New Roman" w:eastAsia="Times New Roman" w:hAnsi="Times New Roman"/>
                <w:sz w:val="21"/>
                <w:szCs w:val="21"/>
                <w:color w:val="auto"/>
              </w:rPr>
              <w:t>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8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99"/>
              </w:rPr>
              <w:t>Acceptances</w:t>
            </w:r>
          </w:p>
        </w:tc>
        <w:tc>
          <w:tcPr>
            <w:tcW w:w="480" w:type="dxa"/>
            <w:vAlign w:val="bottom"/>
          </w:tcPr>
          <w:p>
            <w:pPr>
              <w:ind w:left="360"/>
              <w:spacing w:after="0"/>
              <w:rPr>
                <w:sz w:val="20"/>
                <w:szCs w:val="20"/>
                <w:color w:val="auto"/>
              </w:rPr>
            </w:pPr>
            <w:r>
              <w:rPr>
                <w:rFonts w:ascii="Times New Roman" w:cs="Times New Roman" w:eastAsia="Times New Roman" w:hAnsi="Times New Roman"/>
                <w:sz w:val="21"/>
                <w:szCs w:val="21"/>
                <w:color w:val="auto"/>
                <w:w w:val="94"/>
              </w:rPr>
              <w:t>0</w:t>
            </w: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180" w:type="dxa"/>
            <w:vAlign w:val="bottom"/>
            <w:gridSpan w:val="5"/>
          </w:tcPr>
          <w:p>
            <w:pPr>
              <w:ind w:left="200"/>
              <w:spacing w:after="0"/>
              <w:rPr>
                <w:sz w:val="20"/>
                <w:szCs w:val="20"/>
                <w:color w:val="auto"/>
              </w:rPr>
            </w:pPr>
            <w:r>
              <w:rPr>
                <w:rFonts w:ascii="Times New Roman" w:cs="Times New Roman" w:eastAsia="Times New Roman" w:hAnsi="Times New Roman"/>
                <w:sz w:val="21"/>
                <w:szCs w:val="21"/>
                <w:color w:val="auto"/>
                <w:w w:val="97"/>
              </w:rPr>
              <w:t>Subordinated Notes and Debentures</w:t>
            </w:r>
          </w:p>
        </w:tc>
        <w:tc>
          <w:tcPr>
            <w:tcW w:w="5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760" w:type="dxa"/>
            <w:vAlign w:val="bottom"/>
            <w:gridSpan w:val="2"/>
          </w:tcPr>
          <w:p>
            <w:pPr>
              <w:ind w:left="200"/>
              <w:spacing w:after="0" w:line="240" w:lineRule="exact"/>
              <w:rPr>
                <w:sz w:val="20"/>
                <w:szCs w:val="20"/>
                <w:color w:val="auto"/>
              </w:rPr>
            </w:pPr>
            <w:r>
              <w:rPr>
                <w:rFonts w:ascii="Times New Roman" w:cs="Times New Roman" w:eastAsia="Times New Roman" w:hAnsi="Times New Roman"/>
                <w:sz w:val="21"/>
                <w:szCs w:val="21"/>
                <w:color w:val="auto"/>
              </w:rPr>
              <w:t>Other Liabilities</w:t>
            </w:r>
          </w:p>
        </w:tc>
        <w:tc>
          <w:tcPr>
            <w:tcW w:w="1340" w:type="dxa"/>
            <w:vAlign w:val="bottom"/>
            <w:gridSpan w:val="2"/>
          </w:tcPr>
          <w:p>
            <w:pPr>
              <w:jc w:val="right"/>
              <w:ind w:right="357"/>
              <w:spacing w:after="0" w:line="240" w:lineRule="exact"/>
              <w:rPr>
                <w:sz w:val="20"/>
                <w:szCs w:val="20"/>
                <w:color w:val="auto"/>
              </w:rPr>
            </w:pPr>
            <w:r>
              <w:rPr>
                <w:rFonts w:ascii="Times New Roman" w:cs="Times New Roman" w:eastAsia="Times New Roman" w:hAnsi="Times New Roman"/>
                <w:sz w:val="21"/>
                <w:szCs w:val="21"/>
                <w:color w:val="auto"/>
              </w:rPr>
              <w:t>237,596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280" w:type="dxa"/>
            <w:vAlign w:val="bottom"/>
          </w:tcPr>
          <w:p>
            <w:pPr>
              <w:spacing w:after="0"/>
              <w:rPr>
                <w:sz w:val="23"/>
                <w:szCs w:val="23"/>
                <w:color w:val="auto"/>
              </w:rPr>
            </w:pPr>
          </w:p>
        </w:tc>
        <w:tc>
          <w:tcPr>
            <w:tcW w:w="1820" w:type="dxa"/>
            <w:vAlign w:val="bottom"/>
            <w:gridSpan w:val="3"/>
          </w:tcPr>
          <w:p>
            <w:pPr>
              <w:ind w:left="400"/>
              <w:spacing w:after="0"/>
              <w:rPr>
                <w:sz w:val="20"/>
                <w:szCs w:val="20"/>
                <w:color w:val="auto"/>
              </w:rPr>
            </w:pPr>
            <w:r>
              <w:rPr>
                <w:rFonts w:ascii="Times New Roman" w:cs="Times New Roman" w:eastAsia="Times New Roman" w:hAnsi="Times New Roman"/>
                <w:sz w:val="21"/>
                <w:szCs w:val="21"/>
                <w:b w:val="1"/>
                <w:bCs w:val="1"/>
                <w:color w:val="auto"/>
                <w:w w:val="97"/>
              </w:rPr>
              <w:t>Total Liabilities</w:t>
            </w:r>
          </w:p>
        </w:tc>
        <w:tc>
          <w:tcPr>
            <w:tcW w:w="80" w:type="dxa"/>
            <w:vAlign w:val="bottom"/>
          </w:tcPr>
          <w:p>
            <w:pPr>
              <w:spacing w:after="0"/>
              <w:rPr>
                <w:sz w:val="23"/>
                <w:szCs w:val="23"/>
                <w:color w:val="auto"/>
              </w:rPr>
            </w:pPr>
          </w:p>
        </w:tc>
        <w:tc>
          <w:tcPr>
            <w:tcW w:w="1840" w:type="dxa"/>
            <w:vAlign w:val="bottom"/>
            <w:gridSpan w:val="2"/>
          </w:tcPr>
          <w:p>
            <w:pPr>
              <w:jc w:val="right"/>
              <w:ind w:right="677"/>
              <w:spacing w:after="0"/>
              <w:rPr>
                <w:sz w:val="20"/>
                <w:szCs w:val="20"/>
                <w:color w:val="auto"/>
              </w:rPr>
            </w:pPr>
            <w:r>
              <w:rPr>
                <w:rFonts w:ascii="Times New Roman" w:cs="Times New Roman" w:eastAsia="Times New Roman" w:hAnsi="Times New Roman"/>
                <w:sz w:val="21"/>
                <w:szCs w:val="21"/>
                <w:b w:val="1"/>
                <w:bCs w:val="1"/>
                <w:color w:val="auto"/>
              </w:rPr>
              <w:t>$237,596</w:t>
            </w:r>
          </w:p>
        </w:tc>
        <w:tc>
          <w:tcPr>
            <w:tcW w:w="0" w:type="dxa"/>
            <w:vAlign w:val="bottom"/>
          </w:tcPr>
          <w:p>
            <w:pPr>
              <w:spacing w:after="0"/>
              <w:rPr>
                <w:sz w:val="1"/>
                <w:szCs w:val="1"/>
                <w:color w:val="auto"/>
              </w:rPr>
            </w:pPr>
          </w:p>
        </w:tc>
      </w:tr>
      <w:tr>
        <w:trPr>
          <w:trHeight w:val="451"/>
        </w:trPr>
        <w:tc>
          <w:tcPr>
            <w:tcW w:w="12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Equity</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520" w:type="dxa"/>
            <w:vAlign w:val="bottom"/>
            <w:gridSpan w:val="3"/>
          </w:tcPr>
          <w:p>
            <w:pPr>
              <w:spacing w:after="0"/>
              <w:rPr>
                <w:sz w:val="20"/>
                <w:szCs w:val="20"/>
                <w:color w:val="auto"/>
              </w:rPr>
            </w:pPr>
            <w:r>
              <w:rPr>
                <w:rFonts w:ascii="Times New Roman" w:cs="Times New Roman" w:eastAsia="Times New Roman" w:hAnsi="Times New Roman"/>
                <w:sz w:val="21"/>
                <w:szCs w:val="21"/>
                <w:color w:val="auto"/>
                <w:w w:val="99"/>
              </w:rPr>
              <w:t>Common and Preferred Stock</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200</w:t>
            </w:r>
          </w:p>
        </w:tc>
        <w:tc>
          <w:tcPr>
            <w:tcW w:w="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Surplus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1,171,635</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76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Undivided Profits</w:t>
            </w:r>
          </w:p>
        </w:tc>
        <w:tc>
          <w:tcPr>
            <w:tcW w:w="1340" w:type="dxa"/>
            <w:vAlign w:val="bottom"/>
            <w:gridSpan w:val="2"/>
          </w:tcPr>
          <w:p>
            <w:pPr>
              <w:jc w:val="right"/>
              <w:ind w:right="97"/>
              <w:spacing w:after="0"/>
              <w:rPr>
                <w:sz w:val="20"/>
                <w:szCs w:val="20"/>
                <w:color w:val="auto"/>
              </w:rPr>
            </w:pPr>
            <w:r>
              <w:rPr>
                <w:rFonts w:ascii="Times New Roman" w:cs="Times New Roman" w:eastAsia="Times New Roman" w:hAnsi="Times New Roman"/>
                <w:sz w:val="21"/>
                <w:szCs w:val="21"/>
                <w:color w:val="auto"/>
              </w:rPr>
              <w:t>1,379,197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100" w:type="dxa"/>
            <w:vAlign w:val="bottom"/>
            <w:gridSpan w:val="4"/>
          </w:tcPr>
          <w:p>
            <w:pPr>
              <w:ind w:left="200"/>
              <w:spacing w:after="0" w:line="240" w:lineRule="exact"/>
              <w:rPr>
                <w:sz w:val="20"/>
                <w:szCs w:val="20"/>
                <w:color w:val="auto"/>
              </w:rPr>
            </w:pPr>
            <w:r>
              <w:rPr>
                <w:rFonts w:ascii="Times New Roman" w:cs="Times New Roman" w:eastAsia="Times New Roman" w:hAnsi="Times New Roman"/>
                <w:sz w:val="21"/>
                <w:szCs w:val="21"/>
                <w:color w:val="auto"/>
              </w:rPr>
              <w:t>Minority Interest in Subsidiaries</w:t>
            </w:r>
          </w:p>
        </w:tc>
        <w:tc>
          <w:tcPr>
            <w:tcW w:w="80" w:type="dxa"/>
            <w:vAlign w:val="bottom"/>
          </w:tcPr>
          <w:p>
            <w:pPr>
              <w:spacing w:after="0"/>
              <w:rPr>
                <w:sz w:val="20"/>
                <w:szCs w:val="20"/>
                <w:color w:val="auto"/>
              </w:rPr>
            </w:pPr>
          </w:p>
        </w:tc>
        <w:tc>
          <w:tcPr>
            <w:tcW w:w="580" w:type="dxa"/>
            <w:vAlign w:val="bottom"/>
          </w:tcPr>
          <w:p>
            <w:pPr>
              <w:jc w:val="right"/>
              <w:ind w:right="277"/>
              <w:spacing w:after="0" w:line="240" w:lineRule="exact"/>
              <w:rPr>
                <w:sz w:val="20"/>
                <w:szCs w:val="20"/>
                <w:color w:val="auto"/>
              </w:rPr>
            </w:pPr>
            <w:r>
              <w:rPr>
                <w:rFonts w:ascii="Times New Roman" w:cs="Times New Roman" w:eastAsia="Times New Roman" w:hAnsi="Times New Roman"/>
                <w:sz w:val="21"/>
                <w:szCs w:val="21"/>
                <w:color w:val="auto"/>
              </w:rPr>
              <w:t>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21"/>
                <w:szCs w:val="21"/>
                <w:b w:val="1"/>
                <w:bCs w:val="1"/>
                <w:color w:val="auto"/>
              </w:rPr>
              <w:t>Total Equity Capital</w:t>
            </w:r>
          </w:p>
        </w:tc>
        <w:tc>
          <w:tcPr>
            <w:tcW w:w="12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$2,551,032</w:t>
            </w:r>
          </w:p>
        </w:tc>
        <w:tc>
          <w:tcPr>
            <w:tcW w:w="0" w:type="dxa"/>
            <w:vAlign w:val="bottom"/>
          </w:tcPr>
          <w:p>
            <w:pPr>
              <w:spacing w:after="0"/>
              <w:rPr>
                <w:sz w:val="1"/>
                <w:szCs w:val="1"/>
                <w:color w:val="auto"/>
              </w:rPr>
            </w:pPr>
          </w:p>
        </w:tc>
      </w:tr>
      <w:tr>
        <w:trPr>
          <w:trHeight w:val="474"/>
        </w:trPr>
        <w:tc>
          <w:tcPr>
            <w:tcW w:w="310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w w:val="96"/>
              </w:rPr>
              <w:t>Total Liabilities and Equity Capital</w:t>
            </w:r>
          </w:p>
        </w:tc>
        <w:tc>
          <w:tcPr>
            <w:tcW w:w="80" w:type="dxa"/>
            <w:vAlign w:val="bottom"/>
          </w:tcPr>
          <w:p>
            <w:pPr>
              <w:spacing w:after="0"/>
              <w:rPr>
                <w:sz w:val="24"/>
                <w:szCs w:val="24"/>
                <w:color w:val="auto"/>
              </w:rPr>
            </w:pPr>
          </w:p>
        </w:tc>
        <w:tc>
          <w:tcPr>
            <w:tcW w:w="1840" w:type="dxa"/>
            <w:vAlign w:val="bottom"/>
            <w:gridSpan w:val="2"/>
          </w:tcPr>
          <w:p>
            <w:pPr>
              <w:jc w:val="right"/>
              <w:ind w:right="477"/>
              <w:spacing w:after="0"/>
              <w:rPr>
                <w:sz w:val="20"/>
                <w:szCs w:val="20"/>
                <w:color w:val="auto"/>
              </w:rPr>
            </w:pPr>
            <w:r>
              <w:rPr>
                <w:rFonts w:ascii="Times New Roman" w:cs="Times New Roman" w:eastAsia="Times New Roman" w:hAnsi="Times New Roman"/>
                <w:sz w:val="21"/>
                <w:szCs w:val="21"/>
                <w:b w:val="1"/>
                <w:bCs w:val="1"/>
                <w:color w:val="auto"/>
              </w:rPr>
              <w:t>$2,788,628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-4573270</wp:posOffset>
            </wp:positionV>
            <wp:extent cx="935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9359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-3173095</wp:posOffset>
            </wp:positionV>
            <wp:extent cx="935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359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-1463040</wp:posOffset>
            </wp:positionV>
            <wp:extent cx="9359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9359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-380365</wp:posOffset>
            </wp:positionV>
            <wp:extent cx="935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sectPr>
      <w:pgSz w:w="11900" w:h="16838" w:orient="portrait"/>
      <w:cols w:equalWidth="0" w:num="1">
        <w:col w:w="10139"/>
      </w:cols>
      <w:pgMar w:left="320" w:top="9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25"/>
    </w:lvl>
  </w:abstractNum>
  <w:abstractNum w:abstractNumId="15">
    <w:nsid w:val="2D1D5AE9"/>
    <w:multiLevelType w:val="hybridMultilevel"/>
    <w:lvl w:ilvl="0">
      <w:lvlJc w:val="left"/>
      <w:lvlText w:val="%1"/>
      <w:numFmt w:val="decimal"/>
      <w:start w:val="107"/>
    </w:lvl>
  </w:abstractNum>
  <w:abstractNum w:abstractNumId="16">
    <w:nsid w:val="6763845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7">
    <w:nsid w:val="75A2A8D4"/>
    <w:multiLevelType w:val="hybridMultilevel"/>
    <w:lvl w:ilvl="0">
      <w:lvlJc w:val="left"/>
      <w:lvlText w:val="(%1)"/>
      <w:numFmt w:val="lowerRoman"/>
      <w:start w:val="2"/>
    </w:lvl>
  </w:abstractNum>
  <w:abstractNum w:abstractNumId="18">
    <w:nsid w:val="8EDBDAB"/>
    <w:multiLevelType w:val="hybridMultilevel"/>
    <w:lvl w:ilvl="0">
      <w:lvlJc w:val="left"/>
      <w:lvlText w:val="(%1)"/>
      <w:numFmt w:val="decimal"/>
      <w:start w:val="2"/>
    </w:lvl>
    <w:lvl w:ilvl="1">
      <w:lvlJc w:val="left"/>
      <w:lvlText w:val="(%2)"/>
      <w:numFmt w:val="lowerRoman"/>
      <w:start w:val="1"/>
    </w:lvl>
  </w:abstractNum>
  <w:abstractNum w:abstractNumId="19">
    <w:nsid w:val="79838CB2"/>
    <w:multiLevelType w:val="hybridMultilevel"/>
    <w:lvl w:ilvl="0">
      <w:lvlJc w:val="left"/>
      <w:lvlText w:val="%1"/>
      <w:numFmt w:val="lowerLetter"/>
      <w:start w:val="1"/>
    </w:lvl>
    <w:lvl w:ilvl="1">
      <w:lvlJc w:val="left"/>
      <w:lvlText w:val="(%2)"/>
      <w:numFmt w:val="lowerRoman"/>
      <w:start w:val="1"/>
    </w:lvl>
  </w:abstractNum>
  <w:abstractNum w:abstractNumId="20">
    <w:nsid w:val="4353D0CD"/>
    <w:multiLevelType w:val="hybridMultilevel"/>
    <w:lvl w:ilvl="0">
      <w:lvlJc w:val="left"/>
      <w:lvlText w:val="%1)"/>
      <w:numFmt w:val="lowerLetter"/>
      <w:start w:val="2"/>
    </w:lvl>
    <w:lvl w:ilvl="1">
      <w:lvlJc w:val="left"/>
      <w:lvlText w:val="%2"/>
      <w:numFmt w:val="lowerRoman"/>
      <w:start w:val="1"/>
    </w:lvl>
  </w:abstractNum>
  <w:abstractNum w:abstractNumId="21">
    <w:nsid w:val="B03E0C6"/>
    <w:multiLevelType w:val="hybridMultilevel"/>
    <w:lvl w:ilvl="0">
      <w:lvlJc w:val="left"/>
      <w:lvlText w:val="1"/>
      <w:numFmt w:val="bullet"/>
      <w:start w:val="1"/>
    </w:lvl>
  </w:abstractNum>
  <w:abstractNum w:abstractNumId="22">
    <w:nsid w:val="189A769B"/>
    <w:multiLevelType w:val="hybridMultilevel"/>
    <w:lvl w:ilvl="0">
      <w:lvlJc w:val="left"/>
      <w:lvlText w:val="(%1)"/>
      <w:numFmt w:val="lowerRoman"/>
      <w:start w:val="2"/>
    </w:lvl>
  </w:abstractNum>
  <w:abstractNum w:abstractNumId="23">
    <w:nsid w:val="54E49EB4"/>
    <w:multiLevelType w:val="hybridMultilevel"/>
    <w:lvl w:ilvl="0">
      <w:lvlJc w:val="left"/>
      <w:lvlText w:val="%1"/>
      <w:numFmt w:val="lowerLetter"/>
      <w:start w:val="1"/>
    </w:lvl>
    <w:lvl w:ilvl="1">
      <w:lvlJc w:val="left"/>
      <w:lvlText w:val="%2)"/>
      <w:numFmt w:val="lowerLetter"/>
      <w:start w:val="1"/>
    </w:lvl>
  </w:abstractNum>
  <w:abstractNum w:abstractNumId="24">
    <w:nsid w:val="71F32454"/>
    <w:multiLevelType w:val="hybridMultilevel"/>
    <w:lvl w:ilvl="0">
      <w:lvlJc w:val="left"/>
      <w:lvlText w:val="%1)"/>
      <w:numFmt w:val="lowerLetter"/>
      <w:start w:val="2"/>
    </w:lvl>
    <w:lvl w:ilvl="1">
      <w:lvlJc w:val="left"/>
      <w:lvlText w:val="%2"/>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2"/>
    </w:lvl>
    <w:lvl w:ilvl="1">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decimal"/>
      <w:start w:val="6"/>
    </w:lvl>
    <w:lvl w:ilvl="2">
      <w:lvlJc w:val="left"/>
      <w:lvlText w:val="-"/>
      <w:numFmt w:val="bullet"/>
      <w:start w:val="1"/>
    </w:lvl>
  </w:abstractNum>
  <w:abstractNum w:abstractNumId="28">
    <w:nsid w:val="3A95F874"/>
    <w:multiLevelType w:val="hybridMultilevel"/>
    <w:lvl w:ilvl="0">
      <w:lvlJc w:val="left"/>
      <w:lvlText w:val="(%1)"/>
      <w:numFmt w:val="decimal"/>
      <w:start w:val="8"/>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jpe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jpeg"/><Relationship Id="rId34" Type="http://schemas.openxmlformats.org/officeDocument/2006/relationships/image" Target="media/image22.jpeg"/><Relationship Id="rId17" Type="http://schemas.openxmlformats.org/officeDocument/2006/relationships/hyperlink" Target="https://www.sec.gov/ix?doc=/Archives/edgar/data/109198/000010919826000008/tjx-20260131.htm" TargetMode="External"/><Relationship Id="rId18" Type="http://schemas.openxmlformats.org/officeDocument/2006/relationships/hyperlink" Target="https://www.sec.gov/ix?doc=/Archives/edgar/data/109198/000010919826000015/tjx-20260430.htm" TargetMode="External"/><Relationship Id="rId19" Type="http://schemas.openxmlformats.org/officeDocument/2006/relationships/hyperlink" Target="https://www.sec.gov/Archives/edgar/data/109198/000010919826000017/a2026tjxna.htm" TargetMode="External"/><Relationship Id="rId20" Type="http://schemas.openxmlformats.org/officeDocument/2006/relationships/hyperlink" Target="https://www.sec.gov/ix?doc=/Archives/edgar/data/109198/000010919826000034/tjx-20260502.htm" TargetMode="External"/><Relationship Id="rId21" Type="http://schemas.openxmlformats.org/officeDocument/2006/relationships/hyperlink" Target="https://www.sec.gov/Archives/edgar/data/109198/000119312520094680/d91164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2026-05-29T15:00:58Z</dcterms:created>
  <dcterms:modified xsi:type="dcterms:W3CDTF">2026-05-29T15:00:58Z</dcterms:modified>
</cp:coreProperties>
</file>