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August 1,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erif" w:hAnsi="Times New Roman;serif"/>
          <w:b/>
          <w:color w:val="000000"/>
          <w:sz w:val="20"/>
        </w:rPr>
        <w:t>Commission file number 1-4908</w:t>
      </w: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The TJX Companies,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04-2207613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770 Cochituate Road Framingham,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01701</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(508) 390-1000 </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3"/>
        <w:gridCol w:w="1113"/>
        <w:gridCol w:w="1119"/>
        <w:gridCol w:w="539"/>
        <w:gridCol w:w="539"/>
        <w:gridCol w:w="541"/>
        <w:gridCol w:w="1085"/>
        <w:gridCol w:w="1085"/>
        <w:gridCol w:w="1535"/>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TJX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ind w:left="0" w:right="0" w:firstLine="495"/>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94" w:type="dxa"/>
        <w:jc w:val="left"/>
        <w:tblInd w:w="0" w:type="dxa"/>
        <w:tblLayout w:type="fixed"/>
        <w:tblCellMar>
          <w:top w:w="28" w:type="dxa"/>
          <w:left w:w="28" w:type="dxa"/>
          <w:bottom w:w="28" w:type="dxa"/>
          <w:right w:w="28" w:type="dxa"/>
        </w:tblCellMar>
      </w:tblPr>
      <w:tblGrid>
        <w:gridCol w:w="1121"/>
        <w:gridCol w:w="669"/>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11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registrant’s common stock outstanding as of August 21, 2026: 1,099,974,061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The TJX Companies, Inc.</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TABLE OF CONTENTS</w:t>
      </w:r>
    </w:p>
    <w:tbl>
      <w:tblPr>
        <w:tblW w:w="8442" w:type="dxa"/>
        <w:jc w:val="left"/>
        <w:tblInd w:w="0" w:type="dxa"/>
        <w:tblLayout w:type="fixed"/>
        <w:tblCellMar>
          <w:top w:w="28" w:type="dxa"/>
          <w:left w:w="28" w:type="dxa"/>
          <w:bottom w:w="28" w:type="dxa"/>
          <w:right w:w="28" w:type="dxa"/>
        </w:tblCellMar>
      </w:tblPr>
      <w:tblGrid>
        <w:gridCol w:w="2915"/>
        <w:gridCol w:w="2560"/>
        <w:gridCol w:w="2595"/>
        <w:gridCol w:w="109"/>
        <w:gridCol w:w="109"/>
        <w:gridCol w:w="154"/>
      </w:tblGrid>
      <w:tr>
        <w:trPr/>
        <w:tc>
          <w:tcPr>
            <w:tcW w:w="2915"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0">
              <w:r>
                <w:rPr>
                  <w:rStyle w:val="InternetLink"/>
                  <w:rFonts w:ascii="Times New Roman;serif" w:hAnsi="Times New Roman;serif"/>
                  <w:b/>
                  <w:color w:val="0000FF"/>
                  <w:sz w:val="22"/>
                  <w:u w:val="single"/>
                </w:rPr>
                <w:t>PART I</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3">
              <w:r>
                <w:rPr>
                  <w:rStyle w:val="InternetLink"/>
                  <w:rFonts w:ascii="Times New Roman;serif" w:hAnsi="Times New Roman;serif"/>
                  <w:b w:val="false"/>
                  <w:color w:val="0000FF"/>
                  <w:sz w:val="20"/>
                  <w:u w:val="single"/>
                </w:rPr>
                <w:t>ITEM 1.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3">
              <w:r>
                <w:rPr>
                  <w:rStyle w:val="InternetLink"/>
                  <w:rFonts w:ascii="Times New Roman;serif" w:hAnsi="Times New Roman;serif"/>
                  <w:b w:val="false"/>
                  <w:color w:val="0000FF"/>
                  <w:sz w:val="20"/>
                  <w:u w:val="single"/>
                </w:rPr>
                <w:t>3</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6">
              <w:r>
                <w:rPr>
                  <w:rStyle w:val="InternetLink"/>
                  <w:rFonts w:ascii="Times New Roman;serif" w:hAnsi="Times New Roman;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6">
              <w:r>
                <w:rPr>
                  <w:rStyle w:val="InternetLink"/>
                  <w:rFonts w:ascii="Times New Roman;serif" w:hAnsi="Times New Roman;serif"/>
                  <w:b w:val="false"/>
                  <w:color w:val="0000FF"/>
                  <w:sz w:val="20"/>
                  <w:u w:val="single"/>
                </w:rPr>
                <w:t>3</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9">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9">
              <w:r>
                <w:rPr>
                  <w:rStyle w:val="InternetLink"/>
                  <w:rFonts w:ascii="Times New Roman;serif" w:hAnsi="Times New Roman;serif"/>
                  <w:b w:val="false"/>
                  <w:color w:val="0000FF"/>
                  <w:sz w:val="20"/>
                  <w:u w:val="single"/>
                </w:rPr>
                <w:t>4</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22">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22">
              <w:r>
                <w:rPr>
                  <w:rStyle w:val="InternetLink"/>
                  <w:rFonts w:ascii="Times New Roman;serif" w:hAnsi="Times New Roman;serif"/>
                  <w:b w:val="false"/>
                  <w:color w:val="0000FF"/>
                  <w:sz w:val="20"/>
                  <w:u w:val="single"/>
                </w:rPr>
                <w:t>5</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25">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25">
              <w:r>
                <w:rPr>
                  <w:rStyle w:val="InternetLink"/>
                  <w:rFonts w:ascii="Times New Roman;serif" w:hAnsi="Times New Roman;serif"/>
                  <w:b w:val="false"/>
                  <w:color w:val="0000FF"/>
                  <w:sz w:val="20"/>
                  <w:u w:val="single"/>
                </w:rPr>
                <w:t>6</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28">
              <w:r>
                <w:rPr>
                  <w:rStyle w:val="InternetLink"/>
                  <w:rFonts w:ascii="Times New Roman;serif" w:hAnsi="Times New Roman;serif"/>
                  <w:b w:val="false"/>
                  <w:color w:val="0000FF"/>
                  <w:sz w:val="20"/>
                  <w:u w:val="single"/>
                </w:rPr>
                <w:t>Consolidated Statements of Shareholders'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28">
              <w:r>
                <w:rPr>
                  <w:rStyle w:val="InternetLink"/>
                  <w:rFonts w:ascii="Times New Roman;serif" w:hAnsi="Times New Roman;serif"/>
                  <w:b w:val="false"/>
                  <w:color w:val="0000FF"/>
                  <w:sz w:val="20"/>
                  <w:u w:val="single"/>
                </w:rPr>
                <w:t>7</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34">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34">
              <w:r>
                <w:rPr>
                  <w:rStyle w:val="InternetLink"/>
                  <w:rFonts w:ascii="Times New Roman;serif" w:hAnsi="Times New Roman;serif"/>
                  <w:b w:val="false"/>
                  <w:color w:val="0000FF"/>
                  <w:sz w:val="20"/>
                  <w:u w:val="single"/>
                </w:rPr>
                <w:t>9</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7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70">
              <w:r>
                <w:rPr>
                  <w:rStyle w:val="InternetLink"/>
                  <w:rFonts w:ascii="Times New Roman;serif" w:hAnsi="Times New Roman;serif"/>
                  <w:b w:val="false"/>
                  <w:color w:val="0000FF"/>
                  <w:sz w:val="20"/>
                  <w:u w:val="single"/>
                </w:rPr>
                <w:t>24</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42">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42">
              <w:r>
                <w:rPr>
                  <w:rStyle w:val="InternetLink"/>
                  <w:rFonts w:ascii="Times New Roman;serif" w:hAnsi="Times New Roman;serif"/>
                  <w:b w:val="false"/>
                  <w:color w:val="0000FF"/>
                  <w:sz w:val="20"/>
                  <w:u w:val="single"/>
                </w:rPr>
                <w:t>35</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45">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45">
              <w:r>
                <w:rPr>
                  <w:rStyle w:val="InternetLink"/>
                  <w:rFonts w:ascii="Times New Roman;serif" w:hAnsi="Times New Roman;serif"/>
                  <w:b w:val="false"/>
                  <w:color w:val="0000FF"/>
                  <w:sz w:val="20"/>
                  <w:u w:val="single"/>
                </w:rPr>
                <w:t>35</w:t>
              </w:r>
            </w:hyperlink>
          </w:p>
        </w:tc>
      </w:tr>
      <w:tr>
        <w:trPr/>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48">
              <w:r>
                <w:rPr>
                  <w:rStyle w:val="InternetLink"/>
                  <w:rFonts w:ascii="Times New Roman;serif" w:hAnsi="Times New Roman;serif"/>
                  <w:b/>
                  <w:color w:val="0000FF"/>
                  <w:sz w:val="22"/>
                  <w:u w:val="single"/>
                </w:rPr>
                <w:t>PART II</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51">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51">
              <w:r>
                <w:rPr>
                  <w:rStyle w:val="InternetLink"/>
                  <w:rFonts w:ascii="Times New Roman;serif" w:hAnsi="Times New Roman;serif"/>
                  <w:b w:val="false"/>
                  <w:color w:val="0000FF"/>
                  <w:sz w:val="20"/>
                  <w:u w:val="single"/>
                </w:rPr>
                <w:t>35</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54">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54">
              <w:r>
                <w:rPr>
                  <w:rStyle w:val="InternetLink"/>
                  <w:rFonts w:ascii="Times New Roman;serif" w:hAnsi="Times New Roman;serif"/>
                  <w:b w:val="false"/>
                  <w:color w:val="0000FF"/>
                  <w:sz w:val="20"/>
                  <w:u w:val="single"/>
                </w:rPr>
                <w:t>35</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57">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57">
              <w:r>
                <w:rPr>
                  <w:rStyle w:val="InternetLink"/>
                  <w:rFonts w:ascii="Times New Roman;serif" w:hAnsi="Times New Roman;serif"/>
                  <w:b w:val="false"/>
                  <w:color w:val="0000FF"/>
                  <w:sz w:val="20"/>
                  <w:u w:val="single"/>
                </w:rPr>
                <w:t>36</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60">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57">
              <w:r>
                <w:rPr>
                  <w:rStyle w:val="InternetLink"/>
                  <w:rFonts w:ascii="Times New Roman;serif" w:hAnsi="Times New Roman;serif"/>
                  <w:b w:val="false"/>
                  <w:color w:val="0000FF"/>
                  <w:sz w:val="20"/>
                  <w:u w:val="single"/>
                </w:rPr>
                <w:t>36</w:t>
              </w:r>
            </w:hyperlink>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63">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63">
              <w:r>
                <w:rPr>
                  <w:rStyle w:val="InternetLink"/>
                  <w:rFonts w:ascii="Times New Roman;serif" w:hAnsi="Times New Roman;serif"/>
                  <w:b w:val="false"/>
                  <w:color w:val="0000FF"/>
                  <w:sz w:val="20"/>
                  <w:u w:val="single"/>
                </w:rPr>
                <w:t>36</w:t>
              </w:r>
            </w:hyperlink>
          </w:p>
        </w:tc>
      </w:tr>
      <w:tr>
        <w:trPr/>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a973bffad4446680ed8aaaec6787a3_166">
              <w:r>
                <w:rPr>
                  <w:rStyle w:val="InternetLink"/>
                  <w:rFonts w:ascii="Times New Roman;serif" w:hAnsi="Times New Roman;serif"/>
                  <w:b/>
                  <w:color w:val="0000FF"/>
                  <w:sz w:val="22"/>
                  <w:u w:val="single"/>
                </w:rPr>
                <w:t>SIGNATURE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973bffad4446680ed8aaaec6787a3_166">
              <w:r>
                <w:rPr>
                  <w:rStyle w:val="InternetLink"/>
                  <w:rFonts w:ascii="Times New Roman;serif" w:hAnsi="Times New Roman;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8740" w:type="dxa"/>
        <w:jc w:val="center"/>
        <w:tblInd w:w="0" w:type="dxa"/>
        <w:tblLayout w:type="fixed"/>
        <w:tblCellMar>
          <w:top w:w="28" w:type="dxa"/>
          <w:left w:w="28" w:type="dxa"/>
          <w:bottom w:w="28" w:type="dxa"/>
          <w:right w:w="28" w:type="dxa"/>
        </w:tblCellMar>
      </w:tblPr>
      <w:tblGrid>
        <w:gridCol w:w="1580"/>
        <w:gridCol w:w="1389"/>
        <w:gridCol w:w="1410"/>
        <w:gridCol w:w="211"/>
        <w:gridCol w:w="736"/>
        <w:gridCol w:w="109"/>
        <w:gridCol w:w="211"/>
        <w:gridCol w:w="736"/>
        <w:gridCol w:w="109"/>
        <w:gridCol w:w="220"/>
        <w:gridCol w:w="768"/>
        <w:gridCol w:w="113"/>
        <w:gridCol w:w="220"/>
        <w:gridCol w:w="768"/>
        <w:gridCol w:w="160"/>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29,503</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27,512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buying and occupancy costs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10,108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19,951</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5,879</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3,739</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 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 diluted</w:t>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1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1"/>
        <w:gridCol w:w="2525"/>
        <w:gridCol w:w="2554"/>
        <w:gridCol w:w="214"/>
        <w:gridCol w:w="640"/>
        <w:gridCol w:w="110"/>
        <w:gridCol w:w="214"/>
        <w:gridCol w:w="640"/>
        <w:gridCol w:w="110"/>
        <w:gridCol w:w="109"/>
        <w:gridCol w:w="158"/>
      </w:tblGrid>
      <w:tr>
        <w:trPr/>
        <w:tc>
          <w:tcPr>
            <w:tcW w:w="293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1,243</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comprehensive (loss) income, net of tax:</w:t>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net of related tax benefit of $1 in fiscal 2027 and of $0 in fiscal 2026 </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other comprehensive (loss) income, net of tax, to net income:</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deferred gains/(losses), net of related tax provision of $0.0 in fiscal 2027 and tax benefit of $0.0 in fiscal 2026</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w:t>
            </w:r>
            <w:r>
              <w:rPr>
                <w:color w:val="000000"/>
              </w:rPr>
              <w:t> </w:t>
            </w:r>
          </w:p>
        </w:tc>
        <w:tc>
          <w:tcPr>
            <w:tcW w:w="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1,262</w:t>
            </w:r>
            <w:r>
              <w:rPr>
                <w:color w:val="000000"/>
              </w:rPr>
              <w:t> </w:t>
            </w:r>
          </w:p>
        </w:tc>
        <w:tc>
          <w:tcPr>
            <w:tcW w:w="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877"/>
        <w:gridCol w:w="2476"/>
        <w:gridCol w:w="2505"/>
        <w:gridCol w:w="230"/>
        <w:gridCol w:w="690"/>
        <w:gridCol w:w="119"/>
        <w:gridCol w:w="230"/>
        <w:gridCol w:w="690"/>
        <w:gridCol w:w="119"/>
        <w:gridCol w:w="109"/>
        <w:gridCol w:w="160"/>
      </w:tblGrid>
      <w:tr>
        <w:trPr/>
        <w:tc>
          <w:tcPr>
            <w:tcW w:w="287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comprehensive (loss) income, net of tax:</w:t>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net of related tax provision of $0 in fiscal 2027 and of $3 in fiscal 2026 </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other comprehensive (loss) income, net of tax, to net income:</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deferred gains/(losses), net of related tax provision of $0.0 in fiscal 2027 and tax benefit of $0.1 in fiscal 2026</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2,787</w:t>
            </w:r>
            <w:r>
              <w:rPr>
                <w:color w:val="000000"/>
              </w:rPr>
              <w:t> </w:t>
            </w:r>
          </w:p>
        </w:tc>
        <w:tc>
          <w:tcPr>
            <w:tcW w:w="1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2,443</w:t>
            </w:r>
            <w:r>
              <w:rPr>
                <w:color w:val="000000"/>
              </w:rPr>
              <w:t> </w:t>
            </w:r>
          </w:p>
        </w:tc>
        <w:tc>
          <w:tcPr>
            <w:tcW w:w="1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0"/>
        <w:gridCol w:w="2185"/>
        <w:gridCol w:w="2146"/>
        <w:gridCol w:w="211"/>
        <w:gridCol w:w="736"/>
        <w:gridCol w:w="109"/>
        <w:gridCol w:w="211"/>
        <w:gridCol w:w="736"/>
        <w:gridCol w:w="109"/>
        <w:gridCol w:w="211"/>
        <w:gridCol w:w="736"/>
        <w:gridCol w:w="155"/>
      </w:tblGrid>
      <w:tr>
        <w:trPr/>
        <w:tc>
          <w:tcPr>
            <w:tcW w:w="266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6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state and foreign income taxes recoverable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at cost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32,885</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state and foreign income taxes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authorized 5,000,000 shares, par value $1, no shares issued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authorized 1,800,000,000 shares, par value $1, issued and outstanding 1,101,167,677; 1,107,087,991 and 1,112,799,116 shares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37,115</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35,767</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32,885</w:t>
            </w:r>
            <w:r>
              <w:rPr>
                <w:color w:val="000000"/>
              </w:rPr>
              <w:t> </w:t>
            </w:r>
          </w:p>
        </w:tc>
        <w:tc>
          <w:tcPr>
            <w:tcW w:w="1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color w:val="000000"/>
        </w:rPr>
      </w:pPr>
      <w:r>
        <w:rPr>
          <w:color w:val="000000"/>
        </w:rPr>
        <w:t> </w:t>
      </w:r>
    </w:p>
    <w:tbl>
      <w:tblPr>
        <w:tblW w:w="9075" w:type="dxa"/>
        <w:jc w:val="left"/>
        <w:tblInd w:w="0" w:type="dxa"/>
        <w:tblLayout w:type="fixed"/>
        <w:tblCellMar>
          <w:top w:w="28" w:type="dxa"/>
          <w:left w:w="28" w:type="dxa"/>
          <w:bottom w:w="28" w:type="dxa"/>
          <w:right w:w="28" w:type="dxa"/>
        </w:tblCellMar>
      </w:tblPr>
      <w:tblGrid>
        <w:gridCol w:w="2429"/>
        <w:gridCol w:w="2138"/>
        <w:gridCol w:w="2152"/>
        <w:gridCol w:w="244"/>
        <w:gridCol w:w="731"/>
        <w:gridCol w:w="126"/>
        <w:gridCol w:w="244"/>
        <w:gridCol w:w="731"/>
        <w:gridCol w:w="1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property disposals and impairment charges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merchandise inventories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taxes recoverable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current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accrued expenses and other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taxes payable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net operating lease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3,345</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2,185</w:t>
            </w: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additions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investments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investments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(969)</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repurchase of common stock</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(2,362)</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(2,002)</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6,230</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6,004</w:t>
            </w:r>
            <w:r>
              <w:rPr>
                <w:color w:val="000000"/>
              </w:rPr>
              <w:t> </w:t>
            </w:r>
          </w:p>
        </w:tc>
        <w:tc>
          <w:tcPr>
            <w:tcW w:w="1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4,639</w:t>
            </w:r>
            <w:r>
              <w:rPr>
                <w:color w:val="000000"/>
              </w:rPr>
              <w:t> </w:t>
            </w:r>
          </w:p>
        </w:tc>
        <w:tc>
          <w:tcPr>
            <w:tcW w:w="1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272"/>
        <w:gridCol w:w="959"/>
        <w:gridCol w:w="903"/>
        <w:gridCol w:w="315"/>
        <w:gridCol w:w="316"/>
        <w:gridCol w:w="211"/>
        <w:gridCol w:w="216"/>
        <w:gridCol w:w="646"/>
        <w:gridCol w:w="111"/>
        <w:gridCol w:w="355"/>
        <w:gridCol w:w="683"/>
        <w:gridCol w:w="183"/>
        <w:gridCol w:w="519"/>
        <w:gridCol w:w="1187"/>
        <w:gridCol w:w="270"/>
        <w:gridCol w:w="211"/>
        <w:gridCol w:w="631"/>
        <w:gridCol w:w="109"/>
        <w:gridCol w:w="211"/>
        <w:gridCol w:w="736"/>
        <w:gridCol w:w="161"/>
      </w:tblGrid>
      <w:tr>
        <w:trPr/>
        <w:tc>
          <w:tcPr>
            <w:tcW w:w="127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 Value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br/>
              <w:t>Capital</w:t>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w:t>
              <w:br/>
              <w:t xml:space="preserve">(Loss) Income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May 2, 2026</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10,403</w:t>
            </w: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on common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incentive plan and related tax effect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August 1, 2026</w:t>
            </w:r>
          </w:p>
        </w:tc>
        <w:tc>
          <w:tcPr>
            <w:tcW w:w="63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w:t>
            </w:r>
          </w:p>
        </w:tc>
        <w:tc>
          <w:tcPr>
            <w:tcW w:w="2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10,651</w:t>
            </w:r>
            <w:r>
              <w:rPr>
                <w:color w:val="000000"/>
              </w:rPr>
              <w:t> </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95"/>
        <w:gridCol w:w="982"/>
        <w:gridCol w:w="929"/>
        <w:gridCol w:w="315"/>
        <w:gridCol w:w="316"/>
        <w:gridCol w:w="211"/>
        <w:gridCol w:w="216"/>
        <w:gridCol w:w="647"/>
        <w:gridCol w:w="111"/>
        <w:gridCol w:w="358"/>
        <w:gridCol w:w="688"/>
        <w:gridCol w:w="185"/>
        <w:gridCol w:w="525"/>
        <w:gridCol w:w="1201"/>
        <w:gridCol w:w="273"/>
        <w:gridCol w:w="211"/>
        <w:gridCol w:w="631"/>
        <w:gridCol w:w="109"/>
        <w:gridCol w:w="211"/>
        <w:gridCol w:w="631"/>
        <w:gridCol w:w="160"/>
      </w:tblGrid>
      <w:tr>
        <w:trPr/>
        <w:tc>
          <w:tcPr>
            <w:tcW w:w="129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 Value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br/>
              <w:t>Capital</w:t>
            </w:r>
          </w:p>
        </w:tc>
        <w:tc>
          <w:tcPr>
            <w:tcW w:w="1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w:t>
              <w:br/>
              <w:t xml:space="preserve">(Loss) Income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May 3, 2025</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1,116</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1,116</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8,503</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9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on common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incentive plan and related tax effect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August 2, 2025</w:t>
            </w:r>
          </w:p>
        </w:tc>
        <w:tc>
          <w:tcPr>
            <w:tcW w:w="63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w:t>
            </w:r>
          </w:p>
        </w:tc>
        <w:tc>
          <w:tcPr>
            <w:tcW w:w="2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8,866</w:t>
            </w:r>
            <w:r>
              <w:rPr>
                <w:color w:val="000000"/>
              </w:rPr>
              <w:t>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326"/>
        <w:gridCol w:w="886"/>
        <w:gridCol w:w="892"/>
        <w:gridCol w:w="315"/>
        <w:gridCol w:w="316"/>
        <w:gridCol w:w="211"/>
        <w:gridCol w:w="225"/>
        <w:gridCol w:w="676"/>
        <w:gridCol w:w="116"/>
        <w:gridCol w:w="354"/>
        <w:gridCol w:w="681"/>
        <w:gridCol w:w="183"/>
        <w:gridCol w:w="516"/>
        <w:gridCol w:w="1181"/>
        <w:gridCol w:w="269"/>
        <w:gridCol w:w="211"/>
        <w:gridCol w:w="631"/>
        <w:gridCol w:w="109"/>
        <w:gridCol w:w="211"/>
        <w:gridCol w:w="736"/>
        <w:gridCol w:w="160"/>
      </w:tblGrid>
      <w:tr>
        <w:trPr/>
        <w:tc>
          <w:tcPr>
            <w:tcW w:w="13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 Value $1</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br/>
              <w:t>Capital</w:t>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w:t>
              <w:br/>
              <w:t>(Loss) Income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January 31, 2026</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1,107</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1,107</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10,190</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on common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incentive plan and related tax effect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August 1, 2026</w:t>
            </w:r>
          </w:p>
        </w:tc>
        <w:tc>
          <w:tcPr>
            <w:tcW w:w="63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w:t>
            </w: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w:t>
            </w:r>
          </w:p>
        </w:tc>
        <w:tc>
          <w:tcPr>
            <w:tcW w:w="2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9,966</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10,651</w:t>
            </w:r>
            <w:r>
              <w:rPr>
                <w:color w:val="000000"/>
              </w:rPr>
              <w:t>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47"/>
        <w:gridCol w:w="910"/>
        <w:gridCol w:w="917"/>
        <w:gridCol w:w="315"/>
        <w:gridCol w:w="316"/>
        <w:gridCol w:w="211"/>
        <w:gridCol w:w="226"/>
        <w:gridCol w:w="678"/>
        <w:gridCol w:w="116"/>
        <w:gridCol w:w="356"/>
        <w:gridCol w:w="686"/>
        <w:gridCol w:w="184"/>
        <w:gridCol w:w="523"/>
        <w:gridCol w:w="1195"/>
        <w:gridCol w:w="272"/>
        <w:gridCol w:w="211"/>
        <w:gridCol w:w="631"/>
        <w:gridCol w:w="109"/>
        <w:gridCol w:w="211"/>
        <w:gridCol w:w="631"/>
        <w:gridCol w:w="160"/>
      </w:tblGrid>
      <w:tr>
        <w:trPr/>
        <w:tc>
          <w:tcPr>
            <w:tcW w:w="134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 Value $1</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br/>
              <w:t>Capital</w:t>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w:t>
              <w:br/>
              <w:t>(Loss) Income</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February 1, 2025</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(609)</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8,393</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9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on common stock</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compensation</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incentive plan and related tax effect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August 2, 2025</w:t>
            </w:r>
          </w:p>
        </w:tc>
        <w:tc>
          <w:tcPr>
            <w:tcW w:w="63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1,113</w:t>
            </w:r>
            <w:r>
              <w:rPr>
                <w:color w:val="000000"/>
              </w:rPr>
              <w:t>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w:t>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8,198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8,866</w:t>
            </w:r>
            <w:r>
              <w:rPr>
                <w:color w:val="000000"/>
              </w:rPr>
              <w:t>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A. Basis of Presentation and Summary of Significant Accounting Policies </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Basis of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and Notes thereto have been prepared in accordance with accounting principles generally accepted in the United States of America (“GAAP”) for interim financial information. These Consolidated Financial Statements and Notes thereto are unaudited and, in the opinion of management, reflect all normal recurring adjustments, accruals and deferrals among periods required to match costs properly with the related revenue or activity, considered necessary by The TJX Companies, Inc. (together with its subsidiaries, “TJX”) for a fair statement of its Consolidated Financial Statements for the periods reported, all in conformity with GAAP consistently applied. All intercompany transactions have been eliminated in consolidation. Investments for which the Company exercises significant influence but does not have control are accounted for under the equity method. The Consolidated Financial Statements and Notes thereto should be read in conjunction with the audited Consolidated Financial Statements, including the related notes, contained in TJX’s Annual Report on Form 10-K for the fiscal year ended January 31, 2026 (“fiscal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results are not necessarily indicative of results for the full fiscal year. TJX’s business, in common with the businesses of retailers generally, is subject to seasonal influences, with higher levels of sales and income generally realized in the second half of the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January 31, 2026 balance sheet data was derived from audited Consolidated Financial Statements and does not include all disclosures required by GAAP. </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Fiscal Year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TJX’s fiscal year ends on the Saturday nearest to the last day of January of each year. The current fiscal year ends January 30, 2027 (“fiscal 2027”) and is a 52-week fiscal year. Fiscal 2026 was a 52-week fiscal year. “Fiscal 2028” will be a 52-week fiscal year and “fiscal 2029” will be a 53-week fiscal year and will end January 29, 2028 and February 3, 2029, respectively.</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Use of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its accounting policies relating to inventory valuation, reserves for uncertain tax positions and loss contingencies to be the most significant accounting policies that involve management estimates and judgments. Actual amounts could differ from these estimates, and such differences could be material.</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Deferred Gift Card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deferred gift card revenue activity:</w:t>
      </w:r>
    </w:p>
    <w:tbl>
      <w:tblPr>
        <w:tblW w:w="6149" w:type="dxa"/>
        <w:jc w:val="left"/>
        <w:tblInd w:w="0" w:type="dxa"/>
        <w:tblLayout w:type="fixed"/>
        <w:tblCellMar>
          <w:top w:w="28" w:type="dxa"/>
          <w:left w:w="28" w:type="dxa"/>
          <w:bottom w:w="28" w:type="dxa"/>
          <w:right w:w="28" w:type="dxa"/>
        </w:tblCellMar>
      </w:tblPr>
      <w:tblGrid>
        <w:gridCol w:w="1569"/>
        <w:gridCol w:w="1380"/>
        <w:gridCol w:w="1385"/>
        <w:gridCol w:w="233"/>
        <w:gridCol w:w="532"/>
        <w:gridCol w:w="120"/>
        <w:gridCol w:w="236"/>
        <w:gridCol w:w="522"/>
        <w:gridCol w:w="172"/>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of year</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deferred revenue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w:t>
            </w:r>
            <w:r>
              <w:rPr>
                <w:color w:val="000000"/>
              </w:rPr>
              <w:t> </w:t>
            </w:r>
          </w:p>
        </w:tc>
        <w:tc>
          <w:tcPr>
            <w:tcW w:w="1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TJX recognized $491 million in gift card revenue for the three months ended August 1, 2026 and $476 million for the three months ended August 2, 2025. 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Leases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6987" w:type="dxa"/>
        <w:jc w:val="left"/>
        <w:tblInd w:w="0" w:type="dxa"/>
        <w:tblLayout w:type="fixed"/>
        <w:tblCellMar>
          <w:top w:w="28" w:type="dxa"/>
          <w:left w:w="28" w:type="dxa"/>
          <w:bottom w:w="28" w:type="dxa"/>
          <w:right w:w="28" w:type="dxa"/>
        </w:tblCellMar>
      </w:tblPr>
      <w:tblGrid>
        <w:gridCol w:w="1716"/>
        <w:gridCol w:w="1507"/>
        <w:gridCol w:w="1517"/>
        <w:gridCol w:w="245"/>
        <w:gridCol w:w="735"/>
        <w:gridCol w:w="126"/>
        <w:gridCol w:w="245"/>
        <w:gridCol w:w="717"/>
        <w:gridCol w:w="179"/>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paid for operating leases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1,147</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arising from obtaining right of use assets</w:t>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1,832</w:t>
            </w:r>
            <w:r>
              <w:rPr>
                <w:color w:val="000000"/>
              </w:rPr>
              <w:t> </w:t>
            </w:r>
          </w:p>
        </w:tc>
        <w:tc>
          <w:tcPr>
            <w:tcW w:w="1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Equity Investments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investments in Multibrand Outlet Stores S.A.P.I. de C.V. (“MOS”) and Brands for Less (“BFL”). Both investments are accounted for under the equity method of accounting and are recorded in Other assets on the Consolidated Balance Sheets. TJX reports the results of its share of the investments in MOS and BFL on a one-quarter lag, as their results are not expected to be available in time to be recorded in the concurrent period. Earnings from the investments in MOS and BFL are recorded in Selling, general &amp; administrative expenses on the Consolidated Statements of Income and did not have a material impact on the Company’s results for the six months ended August 1, 2026 and August 2,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both equity investments are evaluated for indicators of impairment on a periodic basis or whenever events or circumstances indicate the carrying amount may be other-than-temporarily impaired. As of August 1, 2026, the Company determined that no impairments of its equity method investments existed.</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Multibrand Outlet Stores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 49% ownership stake in MOS, through a joint venture with Grupo Axo, S.A.P.I de C.V. (“Axo”). MOS is Axo’s off-price, physical store business in Mexico and includes a total of over 200 stores for its Promoda, Reduced, and Urban Store banners. TJX has the option to increase its ownership interest in the joint venture over the long term.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1, 2026, the carrying value of the Company’s equity investment in MOS was $223 million, which exceeded its share of MOS’ net assets by approximately $185 million. As of August 2, 2025, the carrying value of the Company’s equity investment in MOS was $186 million, which exceeded its share of MOS’ net assets by approximately $148 million. The difference primarily consists of goodwill and tradenames. Tradenames are definite-lived intangible assets and are amortized straight-line over their useful lives of 10 years. The carrying value of this equity investment is adjusted for the Company’s share of MOS’s results, tradename amortization, cumulative translation adjustments and additional capital contributions. The cumulative translation adjustment is recorded in the Consolidated Balance Sheets as a component of Accumulated other comprehensive (loss) income.</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Brands for Less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 35% ownership stake in privately held BFL, representing a non-controlling, minority position. BFL currently operates over 100 stores, primarily in the UAE and Saudi Arabia, as well as an e-commerce business, and is the region’s only major off-price branded apparel, toys and home fashions retailer.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1, 2026, the carrying value of the Company’s equity investment in BFL was $334 million, which exceeded its share of BFL net assets by approximately $298 million. As of August 2, 2025, the carrying value of the Company’s equity investment in BFL was $336 million, which exceeded its share of BFL net assets by approximately $292 million. The difference primarily consists of goodwill and a tradename. The tradename is a definite-lived intangible asset and will be amortized straight-line over the useful life of 15 years. The carrying value of this equity investment is adjusted for the Company’s share of BFL’s results and tradename amortization.</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Litigation Settlement Related to Credit Card Interchange Fees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the Company entered into a settlement agreement to resolve litigation related to credit card interchange fees in which the Company was a plaintiff. The settlement resulted in a non-recurring gain of $419 million, net of legal expenses, which was recorded during the fourth quarter of fiscal 2026. Amounts related to the settlement were received during the quarter ended May 2, 2026 and are reflected in operating activities of the Consolidated Statements of Cash Flows for the six months ended August 1, 2026.</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Future Adoption of New Accounting Standards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the Financial Accounting Standards Board (“FASB”) or other standard setting bodies issue new accounting pronouncements. Updates to the FASB Accounting Standards Codification are communicated through issuance of an Accounting Standards Update (“ASU”). Unless otherwise discussed, the Company has reviewed the new guidance and has determined that it will either not apply to TJX or is not expected to be material to its Consolidated Financial Statements upon adoption, and, therefore, the guidance is not disclosed.</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Disaggregation of Income Statement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new guidance to enhance the disclosure of expenses by requiring further disaggregation of relevant expenses in a separate note to the financial statements. This standard is effective for fiscal years beginning after December 15, 2026, and for interim periods within fiscal years beginning after December 15, 2027, with early adoption permitted. The Company is currently evaluating the impact of this adoption on its consolidated financial statement disclosures and plans to adopt this standard for the fiscal 2028 Form 10-K.</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Improvements to Accounting for Internal-Use Software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new guidance to modernize the accounting for internal-use software costs by increasing the operability of the recognition guidance considering different methods of software development. This standard is effective for fiscal years beginning after December 15, 2027, and for interim periods within those fiscal years, with early adoption permitted. The Company is currently evaluating the impact of the adoption on its consolidated financial statement disclosures and plans to adopt this standard for annual reporting as well as interim period reporting beginning in fiscal year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B. Property at Cost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property at cost:</w:t>
      </w:r>
    </w:p>
    <w:tbl>
      <w:tblPr>
        <w:tblW w:w="7292" w:type="dxa"/>
        <w:jc w:val="left"/>
        <w:tblInd w:w="0" w:type="dxa"/>
        <w:tblLayout w:type="fixed"/>
        <w:tblCellMar>
          <w:top w:w="28" w:type="dxa"/>
          <w:left w:w="28" w:type="dxa"/>
          <w:bottom w:w="28" w:type="dxa"/>
          <w:right w:w="28" w:type="dxa"/>
        </w:tblCellMar>
      </w:tblPr>
      <w:tblGrid>
        <w:gridCol w:w="1488"/>
        <w:gridCol w:w="1304"/>
        <w:gridCol w:w="1317"/>
        <w:gridCol w:w="211"/>
        <w:gridCol w:w="736"/>
        <w:gridCol w:w="109"/>
        <w:gridCol w:w="211"/>
        <w:gridCol w:w="721"/>
        <w:gridCol w:w="109"/>
        <w:gridCol w:w="211"/>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 and buildings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costs and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at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at cost</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8,567</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expense was $339 million and $307 million for the three months ended August 1, 2026 and August 2, 2025, respectively. Depreciation expense was $674 million and $602 million for the six months ended August 1, 2026 and August 2, 2025,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 consist of accrued capital additions of $212 million and $221 million as of the periods ended August 1, 2026 and August 2,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C. Accumulated Other Comprehensive (Loss) Income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included in Accumulated other comprehensive (loss) income are recorded net of taxes. The following table details the changes in Accumulated other comprehensive (loss) income for the twelve months ended January 31, 2026 and the six months ended August 1, 2026:</w:t>
      </w:r>
    </w:p>
    <w:tbl>
      <w:tblPr>
        <w:tblW w:w="8917" w:type="dxa"/>
        <w:jc w:val="left"/>
        <w:tblInd w:w="0" w:type="dxa"/>
        <w:tblLayout w:type="fixed"/>
        <w:tblCellMar>
          <w:top w:w="28" w:type="dxa"/>
          <w:left w:w="28" w:type="dxa"/>
          <w:bottom w:w="28" w:type="dxa"/>
          <w:right w:w="28" w:type="dxa"/>
        </w:tblCellMar>
      </w:tblPr>
      <w:tblGrid>
        <w:gridCol w:w="2010"/>
        <w:gridCol w:w="1762"/>
        <w:gridCol w:w="1778"/>
        <w:gridCol w:w="272"/>
        <w:gridCol w:w="622"/>
        <w:gridCol w:w="142"/>
        <w:gridCol w:w="241"/>
        <w:gridCol w:w="430"/>
        <w:gridCol w:w="125"/>
        <w:gridCol w:w="109"/>
        <w:gridCol w:w="355"/>
        <w:gridCol w:w="810"/>
        <w:gridCol w:w="261"/>
      </w:tblGrid>
      <w:tr>
        <w:trPr/>
        <w:tc>
          <w:tcPr>
            <w:tcW w:w="201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and net of immaterial taxes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w:t>
              <w:br/>
              <w:t>Currency</w:t>
              <w:br/>
              <w:t>Translation</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Deferred</w:t>
              <w:br/>
              <w:t>Benefit</w:t>
              <w:br/>
              <w:t>Costs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w:t>
              <w:br/>
              <w:t>Comprehensive</w:t>
              <w:br/>
              <w:t>(Loss) Income</w:t>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February 1, 2025</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(619)</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(609)</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comprehensive (loss):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net gains on benefit obligations, net of taxes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other comprehensive (loss) to net income:</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deferred (losses), net of taxes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January 31, 2026</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comprehensive (loss):</w:t>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other comprehensive (loss) to 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deferred gains, net of taxes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w:t>
            </w: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August 1, 2026</w:t>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w:t>
            </w:r>
          </w:p>
        </w:tc>
        <w:tc>
          <w:tcPr>
            <w:tcW w:w="1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1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w:t>
            </w:r>
          </w:p>
        </w:tc>
        <w:tc>
          <w:tcPr>
            <w:tcW w:w="2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D. Capital Stock and Earnings Per Share </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Capital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2027, the Company completed the stock repurchase program that was previously announced in February 2025.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announced that its Board of Directors had approved a new stock repurchase program that authorizes the repurchase of up to an additional $3.0 billion of TJX common stock from time to time. Under this program, TJX had approximately $2.7 billion available for repurchase as of August 1,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share repurchases, excluding applicable excise tax:</w:t>
      </w:r>
    </w:p>
    <w:tbl>
      <w:tblPr>
        <w:tblW w:w="8096" w:type="dxa"/>
        <w:jc w:val="left"/>
        <w:tblInd w:w="0" w:type="dxa"/>
        <w:tblLayout w:type="fixed"/>
        <w:tblCellMar>
          <w:top w:w="28" w:type="dxa"/>
          <w:left w:w="28" w:type="dxa"/>
          <w:bottom w:w="28" w:type="dxa"/>
          <w:right w:w="28" w:type="dxa"/>
        </w:tblCellMar>
      </w:tblPr>
      <w:tblGrid>
        <w:gridCol w:w="1413"/>
        <w:gridCol w:w="1238"/>
        <w:gridCol w:w="1249"/>
        <w:gridCol w:w="259"/>
        <w:gridCol w:w="591"/>
        <w:gridCol w:w="134"/>
        <w:gridCol w:w="259"/>
        <w:gridCol w:w="572"/>
        <w:gridCol w:w="134"/>
        <w:gridCol w:w="245"/>
        <w:gridCol w:w="735"/>
        <w:gridCol w:w="126"/>
        <w:gridCol w:w="245"/>
        <w:gridCol w:w="717"/>
        <w:gridCol w:w="179"/>
      </w:tblGrid>
      <w:tr>
        <w:trPr/>
        <w:tc>
          <w:tcPr>
            <w:tcW w:w="141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3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shares repurchased and retired</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2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w:t>
            </w:r>
            <w:r>
              <w:rPr>
                <w:color w:val="000000"/>
              </w:rPr>
              <w:t> </w:t>
            </w:r>
          </w:p>
        </w:tc>
        <w:tc>
          <w:tcPr>
            <w:tcW w:w="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1,402</w:t>
            </w:r>
            <w:r>
              <w:rPr>
                <w:color w:val="000000"/>
              </w:rPr>
              <w:t> </w:t>
            </w:r>
          </w:p>
        </w:tc>
        <w:tc>
          <w:tcPr>
            <w:tcW w:w="1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shares repurchased under the stock repurchase programs have been retired. These expenditures were funded by cash on hand and cash generated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2"/>
        </w:rPr>
      </w:pPr>
      <w:r>
        <w:rPr>
          <w:rFonts w:ascii="Times New Roman;serif" w:hAnsi="Times New Roman;serif"/>
          <w:b/>
          <w:i/>
          <w:color w:val="000000"/>
          <w:sz w:val="22"/>
        </w:rPr>
        <w:t>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basic and diluted earnings per share: </w:t>
      </w:r>
    </w:p>
    <w:tbl>
      <w:tblPr>
        <w:tblW w:w="10205" w:type="dxa"/>
        <w:jc w:val="left"/>
        <w:tblInd w:w="0" w:type="dxa"/>
        <w:tblLayout w:type="fixed"/>
        <w:tblCellMar>
          <w:top w:w="28" w:type="dxa"/>
          <w:left w:w="28" w:type="dxa"/>
          <w:bottom w:w="28" w:type="dxa"/>
          <w:right w:w="28" w:type="dxa"/>
        </w:tblCellMar>
      </w:tblPr>
      <w:tblGrid>
        <w:gridCol w:w="2245"/>
        <w:gridCol w:w="1914"/>
        <w:gridCol w:w="1922"/>
        <w:gridCol w:w="216"/>
        <w:gridCol w:w="647"/>
        <w:gridCol w:w="111"/>
        <w:gridCol w:w="216"/>
        <w:gridCol w:w="632"/>
        <w:gridCol w:w="111"/>
        <w:gridCol w:w="238"/>
        <w:gridCol w:w="715"/>
        <w:gridCol w:w="122"/>
        <w:gridCol w:w="238"/>
        <w:gridCol w:w="697"/>
        <w:gridCol w:w="181"/>
      </w:tblGrid>
      <w:tr>
        <w:trPr/>
        <w:tc>
          <w:tcPr>
            <w:tcW w:w="2245"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1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6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 millions, except per share amounts</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6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Basic earnings per share:</w:t>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basic earnings per share calculation</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1,104</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Diluted earnings per share:</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basic earnings per share calculation</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1,104</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exercise/vesting of stock options and awards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diluted earnings per share calculation</w:t>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dividends declared per share</w:t>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0.480</w:t>
            </w:r>
            <w:r>
              <w:rPr>
                <w:color w:val="000000"/>
              </w:rPr>
              <w:t>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0.425 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0.960</w:t>
            </w:r>
            <w:r>
              <w:rPr>
                <w:color w:val="000000"/>
              </w:rPr>
              <w:t>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0.850 </w:t>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common shares for the diluted earnings per share calculation excludes the impact of outstanding stock options if the assumed proceeds per share of the option is in excess of the average price of TJX’s common stock for the related fiscal periods. Such options are excluded because they would have an antidilutive effect. There were 3 million antidilutive options excluded for the thirteen weeks and twenty-six weeks ended August 1, 2026 and 4 million antidilutive options excluded for the thirteen weeks and twenty-six weeks ended August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Note 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a result of its operating and financing activities, TJX is exposed to market risks from changes in interest and foreign currency exchange rates and fuel costs. These market risks may adversely affect TJX’s operating results and financial position. TJX seeks to minimize risk from changes in interest and foreign currency exchange rates and fuel costs through the use of derivative financial instruments when and to the extent deemed appropriate. TJX does not use derivative financial instruments for trading or other speculative purposes and does not use any leveraged derivative financial instruments. TJX recognizes all derivative instruments as either assets or liabilities in the Consolidated Balance Sheets and measures those instruments at fair value. The fair values of the derivatives are classified as assets or liabilities, current or non-current, based upon valuation results and settlement dates of the individual contracts. Changes to the fair value of derivative contracts that do not qualify for hedge accounting are reported in earnings in the period of the change. For derivatives that qualify for hedge accounting, changes in the fair value of the derivatives are either recorded in shareholders’ equity as a component of Accumulated other comprehensive (loss) income or are recognized currently in earnings, along with an offsetting adjustment against the basis of the item being hedged. Gains and losses on derivative instruments are reported in the Consolidated Statements of Cash Flows in operating activities, under Other,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Diesel Fuel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 hedges portions of its estimated notional diesel fuel requirements in the U.S. based on the diesel fuel expected to be consumed by independent freight carriers transporting TJX’s inventory. Independent freight carriers transporting TJX’s inventory charge TJX a mileage surcharge based on the price of diesel fuel. The hedge agreements are economic hedges designed to mitigate the volatility of diesel fuel pricing, and the resulting per mile surcharges payable by TJX, by setting a fixed price per gallon for the period being hedged. Generally, the Company’s intention is to hedge approximately 50% of its estimated notional domestic diesel fuel requirements for the succeeding twelve months. The hedge agreements outstanding at August 1, 2026 relate to approximately 50% of TJX’s estimated notional diesel fuel requirements for the remainder of fiscal 2027 and the first six months of fiscal 2028. These diesel fuel hedge agreements will settle throughout fiscal 2027 and throughout the first seven months of fiscal 2028. The realized and unrealized gains and losses on these contracts are recorded in Cost of sales, including buying and occupancy costs. TJX elected not to apply hedge accounting to these contracts.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Foreign Currency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 enters into forward foreign currency exchange contracts to obtain economic hedges on portions of merchandise purchases made and anticipated to be made by the Company’s operations in currencies other than their respective functional currencies. The contracts outstanding at August 1, 2026 cover merchandise purchases the Company is committed to over the next several months in fiscal 2027. Additionally, TJX’s operations in Europe are subject to foreign currency exposure as a result of their U.K. centralized buying function. Merchandise is purchased centrally in the U.K. and then shipped and billed to the retail entities in other countries. This intercompany billing to TJX’s European businesses’ Euro denominated operations creates exposure to the central buying entity for changes in the exchange rate between the Euro and British Pound. A portion of the inflows of Euros to the central buying entity provides a natural hedge for Euro denominated merchandise purchases from third-party vendors. TJX calculates any excess Euro exposure each month and enters into forward contracts of approximately 30 days' duration to mitigate this excess exposure. The realized and unrealized gains and losses on these contracts are recorded in Cost of sales, including buying and occupancy costs. TJX elected not to apply hedge accounting to these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 also enters into derivative contracts, generally designated as fair value hedges, to hedge intercompany debt. The changes in fair value of these contracts are recorded in Selling, general and administrative expenses and are offset by marking the underlying item to fair value in the same period. The realized and unrealized gains and losses on these contracts are offset by the realized and unrealized gains and losses of the underlying item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TJX’s derivative financial instruments, related fair value and balance sheet classification at August 1, 2026:</w:t>
      </w:r>
    </w:p>
    <w:tbl>
      <w:tblPr>
        <w:tblW w:w="10205" w:type="dxa"/>
        <w:jc w:val="left"/>
        <w:tblInd w:w="0" w:type="dxa"/>
        <w:tblLayout w:type="fixed"/>
        <w:tblCellMar>
          <w:top w:w="28" w:type="dxa"/>
          <w:left w:w="28" w:type="dxa"/>
          <w:bottom w:w="28" w:type="dxa"/>
          <w:right w:w="28" w:type="dxa"/>
        </w:tblCellMar>
      </w:tblPr>
      <w:tblGrid>
        <w:gridCol w:w="183"/>
        <w:gridCol w:w="161"/>
        <w:gridCol w:w="161"/>
        <w:gridCol w:w="510"/>
        <w:gridCol w:w="510"/>
        <w:gridCol w:w="517"/>
        <w:gridCol w:w="436"/>
        <w:gridCol w:w="420"/>
        <w:gridCol w:w="264"/>
        <w:gridCol w:w="181"/>
        <w:gridCol w:w="181"/>
        <w:gridCol w:w="184"/>
        <w:gridCol w:w="246"/>
        <w:gridCol w:w="248"/>
        <w:gridCol w:w="138"/>
        <w:gridCol w:w="360"/>
        <w:gridCol w:w="361"/>
        <w:gridCol w:w="271"/>
        <w:gridCol w:w="713"/>
        <w:gridCol w:w="713"/>
        <w:gridCol w:w="715"/>
        <w:gridCol w:w="211"/>
        <w:gridCol w:w="526"/>
        <w:gridCol w:w="109"/>
        <w:gridCol w:w="235"/>
        <w:gridCol w:w="588"/>
        <w:gridCol w:w="123"/>
        <w:gridCol w:w="220"/>
        <w:gridCol w:w="549"/>
        <w:gridCol w:w="171"/>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4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w:t>
            </w:r>
          </w:p>
        </w:tc>
        <w:tc>
          <w:tcPr>
            <w:tcW w:w="11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Receive</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Blended</w:t>
              <w:br/>
              <w:t>Contract</w:t>
              <w:br/>
              <w:t>Rate</w:t>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Location</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Asset</w:t>
              <w:br/>
              <w:t>U.S.$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(Liability)</w:t>
              <w:br/>
              <w:t>U.S.$</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Fair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 in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U.S.$ at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1,</w:t>
              <w:br/>
              <w:t>2026</w:t>
            </w:r>
          </w:p>
        </w:tc>
      </w:tr>
      <w:tr>
        <w:trPr/>
        <w:tc>
          <w:tcPr>
            <w:tcW w:w="3162"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primarily debt:</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50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47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 for which hedge accounting was not elected:</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Fixed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3.3M – 3.9M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gal per month</w:t>
            </w:r>
          </w:p>
        </w:tc>
        <w:tc>
          <w:tcPr>
            <w:tcW w:w="117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Float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3.3M – 3.9M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gal per month</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billings in TJX International, primarily merchandise: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purchase commitments: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zł</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1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5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8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4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0.8590 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18"/>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fair value of derivative financial instruments</w:t>
            </w:r>
          </w:p>
        </w:tc>
        <w:tc>
          <w:tcPr>
            <w:tcW w:w="21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1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TJX’s derivative financial instruments, related fair value and balance sheet classification at January 31, 2026:</w:t>
      </w:r>
    </w:p>
    <w:tbl>
      <w:tblPr>
        <w:tblW w:w="10205" w:type="dxa"/>
        <w:jc w:val="left"/>
        <w:tblInd w:w="0" w:type="dxa"/>
        <w:tblLayout w:type="fixed"/>
        <w:tblCellMar>
          <w:top w:w="28" w:type="dxa"/>
          <w:left w:w="28" w:type="dxa"/>
          <w:bottom w:w="28" w:type="dxa"/>
          <w:right w:w="28" w:type="dxa"/>
        </w:tblCellMar>
      </w:tblPr>
      <w:tblGrid>
        <w:gridCol w:w="191"/>
        <w:gridCol w:w="167"/>
        <w:gridCol w:w="167"/>
        <w:gridCol w:w="483"/>
        <w:gridCol w:w="483"/>
        <w:gridCol w:w="501"/>
        <w:gridCol w:w="474"/>
        <w:gridCol w:w="478"/>
        <w:gridCol w:w="279"/>
        <w:gridCol w:w="178"/>
        <w:gridCol w:w="178"/>
        <w:gridCol w:w="180"/>
        <w:gridCol w:w="276"/>
        <w:gridCol w:w="278"/>
        <w:gridCol w:w="160"/>
        <w:gridCol w:w="364"/>
        <w:gridCol w:w="365"/>
        <w:gridCol w:w="273"/>
        <w:gridCol w:w="672"/>
        <w:gridCol w:w="639"/>
        <w:gridCol w:w="642"/>
        <w:gridCol w:w="211"/>
        <w:gridCol w:w="421"/>
        <w:gridCol w:w="109"/>
        <w:gridCol w:w="235"/>
        <w:gridCol w:w="588"/>
        <w:gridCol w:w="123"/>
        <w:gridCol w:w="255"/>
        <w:gridCol w:w="638"/>
        <w:gridCol w:w="197"/>
      </w:tblGrid>
      <w:tr>
        <w:trPr/>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w:t>
            </w:r>
          </w:p>
        </w:tc>
        <w:tc>
          <w:tcPr>
            <w:tcW w:w="12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Receive</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Blended</w:t>
              <w:br/>
              <w:t>Contract</w:t>
              <w:br/>
              <w:t>Rate</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Location</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Asset</w:t>
              <w:br/>
              <w:t>U.S.$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(Liability)</w:t>
              <w:br/>
              <w:t>U.S.$</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Fair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 in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U.S.$ at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r>
      <w:tr>
        <w:trPr/>
        <w:tc>
          <w:tcPr>
            <w:tcW w:w="3223"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primarily debt: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25"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95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 for which hedge accounting was not elected:</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Fixed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3.2M – 3.9M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gal per month</w:t>
            </w:r>
          </w:p>
        </w:tc>
        <w:tc>
          <w:tcPr>
            <w:tcW w:w="125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Float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3.2M– 3.9M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gal per month</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9"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billings in TJX International, primarily merchandise: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0.8680 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9"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in TJX International:</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w:t>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purchase commitments:</w:t>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0.7241 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0.6176 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zł</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0.6621 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9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5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0.8495 </w:t>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18"/>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fair value of derivative financial instruments</w:t>
            </w:r>
          </w:p>
        </w:tc>
        <w:tc>
          <w:tcPr>
            <w:tcW w:w="195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(46.1)</w:t>
            </w:r>
          </w:p>
        </w:tc>
        <w:tc>
          <w:tcPr>
            <w:tcW w:w="1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w:t>
            </w:r>
          </w:p>
        </w:tc>
        <w:tc>
          <w:tcPr>
            <w:tcW w:w="1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TJX’s derivative financial instruments, related fair value and balance sheet classification at August 2, 2025:</w:t>
      </w:r>
    </w:p>
    <w:tbl>
      <w:tblPr>
        <w:tblW w:w="10205" w:type="dxa"/>
        <w:jc w:val="left"/>
        <w:tblInd w:w="0" w:type="dxa"/>
        <w:tblLayout w:type="fixed"/>
        <w:tblCellMar>
          <w:top w:w="28" w:type="dxa"/>
          <w:left w:w="28" w:type="dxa"/>
          <w:bottom w:w="28" w:type="dxa"/>
          <w:right w:w="28" w:type="dxa"/>
        </w:tblCellMar>
      </w:tblPr>
      <w:tblGrid>
        <w:gridCol w:w="184"/>
        <w:gridCol w:w="162"/>
        <w:gridCol w:w="162"/>
        <w:gridCol w:w="629"/>
        <w:gridCol w:w="525"/>
        <w:gridCol w:w="395"/>
        <w:gridCol w:w="432"/>
        <w:gridCol w:w="436"/>
        <w:gridCol w:w="275"/>
        <w:gridCol w:w="182"/>
        <w:gridCol w:w="182"/>
        <w:gridCol w:w="184"/>
        <w:gridCol w:w="246"/>
        <w:gridCol w:w="248"/>
        <w:gridCol w:w="138"/>
        <w:gridCol w:w="360"/>
        <w:gridCol w:w="361"/>
        <w:gridCol w:w="271"/>
        <w:gridCol w:w="710"/>
        <w:gridCol w:w="686"/>
        <w:gridCol w:w="689"/>
        <w:gridCol w:w="211"/>
        <w:gridCol w:w="526"/>
        <w:gridCol w:w="109"/>
        <w:gridCol w:w="235"/>
        <w:gridCol w:w="588"/>
        <w:gridCol w:w="123"/>
        <w:gridCol w:w="211"/>
        <w:gridCol w:w="581"/>
        <w:gridCol w:w="16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w:t>
            </w:r>
          </w:p>
        </w:tc>
        <w:tc>
          <w:tcPr>
            <w:tcW w:w="11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Receive</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Blended</w:t>
              <w:br/>
              <w:t>Contract</w:t>
              <w:br/>
              <w:t>Rate</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w:t>
              <w:br/>
              <w:t>Location</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Asset</w:t>
              <w:br/>
              <w:t>U.S.$</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br/>
              <w:t>(Liability)</w:t>
              <w:br/>
              <w:t>U.S.$</w:t>
            </w:r>
          </w:p>
        </w:tc>
        <w:tc>
          <w:tcPr>
            <w:tcW w:w="9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Fair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 in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U.S.$ at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3200" w:type="dxa"/>
            <w:gridSpan w:val="9"/>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primarily debt:</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 for which hedge accounting was not elected:</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Fixed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3.2M – 4.1M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gal per month </w:t>
            </w:r>
          </w:p>
        </w:tc>
        <w:tc>
          <w:tcPr>
            <w:tcW w:w="11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Float 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3.2M – 4.1M</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gal per month</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billings in TJX International, primarily merchandise: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005" w:type="dxa"/>
            <w:gridSpan w:val="21"/>
            <w:tcBorders/>
          </w:tcPr>
          <w:p>
            <w:pPr>
              <w:pStyle w:val="TableContents"/>
              <w:bidi w:val="0"/>
              <w:spacing w:before="0" w:after="283"/>
              <w:jc w:val="left"/>
              <w:rPr>
                <w:sz w:val="4"/>
                <w:szCs w:val="4"/>
              </w:rPr>
            </w:pPr>
            <w:r>
              <w:rPr>
                <w:sz w:val="4"/>
                <w:szCs w:val="4"/>
              </w:rPr>
            </w:r>
          </w:p>
        </w:tc>
      </w:tr>
      <w:tr>
        <w:trPr/>
        <w:tc>
          <w:tcPr>
            <w:tcW w:w="508"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745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purchase commitments:</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zł</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U.S.$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 / (Accrued Exp)</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54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372" w:type="dxa"/>
            <w:gridSpan w:val="18"/>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fair value of derivative financial instruments</w:t>
            </w:r>
          </w:p>
        </w:tc>
        <w:tc>
          <w:tcPr>
            <w:tcW w:w="208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w:t>
            </w:r>
          </w:p>
        </w:tc>
        <w:tc>
          <w:tcPr>
            <w:tcW w:w="1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impact of derivative financial instruments on the Consolidated Statements of Income is presented below:</w:t>
      </w:r>
    </w:p>
    <w:tbl>
      <w:tblPr>
        <w:tblW w:w="10205" w:type="dxa"/>
        <w:jc w:val="left"/>
        <w:tblInd w:w="0" w:type="dxa"/>
        <w:tblLayout w:type="fixed"/>
        <w:tblCellMar>
          <w:top w:w="28" w:type="dxa"/>
          <w:left w:w="28" w:type="dxa"/>
          <w:bottom w:w="28" w:type="dxa"/>
          <w:right w:w="28" w:type="dxa"/>
        </w:tblCellMar>
      </w:tblPr>
      <w:tblGrid>
        <w:gridCol w:w="1360"/>
        <w:gridCol w:w="1168"/>
        <w:gridCol w:w="1067"/>
        <w:gridCol w:w="1086"/>
        <w:gridCol w:w="945"/>
        <w:gridCol w:w="948"/>
        <w:gridCol w:w="262"/>
        <w:gridCol w:w="469"/>
        <w:gridCol w:w="135"/>
        <w:gridCol w:w="305"/>
        <w:gridCol w:w="388"/>
        <w:gridCol w:w="135"/>
        <w:gridCol w:w="257"/>
        <w:gridCol w:w="588"/>
        <w:gridCol w:w="132"/>
        <w:gridCol w:w="257"/>
        <w:gridCol w:w="506"/>
        <w:gridCol w:w="197"/>
      </w:tblGrid>
      <w:tr>
        <w:trPr/>
        <w:tc>
          <w:tcPr>
            <w:tcW w:w="13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w:t>
              <w:br/>
              <w:t>in Income by Derivative</w:t>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20"/>
              </w:rPr>
              <w:t>Location of Gain (Loss) Recognized in Income by</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Derivative</w:t>
            </w:r>
          </w:p>
        </w:tc>
        <w:tc>
          <w:tcPr>
            <w:tcW w:w="169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19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3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979" w:type="dxa"/>
            <w:gridSpan w:val="3"/>
            <w:vMerge w:val="continue"/>
            <w:tcBorders/>
            <w:tcMar>
              <w:top w:w="0" w:type="dxa"/>
              <w:left w:w="0" w:type="dxa"/>
              <w:bottom w:w="0" w:type="dxa"/>
              <w:right w:w="0" w:type="dxa"/>
            </w:tcMar>
            <w:vAlign w:val="center"/>
          </w:tcPr>
          <w:p>
            <w:pPr>
              <w:pStyle w:val="Normal"/>
              <w:bidi w:val="0"/>
              <w:jc w:val="left"/>
              <w:rPr/>
            </w:pPr>
            <w:r>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3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2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primarily debt</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 for which hedge accounting was not elected:</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vAlign w:val="center"/>
          </w:tcPr>
          <w:p>
            <w:pPr>
              <w:pStyle w:val="TableContents"/>
              <w:bidi w:val="0"/>
              <w:spacing w:before="0" w:after="283"/>
              <w:jc w:val="left"/>
              <w:rPr>
                <w:sz w:val="4"/>
                <w:szCs w:val="4"/>
              </w:rPr>
            </w:pPr>
            <w:r>
              <w:rPr>
                <w:sz w:val="4"/>
                <w:szCs w:val="4"/>
              </w:rPr>
            </w:r>
          </w:p>
        </w:tc>
        <w:tc>
          <w:tcPr>
            <w:tcW w:w="297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balances in TJX International</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 including buying and occupancy costs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billings in TJX International, primarily merchandise</w:t>
            </w:r>
          </w:p>
        </w:tc>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 including buying and occupancy costs</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vAlign w:val="center"/>
          </w:tcPr>
          <w:p>
            <w:pPr>
              <w:pStyle w:val="TableContents"/>
              <w:bidi w:val="0"/>
              <w:spacing w:before="0" w:after="283"/>
              <w:jc w:val="left"/>
              <w:rPr>
                <w:sz w:val="4"/>
                <w:szCs w:val="4"/>
              </w:rPr>
            </w:pPr>
            <w:r>
              <w:rPr>
                <w:sz w:val="4"/>
                <w:szCs w:val="4"/>
              </w:rPr>
            </w:r>
          </w:p>
        </w:tc>
        <w:tc>
          <w:tcPr>
            <w:tcW w:w="2979"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35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purchase commitments</w:t>
            </w:r>
          </w:p>
        </w:tc>
        <w:tc>
          <w:tcPr>
            <w:tcW w:w="2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sales, including buying and occupancy costs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4"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recognized in income</w:t>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F. Fair Value Measurements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at the measurement date (also referred to as exit price). The inputs used to measure fair value are generally classified into the following hierarchy: </w:t>
      </w:r>
    </w:p>
    <w:tbl>
      <w:tblPr>
        <w:tblW w:w="10205" w:type="dxa"/>
        <w:jc w:val="left"/>
        <w:tblInd w:w="0" w:type="dxa"/>
        <w:tblLayout w:type="fixed"/>
        <w:tblCellMar>
          <w:top w:w="28" w:type="dxa"/>
          <w:left w:w="28" w:type="dxa"/>
          <w:bottom w:w="28" w:type="dxa"/>
          <w:right w:w="28" w:type="dxa"/>
        </w:tblCellMar>
      </w:tblPr>
      <w:tblGrid>
        <w:gridCol w:w="274"/>
        <w:gridCol w:w="241"/>
        <w:gridCol w:w="243"/>
        <w:gridCol w:w="109"/>
        <w:gridCol w:w="109"/>
        <w:gridCol w:w="109"/>
        <w:gridCol w:w="2746"/>
        <w:gridCol w:w="2631"/>
        <w:gridCol w:w="3743"/>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43"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Unadjusted quoted prices in active markets for identical assets or liabilities</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Unadjusted quoted prices in active markets for similar assets or liabilities, or unadjusted quoted prices for identical or similar assets or liabilities in markets that are not active, or inputs other than quoted prices that are observable for the asset or liability</w:t>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for the asset or liability</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TJX’s financial assets and liabilities that are accounted for at fair value on a recurring basis:</w:t>
      </w:r>
    </w:p>
    <w:tbl>
      <w:tblPr>
        <w:tblW w:w="6070" w:type="dxa"/>
        <w:jc w:val="left"/>
        <w:tblInd w:w="0" w:type="dxa"/>
        <w:tblLayout w:type="fixed"/>
        <w:tblCellMar>
          <w:top w:w="28" w:type="dxa"/>
          <w:left w:w="28" w:type="dxa"/>
          <w:bottom w:w="28" w:type="dxa"/>
          <w:right w:w="28" w:type="dxa"/>
        </w:tblCellMar>
      </w:tblPr>
      <w:tblGrid>
        <w:gridCol w:w="1286"/>
        <w:gridCol w:w="906"/>
        <w:gridCol w:w="912"/>
        <w:gridCol w:w="211"/>
        <w:gridCol w:w="631"/>
        <w:gridCol w:w="109"/>
        <w:gridCol w:w="233"/>
        <w:gridCol w:w="681"/>
        <w:gridCol w:w="120"/>
        <w:gridCol w:w="211"/>
        <w:gridCol w:w="61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31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 fuel contracts</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Investments designed to meet obligations under the Executive Savings Plan are invested in registered investment companies traded in active markets and are recorded at unadjusted quoted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 and diesel fuel contracts are valued using broker quotations, which include observable market information. TJX does not make adjustments to quotes or prices obtained from brokers or pricing services but does assess the credit risk of counterparties and will adjust final valuations when appropriate. Where independent pricing services provide fair values, TJX obtains an understanding of the methods used in pricing. As such, these instruments are classified within Level 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and fair value estimates of the Company’s components of long-term debt:</w:t>
      </w:r>
    </w:p>
    <w:tbl>
      <w:tblPr>
        <w:tblW w:w="9929" w:type="dxa"/>
        <w:jc w:val="left"/>
        <w:tblInd w:w="0" w:type="dxa"/>
        <w:tblLayout w:type="fixed"/>
        <w:tblCellMar>
          <w:top w:w="28" w:type="dxa"/>
          <w:left w:w="28" w:type="dxa"/>
          <w:bottom w:w="28" w:type="dxa"/>
          <w:right w:w="28" w:type="dxa"/>
        </w:tblCellMar>
      </w:tblPr>
      <w:tblGrid>
        <w:gridCol w:w="1024"/>
        <w:gridCol w:w="900"/>
        <w:gridCol w:w="910"/>
        <w:gridCol w:w="319"/>
        <w:gridCol w:w="956"/>
        <w:gridCol w:w="165"/>
        <w:gridCol w:w="226"/>
        <w:gridCol w:w="677"/>
        <w:gridCol w:w="117"/>
        <w:gridCol w:w="304"/>
        <w:gridCol w:w="889"/>
        <w:gridCol w:w="157"/>
        <w:gridCol w:w="213"/>
        <w:gridCol w:w="622"/>
        <w:gridCol w:w="110"/>
        <w:gridCol w:w="304"/>
        <w:gridCol w:w="889"/>
        <w:gridCol w:w="157"/>
        <w:gridCol w:w="213"/>
        <w:gridCol w:w="622"/>
        <w:gridCol w:w="155"/>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22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23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1,701</w:t>
            </w:r>
            <w:r>
              <w:rPr>
                <w:color w:val="000000"/>
              </w:rPr>
              <w:t>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TJX’s general corporate debt was estimated by obtaining market quotes given the trading levels of other bonds of the same general issuer type and market perceived credit quality. These inputs are considered to be Level 2 inputs. These estimates do not necessarily reflect provisions or restrictions in the various debt agreements that might affect TJX’s ability to settle these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long-term debt, see Note I—Long-Term Debt and Credit Lines.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TJX’s cash equivalents are stated at cost, which approximates fair value due to the short maturities of these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assets and liabilities are not measured at fair value on an ongoing basis. Certain assets and liabilities are measured at fair value on a nonrecurring basis and are subject to fair value adjustments in certain circumstances, such as when there is evidence of an impairment. For the periods ended August 1, 2026, January 31, 2026 and August 2, 2025, the Company did not record any material impairments to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G. Segment Information </w:t>
      </w:r>
    </w:p>
    <w:p>
      <w:pPr>
        <w:pStyle w:val="TextBody"/>
        <w:bidi w:val="0"/>
        <w:spacing w:lineRule="auto" w:line="288" w:before="0" w:after="120"/>
        <w:jc w:val="left"/>
        <w:rPr/>
      </w:pPr>
      <w:r>
        <w:rPr>
          <w:rFonts w:ascii="Times New Roman;serif" w:hAnsi="Times New Roman;serif"/>
          <w:b w:val="false"/>
          <w:color w:val="000000"/>
          <w:sz w:val="20"/>
        </w:rPr>
        <w:t xml:space="preserve">TJX operates four segments. TJX defines its segments as those operations whose results are regularly reviewed by the Chief Executive Officer, who is the Company’s chief operating decision maker (“CODM”), to analyze performance and allocate resources. In the United States, the Marmaxx segment operates TJ Maxx, Marshalls, tjmaxx.com and marshalls.com and the HomeGoods segment operates HomeGoods and Homesense. The TJX Canada segment operates Winners, HomeSense and Marshalls in Canada, and the TJX International segment operates TK Maxx, Homesense, tkmaxx.com, tkmaxx.de, and tkmaxx.at in Europe and TK Maxx in Australia. In addition to the Company’s four segments, </w:t>
      </w:r>
      <w:r>
        <w:rPr>
          <w:rFonts w:ascii="Times New Roman;serif" w:hAnsi="Times New Roman;serif"/>
          <w:b w:val="false"/>
          <w:color w:val="000000"/>
          <w:sz w:val="20"/>
          <w:shd w:fill="FFFFFF" w:val="clear"/>
        </w:rPr>
        <w:t>Sierra operates retail stores and sierra.com in the U.S.</w:t>
      </w:r>
      <w:r>
        <w:rPr>
          <w:color w:val="000000"/>
        </w:rPr>
        <w:t xml:space="preserve"> </w:t>
      </w:r>
      <w:r>
        <w:rPr>
          <w:rFonts w:ascii="Times New Roman;serif" w:hAnsi="Times New Roman;serif"/>
          <w:b w:val="false"/>
          <w:color w:val="000000"/>
          <w:sz w:val="20"/>
        </w:rPr>
        <w:t>The results of Sierra are included in the Marmaxx segment.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of TJX’s stores, with the exception of HomeGoods and HomeSense/Homesense, sell apparel and home fashions. HomeGoods and HomeSense/Homesense offer home fashions.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CODM regularly reviews net sales by segment and segment profit or loss. There are no significant expense categories or amounts regularly provided to the CODM and included in reported segment profit or loss. As such, no significant expense categories are disclosed in the table below. The CODM evaluates the performance of the Company’s segments based on “segment profit or loss,” which it defines as pre-tax income or loss before general corporate expense, interest (income) expense, net and certain separately disclosed unusual or infrequent items. “Segment profit or loss,” as defined by TJX, may not be comparable to similarly titled measures used by other entities. This measure of performance should not be considered an alternative to net income or cash flows from operating activities as an indicator of TJX’s performance or as a measure of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Presented below is financial information with respect to TJX’s segments:</w:t>
      </w:r>
    </w:p>
    <w:tbl>
      <w:tblPr>
        <w:tblW w:w="6879" w:type="dxa"/>
        <w:jc w:val="left"/>
        <w:tblInd w:w="0" w:type="dxa"/>
        <w:tblLayout w:type="fixed"/>
        <w:tblCellMar>
          <w:top w:w="28" w:type="dxa"/>
          <w:left w:w="28" w:type="dxa"/>
          <w:bottom w:w="28" w:type="dxa"/>
          <w:right w:w="28" w:type="dxa"/>
        </w:tblCellMar>
      </w:tblPr>
      <w:tblGrid>
        <w:gridCol w:w="919"/>
        <w:gridCol w:w="807"/>
        <w:gridCol w:w="809"/>
        <w:gridCol w:w="211"/>
        <w:gridCol w:w="736"/>
        <w:gridCol w:w="109"/>
        <w:gridCol w:w="211"/>
        <w:gridCol w:w="721"/>
        <w:gridCol w:w="109"/>
        <w:gridCol w:w="221"/>
        <w:gridCol w:w="773"/>
        <w:gridCol w:w="114"/>
        <w:gridCol w:w="221"/>
        <w:gridCol w:w="757"/>
        <w:gridCol w:w="161"/>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Marmaxx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2,693</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HomeGoods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TJX Canada</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TJX International</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TJX</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29,503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expenses</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4,058</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expense</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w:t>
            </w:r>
            <w:r>
              <w:rPr>
                <w:color w:val="000000"/>
              </w:rPr>
              <w:t>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3,739</w:t>
            </w:r>
            <w:r>
              <w:rPr>
                <w:color w:val="000000"/>
              </w:rPr>
              <w:t>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erif" w:hAnsi="Times New Roman;serif"/>
          <w:b w:val="false"/>
          <w:color w:val="000000"/>
          <w:sz w:val="16"/>
        </w:rPr>
        <w:t>(a)</w:t>
      </w:r>
      <w:r>
        <w:rPr>
          <w:color w:val="000000"/>
        </w:rPr>
        <w:t>    </w:t>
      </w:r>
      <w:r>
        <w:rPr>
          <w:rFonts w:ascii="Times New Roman;serif" w:hAnsi="Times New Roman;serif"/>
          <w:b w:val="false"/>
          <w:color w:val="000000"/>
          <w:sz w:val="16"/>
        </w:rPr>
        <w:t>Segment expenses for each reportable segment include cost of sales and selling, general and administrative expenses. Cost of sales includes buying and occupancy costs, cost of merchandise sold, and other expenses. Selling, general and administrative expenses include store payroll and benefit costs, communication costs, and other expenses. Refer to Note A - Basis of Presentation and Summary of Accounting Policies of Notes to Consolidated Financial Statements included in TJX’s Annual Report on Form 10-K for the fiscal year ended January 31, 2026 for more information on the classifications.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identifiable assets by segment:</w:t>
      </w:r>
    </w:p>
    <w:tbl>
      <w:tblPr>
        <w:tblW w:w="5508" w:type="dxa"/>
        <w:jc w:val="left"/>
        <w:tblInd w:w="0" w:type="dxa"/>
        <w:tblLayout w:type="fixed"/>
        <w:tblCellMar>
          <w:top w:w="28" w:type="dxa"/>
          <w:left w:w="28" w:type="dxa"/>
          <w:bottom w:w="28" w:type="dxa"/>
          <w:right w:w="28" w:type="dxa"/>
        </w:tblCellMar>
      </w:tblPr>
      <w:tblGrid>
        <w:gridCol w:w="842"/>
        <w:gridCol w:w="739"/>
        <w:gridCol w:w="744"/>
        <w:gridCol w:w="211"/>
        <w:gridCol w:w="736"/>
        <w:gridCol w:w="109"/>
        <w:gridCol w:w="211"/>
        <w:gridCol w:w="721"/>
        <w:gridCol w:w="109"/>
        <w:gridCol w:w="211"/>
        <w:gridCol w:w="72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Marmaxx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Canada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International</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identifiable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(a)</w:t>
            </w:r>
          </w:p>
        </w:tc>
        <w:tc>
          <w:tcPr>
            <w:tcW w:w="9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8,215</w:t>
            </w: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assets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37,115</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(a)Corporate identifiable assets primarily include cash, trust assets from the Executive Savings Plan and the equity method investments. Consolidated cash, including that held by foreign entities, is reported with Corporate assets for consistency with segment reporting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and depreciation and amortization by segment:</w:t>
      </w:r>
    </w:p>
    <w:tbl>
      <w:tblPr>
        <w:tblW w:w="7511" w:type="dxa"/>
        <w:jc w:val="left"/>
        <w:tblInd w:w="0" w:type="dxa"/>
        <w:tblLayout w:type="fixed"/>
        <w:tblCellMar>
          <w:top w:w="28" w:type="dxa"/>
          <w:left w:w="28" w:type="dxa"/>
          <w:bottom w:w="28" w:type="dxa"/>
          <w:right w:w="28" w:type="dxa"/>
        </w:tblCellMar>
      </w:tblPr>
      <w:tblGrid>
        <w:gridCol w:w="1201"/>
        <w:gridCol w:w="1052"/>
        <w:gridCol w:w="1061"/>
        <w:gridCol w:w="259"/>
        <w:gridCol w:w="591"/>
        <w:gridCol w:w="134"/>
        <w:gridCol w:w="259"/>
        <w:gridCol w:w="572"/>
        <w:gridCol w:w="134"/>
        <w:gridCol w:w="266"/>
        <w:gridCol w:w="797"/>
        <w:gridCol w:w="137"/>
        <w:gridCol w:w="266"/>
        <w:gridCol w:w="588"/>
        <w:gridCol w:w="194"/>
      </w:tblGrid>
      <w:tr>
        <w:trPr/>
        <w:tc>
          <w:tcPr>
            <w:tcW w:w="120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33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Marmaxx</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Canada</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International</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1,159</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Marmaxx</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381</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Canada</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TJX International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and amortization</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w:t>
            </w: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w:t>
            </w: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(a)</w:t>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1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(a)Includes debt discount accretion and debt expense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H. Pension Plans and Other Retirement Benefits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Presented below is financial information relating to TJX’s funded defined benefit pension plan (“qualified pension plan” or “funded plan”) and its unfunded supplemental pension plan (“unfunded plan”) for the periods shown:</w:t>
      </w:r>
    </w:p>
    <w:tbl>
      <w:tblPr>
        <w:tblW w:w="9296" w:type="dxa"/>
        <w:jc w:val="left"/>
        <w:tblInd w:w="0" w:type="dxa"/>
        <w:tblLayout w:type="fixed"/>
        <w:tblCellMar>
          <w:top w:w="28" w:type="dxa"/>
          <w:left w:w="28" w:type="dxa"/>
          <w:bottom w:w="28" w:type="dxa"/>
          <w:right w:w="28" w:type="dxa"/>
        </w:tblCellMar>
      </w:tblPr>
      <w:tblGrid>
        <w:gridCol w:w="1754"/>
        <w:gridCol w:w="1542"/>
        <w:gridCol w:w="1549"/>
        <w:gridCol w:w="337"/>
        <w:gridCol w:w="602"/>
        <w:gridCol w:w="174"/>
        <w:gridCol w:w="337"/>
        <w:gridCol w:w="578"/>
        <w:gridCol w:w="174"/>
        <w:gridCol w:w="348"/>
        <w:gridCol w:w="673"/>
        <w:gridCol w:w="179"/>
        <w:gridCol w:w="348"/>
        <w:gridCol w:w="447"/>
        <w:gridCol w:w="254"/>
      </w:tblGrid>
      <w:tr>
        <w:trPr/>
        <w:tc>
          <w:tcPr>
            <w:tcW w:w="175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Funded Plan</w:t>
            </w:r>
          </w:p>
        </w:tc>
        <w:tc>
          <w:tcPr>
            <w:tcW w:w="22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Plan</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4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 and net actuarial loss</w:t>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w:t>
            </w:r>
          </w:p>
        </w:tc>
        <w:tc>
          <w:tcPr>
            <w:tcW w:w="3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296" w:type="dxa"/>
            <w:gridSpan w:val="15"/>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Funded Plan</w:t>
            </w:r>
          </w:p>
        </w:tc>
        <w:tc>
          <w:tcPr>
            <w:tcW w:w="22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Plan</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224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 and net actuarial loss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w:t>
            </w:r>
          </w:p>
        </w:tc>
        <w:tc>
          <w:tcPr>
            <w:tcW w:w="3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TJX’s policy with respect to the funded plan is to fund, at a minimum, the amount required to maintain a funded status of 80% of the applicable pension liability (the Funding Target pursuant to the Internal Revenue Code section 430) or such other amount as is sufficient to avoid restrictions with respect to the funding of nonqualified plans under the Internal Revenue Code. The Company does not anticipate any required funding in fiscal 2027 for the funded plan. The Company anticipates making contributions of $6 million to provide current benefits coming due under the unfunded plan in fiscal 2027.</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amounts included in Amortization of prior service (credit) and net actuarial loss in the table above have been reclassified in their entirety from Accumulated other comprehensive (loss) income to the Consolidated Statements of Income, net of related tax effects,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I. Long-Term Debt and Credit Lines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long-term debt as of August 1, 2026, January 31, 2026 and August 2, 2025. All amounts are net of unamortized debt discounts.</w:t>
      </w:r>
    </w:p>
    <w:tbl>
      <w:tblPr>
        <w:tblW w:w="10205" w:type="dxa"/>
        <w:jc w:val="left"/>
        <w:tblInd w:w="0" w:type="dxa"/>
        <w:tblLayout w:type="fixed"/>
        <w:tblCellMar>
          <w:top w:w="28" w:type="dxa"/>
          <w:left w:w="28" w:type="dxa"/>
          <w:bottom w:w="28" w:type="dxa"/>
          <w:right w:w="28" w:type="dxa"/>
        </w:tblCellMar>
      </w:tblPr>
      <w:tblGrid>
        <w:gridCol w:w="2675"/>
        <w:gridCol w:w="2294"/>
        <w:gridCol w:w="2308"/>
        <w:gridCol w:w="211"/>
        <w:gridCol w:w="631"/>
        <w:gridCol w:w="109"/>
        <w:gridCol w:w="224"/>
        <w:gridCol w:w="654"/>
        <w:gridCol w:w="115"/>
        <w:gridCol w:w="211"/>
        <w:gridCol w:w="616"/>
        <w:gridCol w:w="157"/>
      </w:tblGrid>
      <w:tr>
        <w:trPr/>
        <w:tc>
          <w:tcPr>
            <w:tcW w:w="2675"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and net of immaterial unamortized debt discounts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w:t>
              <w:br/>
              <w:t>2026</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7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debt: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2.250% senior unsecured notes, maturing September 15, 2026 (effective interest rate of 2.32% after reduction of unamortized debt discount)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1.150% senior unsecured notes, maturing May 15, 2028 (effective interest rate of 1.18% after reduction of unamortized debt discount)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maturing April 15, 2030 (effective interest rate of 3.89% after reduction of unamortized debt discount)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1.600% senior unsecured notes, maturing May 15, 2031 (effective interest rate of 1.61% after reduction of unamortized debt discount)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4.500% senior unsecured notes, maturing April 15, 2050 (effective interest rate of 4.52% after reduction of unamortized debt discount)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net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1,871</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1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Credit Facilities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1, 2026, the Company has two revolving credit facilities, a $750 million senior unsecured revolving credit facility maturing in May 2029 and a $750 million senior unsecured revolving credit facility maturing in May 2030. Borrowings under the revolving credit facilities bear interest at a rate per annum equal to the term secured overnight financing rate plus a margin of 45.0 - 87.5 basis points, depending on the Company’s public debt rating.</w:t>
      </w:r>
    </w:p>
    <w:p>
      <w:pPr>
        <w:pStyle w:val="TextBody"/>
        <w:bidi w:val="0"/>
        <w:spacing w:lineRule="auto" w:line="288" w:before="120" w:after="120"/>
        <w:jc w:val="left"/>
        <w:rPr/>
      </w:pPr>
      <w:r>
        <w:rPr>
          <w:rFonts w:ascii="Times New Roman;serif" w:hAnsi="Times New Roman;serif"/>
          <w:b w:val="false"/>
          <w:color w:val="000000"/>
          <w:sz w:val="20"/>
          <w:shd w:fill="FFFFFF" w:val="clear"/>
        </w:rPr>
        <w:t>A</w:t>
      </w:r>
      <w:r>
        <w:rPr>
          <w:rFonts w:ascii="Times New Roman;serif" w:hAnsi="Times New Roman;serif"/>
          <w:b w:val="false"/>
          <w:color w:val="000000"/>
          <w:sz w:val="20"/>
        </w:rPr>
        <w:t>s of August 1, 2026, January 31, 2026 and August 2, 2025, and during the quarters and year then ended, there were no amounts outstanding under these facilities. TJX was in compliance with all covenants related to its credit facilities at the end of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J. Income Taxes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the Company’s income tax provision for either the second quarter or the first six months of fiscal 2027 and is not expected to have a material impact to fiscal 2027.</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number of countries have enacted legislation to implement the Organization for Economic Cooperation and Development’s 15% global minimum tax regime (Pillar Two) with effect from January 1, 2024. A comprehensive Side-by-Side Package was released in January 2026, introducing additional safe harbors and options for companies headquartered in jurisdictions with a qualified Side-by-Side regime. Member countries must enact local legislation or update existing regulations to adopt and incorporate the Pillar Two Side-by-Side Package. We continue to evaluate the impacts of proposed and enacted legislation and regulations for the jurisdictions in which TJX operates.</w:t>
      </w:r>
    </w:p>
    <w:p>
      <w:pPr>
        <w:pStyle w:val="TextBody"/>
        <w:bidi w:val="0"/>
        <w:spacing w:lineRule="auto" w:line="288" w:before="0" w:after="120"/>
        <w:jc w:val="left"/>
        <w:rPr/>
      </w:pPr>
      <w:r>
        <w:rPr>
          <w:rFonts w:ascii="Times New Roman;serif" w:hAnsi="Times New Roman;serif"/>
          <w:b w:val="false"/>
          <w:color w:val="000000"/>
          <w:sz w:val="20"/>
          <w:shd w:fill="FFFFFF" w:val="clear"/>
        </w:rPr>
        <w:t>The e</w:t>
      </w:r>
      <w:r>
        <w:rPr>
          <w:rFonts w:ascii="Times New Roman;serif" w:hAnsi="Times New Roman;serif"/>
          <w:b w:val="false"/>
          <w:color w:val="000000"/>
          <w:sz w:val="20"/>
        </w:rPr>
        <w:t xml:space="preserve">ffective income tax rate was 24.7% for the second quarter of fiscal 2027 and 24.5% for the second quarter of fiscal 2026. The increase in the effective income tax rate for the second quarter of fiscal 2027 was primarily due to an increase in nondeductible items and foreign withholding taxes, partially offset by an increase in the excess tax benefit from share-based compensation. </w:t>
      </w:r>
      <w:r>
        <w:rPr>
          <w:rFonts w:ascii="Times New Roman;serif" w:hAnsi="Times New Roman;serif"/>
          <w:b w:val="false"/>
          <w:color w:val="000000"/>
          <w:sz w:val="20"/>
          <w:shd w:fill="FFFFFF" w:val="clear"/>
        </w:rPr>
        <w:t>The e</w:t>
      </w:r>
      <w:r>
        <w:rPr>
          <w:rFonts w:ascii="Times New Roman;serif" w:hAnsi="Times New Roman;serif"/>
          <w:b w:val="false"/>
          <w:color w:val="000000"/>
          <w:sz w:val="20"/>
        </w:rPr>
        <w:t>ffective income tax rate was 23.7% for the first six months of fiscal 2027 and 23.9% for the first six months of fiscal 2026. The decrease in the effective income tax rate for the first six months of fiscal 2027 was primarily due to an increase in benefits from the acquisition of federal tax credits and an increase in the excess tax benefit from share-based compensation, partially offset by a reduction in benefits from audit settlements.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TJX is subject to U.S. federal income tax as well as income tax in multiple state, local and foreign jurisdictions. For the U.S. federal income tax purposes, fiscal years through 2010 are no longer subject to examination. The Company is under examination in various jurisdictions, including the U.S. (federal, state, and local) as well as foreign, and believes it has adequately provided for all tax positions in such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 xml:space="preserve">Note K. Contingent Obligations, Contingencies, and Commitments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Contingent Contractual Obligations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TJX is a party to various agreements under which it may be obligated to indemnify the other party with respect to certain losses related to matters including title to assets sold, specified environmental matters or certain income taxes. These obligations are sometimes limited in time or amount. There are no amounts reflected in the Company’s Consolidated Balance Sheets with respect to these contingent obligations.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Legal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TJX is subject to certain legal proceedings, lawsuits, disputes and claims that arise from time to time in the ordinary course of its business. TJX has accrued immaterial amounts in the accompanying Consolidated Financial Statements for certain of its legal proceedings.</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Other Matters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issued a decision invalidating tariffs imposed under the International Emergency Economic Powers Act (“IEEPA”). The Company estimates it has paid an aggregate of approximately $490 million in IEEPA related tariffs. U.S. Customs and Border Patrol (“CBP”) has established a phased administrative process for submitting refund claims for certain IEEPA tariffs.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2027, the Company received $331 million of IEEPA related tariff refunds eligible under phases 1 and 2 of the CBP process, which includes an immaterial amount of interest, and recognized the benefit within Cost of sales, including buying and occupancy costs. As of August 1, 2026 the Company has not recorded a receivable for any additional potential refunds. The Company will recognize a receivable and associated income if the right to receive such amounts becomes realized or realizable in accordance with ASC 450, 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amount of refunds may not equal the full amount of IEEPA related tariffs paid, and any refunds remain subject to further legal, regulatory or administrative developments. TJX continues to monitor ongoing legal, administrative and regulatory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Thirteen Weeks (second quarter) and Twenty-Six Weeks (six months) Ended August 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Compared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Thirteen Weeks (second quarter) and Twenty-Six Weeks (six months) Ended August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We are the leading off-price apparel and home fashions retailer in the U.S. and worldwide. Our mission is to deliver great value to our customers every day. We do this by selling a rapidly changing assortment of apparel, home fashions and other merchandise at prices generally 20% to 60% below full-price retailers’ (including department, specialty and major online retailers) regular prices on comparable merchandise, every day through our stores </w:t>
      </w:r>
      <w:r>
        <w:rPr>
          <w:rFonts w:ascii="Times New Roman;serif" w:hAnsi="Times New Roman;serif"/>
          <w:b w:val="false"/>
          <w:color w:val="000000"/>
          <w:sz w:val="20"/>
        </w:rPr>
        <w:t>and six e-commerce sites</w:t>
      </w:r>
      <w:r>
        <w:rPr>
          <w:rFonts w:ascii="Times New Roman;serif" w:hAnsi="Times New Roman;serif"/>
          <w:b w:val="false"/>
          <w:color w:val="000000"/>
          <w:sz w:val="20"/>
          <w:shd w:fill="FFFFFF" w:val="clear"/>
        </w:rPr>
        <w:t>. We opera</w:t>
      </w:r>
      <w:r>
        <w:rPr>
          <w:rFonts w:ascii="Times New Roman;serif" w:hAnsi="Times New Roman;serif"/>
          <w:b w:val="false"/>
          <w:color w:val="000000"/>
          <w:sz w:val="20"/>
        </w:rPr>
        <w:t xml:space="preserve">te over </w:t>
      </w:r>
      <w:r>
        <w:rPr>
          <w:rFonts w:ascii="Times New Roman;serif" w:hAnsi="Times New Roman;serif"/>
          <w:b w:val="false"/>
          <w:color w:val="000000"/>
          <w:sz w:val="20"/>
          <w:shd w:fill="FFFFFF" w:val="clear"/>
        </w:rPr>
        <w:t>5,200 stores through our four segments: in the U.S., Marmaxx (which operates TJ Maxx, Marshalls, tjmaxx.com and marshalls.com) and HomeGoods (which operates HomeGoods and Homesense); TJX Canada (which operates Winners, HomeSense and Marshalls in Canada); and TJX International (which operates TK Maxx, Homesense, tkmaxx.com, tkmaxx.de, and tkmaxx.at in Europe, and TK Maxx in Australia). In addition to our four segments, Sierra operates retail stores and sierra.com in the U.S. The results of Sierra are included in the Marmaxx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4"/>
        </w:rPr>
      </w:pPr>
      <w:r>
        <w:rPr>
          <w:rFonts w:ascii="Times New Roman;serif" w:hAnsi="Times New Roman;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an overview of our financial performance, results for the quarter ended August 1, 2026 include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increased 5% to $15.2 billion for the second quarter of fiscal 2027 versus last year’s second quarter sales of $14.4 billion.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Consolidated comp sales increased 4% for the second quarter of fiscal 2027. See Net Sales below for our definition of comp sales.</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Diluted earnings per share for the second quarter of fiscal 2027 were $1.36 versus $1.10 in the second quarter of fiscal 2026.</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Pre-tax profit margin (the ratio of pre-tax income to net sales) for the second quarter of fiscal 2027 was 13.3%, a 1.9 percentage point increase compared with 11.4% in the second quarter of fiscal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cost of sales, including buying and occupancy costs, ratio for the second quarter of fiscal 2027 was 66.6%, a 2.7 percentage point decrease compared with 69.3% in the second quarter of fiscal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selling, general and administrative (“SG&amp;A”) expense ratio for the second quarter of fiscal 2027 was 20.3%, a 0.8 percentage point increase compared with 19.5% in the second quarter of fiscal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As of August 1, 2026, both the number of stores in operation and the selling square footage increased approximately 3% compared to the end of the second quarter of fiscal 2026. We have increased our long-term global store target to 7,500 stores.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consolidated average per store inventories, including inventory on hand at our distribution centers (which excludes inventory in transit) and excluding our e-commerce sites, were up 2% at the end of the second quarter of fiscal 2027 compared to the second quarter of fiscal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During the second quarter of fiscal 2027, we returned $1.3 billion to our shareholders through share repurchases and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i/>
          <w:color w:val="000000"/>
          <w:sz w:val="22"/>
        </w:rPr>
      </w:pPr>
      <w:r>
        <w:rPr>
          <w:rFonts w:ascii="Times New Roman;serif" w:hAnsi="Times New Roman;serif"/>
          <w:b/>
          <w:i/>
          <w:color w:val="000000"/>
          <w:sz w:val="22"/>
        </w:rPr>
        <w:t>Operating Results as a Percentage of 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operating results as a percentage of net sales:</w:t>
      </w:r>
    </w:p>
    <w:tbl>
      <w:tblPr>
        <w:tblW w:w="9300" w:type="dxa"/>
        <w:jc w:val="left"/>
        <w:tblInd w:w="0" w:type="dxa"/>
        <w:tblLayout w:type="fixed"/>
        <w:tblCellMar>
          <w:top w:w="28" w:type="dxa"/>
          <w:left w:w="28" w:type="dxa"/>
          <w:bottom w:w="28" w:type="dxa"/>
          <w:right w:w="28" w:type="dxa"/>
        </w:tblCellMar>
      </w:tblPr>
      <w:tblGrid>
        <w:gridCol w:w="1585"/>
        <w:gridCol w:w="1384"/>
        <w:gridCol w:w="1410"/>
        <w:gridCol w:w="339"/>
        <w:gridCol w:w="292"/>
        <w:gridCol w:w="582"/>
        <w:gridCol w:w="308"/>
        <w:gridCol w:w="308"/>
        <w:gridCol w:w="524"/>
        <w:gridCol w:w="387"/>
        <w:gridCol w:w="244"/>
        <w:gridCol w:w="642"/>
        <w:gridCol w:w="352"/>
        <w:gridCol w:w="264"/>
        <w:gridCol w:w="679"/>
      </w:tblGrid>
      <w:tr>
        <w:trPr/>
        <w:tc>
          <w:tcPr>
            <w:tcW w:w="158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5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4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including buying and occupancy costs</w:t>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w:t>
            </w:r>
            <w:r>
              <w:rPr>
                <w:color w:val="000000"/>
              </w:rPr>
              <w:t>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w:t>
            </w:r>
            <w:r>
              <w:rPr>
                <w:color w:val="000000"/>
              </w:rPr>
              <w:t> </w:t>
            </w:r>
          </w:p>
        </w:tc>
        <w:tc>
          <w:tcPr>
            <w:tcW w:w="6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6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w:t>
            </w: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before income taxes</w:t>
            </w:r>
            <w:r>
              <w:rPr>
                <w:rFonts w:ascii="Times New Roman;serif" w:hAnsi="Times New Roman;serif"/>
                <w:b w:val="false"/>
                <w:color w:val="000000"/>
                <w:sz w:val="13"/>
              </w:rPr>
              <w:t>*</w:t>
            </w:r>
          </w:p>
        </w:tc>
        <w:tc>
          <w:tcPr>
            <w:tcW w:w="63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5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6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*Figures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Recent Events and Trends</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Global Economic Conditions and Tariffs</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continue to closely monitor changes in international trade relations, economic and monetary policies, and legislation and regulations including those related to tariffs on imports from China and other countries. While we have been, and believe we can continue to be, successful in mitigating tariff pressures, tariffs have led to significant volatility in the global economy. We are continuing to implement and consider additional measures that seek to mitigate the impact of tariffs.</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extent and duration of the tariffs and the resulting impact on general economic conditions and on our business, including potential additional International Emergency Economic Powers Act (“IEEPA”) tariff refunds, continues to be uncertain. Our buying organization’s ability to execute our merchandise sourcing model to offset the effects of the tariffs is a key factor. However, the overall impact depends on a range of factors, including trade negotiations between the U.S. and other countries, responses of other countries, judicial review, exceptions that could be granted and cost of alternative sources of merchandise.</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Uncertainty remains regarding the continued impact on our direct imports, indirect imports, vendor and competitor pricing, consumer demand, tariff pass-throughs and retaliatory tariffs. We will continue to closely monitor developments related to tariffs and evaluate their potential impact on our business and financial condition.</w:t>
      </w:r>
    </w:p>
    <w:p>
      <w:pPr>
        <w:pStyle w:val="TextBody"/>
        <w:bidi w:val="0"/>
        <w:spacing w:lineRule="auto" w:line="288" w:before="0" w:after="120"/>
        <w:jc w:val="left"/>
        <w:rPr>
          <w:rFonts w:ascii="Times New Roman;serif" w:hAnsi="Times New Roman;serif"/>
          <w:b w:val="false"/>
          <w:i/>
          <w:color w:val="000000"/>
          <w:sz w:val="22"/>
          <w:shd w:fill="FFFFFF" w:val="clear"/>
        </w:rPr>
      </w:pPr>
      <w:r>
        <w:rPr>
          <w:rFonts w:ascii="Times New Roman;serif" w:hAnsi="Times New Roman;serif"/>
          <w:b w:val="false"/>
          <w:i/>
          <w:color w:val="000000"/>
          <w:sz w:val="22"/>
          <w:shd w:fill="FFFFFF" w:val="clear"/>
        </w:rPr>
        <w:t>IEEPA Tariffs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In February 2026, the U.S. Supreme Court issued a decision invalidating tariffs imposed under IEEPA. </w:t>
      </w:r>
      <w:r>
        <w:rPr>
          <w:rFonts w:ascii="Times New Roman;serif" w:hAnsi="Times New Roman;serif"/>
          <w:b w:val="false"/>
          <w:color w:val="000000"/>
          <w:sz w:val="20"/>
        </w:rPr>
        <w:t>We estimate we have</w:t>
      </w:r>
      <w:r>
        <w:rPr>
          <w:color w:val="000000"/>
          <w:shd w:fill="FFFFFF" w:val="clear"/>
        </w:rPr>
        <w:t xml:space="preserve"> </w:t>
      </w:r>
      <w:r>
        <w:rPr>
          <w:rFonts w:ascii="Times New Roman;serif" w:hAnsi="Times New Roman;serif"/>
          <w:b w:val="false"/>
          <w:color w:val="000000"/>
          <w:sz w:val="20"/>
          <w:shd w:fill="FFFFFF" w:val="clear"/>
        </w:rPr>
        <w:t xml:space="preserve">paid an aggregate of approximately </w:t>
      </w:r>
      <w:r>
        <w:rPr>
          <w:rFonts w:ascii="Times New Roman;serif" w:hAnsi="Times New Roman;serif"/>
          <w:b w:val="false"/>
          <w:color w:val="000000"/>
          <w:sz w:val="20"/>
        </w:rPr>
        <w:t>$490 million</w:t>
      </w:r>
      <w:r>
        <w:rPr>
          <w:color w:val="000000"/>
          <w:shd w:fill="FFFFFF" w:val="clear"/>
        </w:rPr>
        <w:t xml:space="preserve"> </w:t>
      </w:r>
      <w:r>
        <w:rPr>
          <w:rFonts w:ascii="Times New Roman;serif" w:hAnsi="Times New Roman;serif"/>
          <w:b w:val="false"/>
          <w:color w:val="000000"/>
          <w:sz w:val="20"/>
          <w:shd w:fill="FFFFFF" w:val="clear"/>
        </w:rPr>
        <w:t xml:space="preserve">in IEEPA related tariffs. U.S. Customs and Border Patrol (“CBP”) has established a phased administrative process for submitting refund claims for certain IEEPA tariffs. </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During the second quarter of </w:t>
      </w:r>
      <w:r>
        <w:rPr>
          <w:rFonts w:ascii="Times New Roman;serif" w:hAnsi="Times New Roman;serif"/>
          <w:b w:val="false"/>
          <w:color w:val="000000"/>
          <w:sz w:val="20"/>
        </w:rPr>
        <w:t>fiscal 2027</w:t>
      </w:r>
      <w:r>
        <w:rPr>
          <w:rFonts w:ascii="Times New Roman;serif" w:hAnsi="Times New Roman;serif"/>
          <w:b w:val="false"/>
          <w:color w:val="000000"/>
          <w:sz w:val="20"/>
          <w:shd w:fill="FFFFFF" w:val="clear"/>
        </w:rPr>
        <w:t xml:space="preserve">, we have received </w:t>
      </w:r>
      <w:r>
        <w:rPr>
          <w:rFonts w:ascii="Times New Roman;serif" w:hAnsi="Times New Roman;serif"/>
          <w:b w:val="false"/>
          <w:color w:val="000000"/>
          <w:sz w:val="20"/>
        </w:rPr>
        <w:t>$331 million</w:t>
      </w:r>
      <w:r>
        <w:rPr>
          <w:color w:val="000000"/>
          <w:shd w:fill="FFFFFF" w:val="clear"/>
        </w:rPr>
        <w:t xml:space="preserve"> </w:t>
      </w:r>
      <w:r>
        <w:rPr>
          <w:rFonts w:ascii="Times New Roman;serif" w:hAnsi="Times New Roman;serif"/>
          <w:b w:val="false"/>
          <w:color w:val="000000"/>
          <w:sz w:val="20"/>
          <w:shd w:fill="FFFFFF" w:val="clear"/>
        </w:rPr>
        <w:t xml:space="preserve">of IEEPA related tariff refunds eligible under phases 1 and 2 of the CBP process, which includes an immaterial amount of interest, and recognized the benefit within Cost of sales, including buying and occupancy costs. As a result of these tariff refunds, we have accrued incremental expenses of </w:t>
      </w:r>
      <w:r>
        <w:rPr>
          <w:rFonts w:ascii="Times New Roman;serif" w:hAnsi="Times New Roman;serif"/>
          <w:b w:val="false"/>
          <w:color w:val="000000"/>
          <w:sz w:val="20"/>
        </w:rPr>
        <w:t>$112 million</w:t>
      </w:r>
      <w:r>
        <w:rPr>
          <w:color w:val="000000"/>
          <w:shd w:fill="FFFFFF" w:val="clear"/>
        </w:rPr>
        <w:t xml:space="preserve"> </w:t>
      </w:r>
      <w:r>
        <w:rPr>
          <w:rFonts w:ascii="Times New Roman;serif" w:hAnsi="Times New Roman;serif"/>
          <w:b w:val="false"/>
          <w:color w:val="000000"/>
          <w:sz w:val="20"/>
          <w:shd w:fill="FFFFFF" w:val="clear"/>
        </w:rPr>
        <w:t xml:space="preserve">for year-end incentive compensation and discretionary bonuses for eligible Associates globally which impact both Cost of sales, including buying and occupancy costs and SG&amp;A costs. The net benefit of tariff refunds was </w:t>
      </w:r>
      <w:r>
        <w:rPr>
          <w:rFonts w:ascii="Times New Roman;serif" w:hAnsi="Times New Roman;serif"/>
          <w:b w:val="false"/>
          <w:color w:val="000000"/>
          <w:sz w:val="20"/>
        </w:rPr>
        <w:t>$219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second quarter of fiscal 2027</w:t>
      </w:r>
      <w:r>
        <w:rPr>
          <w:rFonts w:ascii="Times New Roman;serif" w:hAnsi="Times New Roman;serif"/>
          <w:b w:val="false"/>
          <w:color w:val="000000"/>
          <w:sz w:val="20"/>
          <w:shd w:fill="FFFFFF" w:val="clear"/>
        </w:rPr>
        <w:t>.</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August 1, 2026, we have not recorded a receivable for any additional potential refunds. We will recognize a receivable and associated income if the right to receive such amounts becomes realized or realizable in accordance with ASC 450, Contingencies. The amount of any additional refunds, if received, may not equal the full amount of IEEPA related tariffs paid, and any refunds remain subject to further legal, regulatory or administrative developments. TJX continues to monitor ongoing legal, administrative and regulatory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the quarter ended August 1, 2026 totaled $15.2 billion, a 5% increase versus second quarter fiscal 2026 net sales of $14.4 billion. This increase reflects a 4% increase in comp sales and a 2% increase from non-comp sales, partially offset by a 1% negative impact from foreign currency. Net sales from our e-commerce sites combined amounted to approximately 2% of total sales for each of the second quarters of fiscal 2027 and fiscal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the six months ended August 1, 2026 totaled $29.5 billion, a 7% increase versus the first six months of fiscal 2026 net sales of $27.5 billion. This increase reflects a 5% increase in comp sales, a 2% increase from non-comp sales and a neutral impact from foreign currency. Net sales from our e-commerce sites combined amounted to approximately 2% of total sales for each of the first six months of fiscal 2027 and fiscal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 sales increased 4% for both the second quarter of fiscal 2027 and fiscal 2026. Comp sales increased 5% and 4% for the first six months of fiscal 2027 and fiscal 2026, respectively. Home comp sales growth (as defined below) outperformed apparel comp sales growth (as defined below) for both the second quarter and first six months of fiscal 2027. Comp sales for both periods were driven by a higher average basket and an increase in customer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August 1, 2026, our store count increased approximately 3% and selling square footage increased approximately 3% compared to the end of the second quarter last year. We have increased our long-term global store target to 7,500 total stores, reflecting an increase to Marmaxx and HomeGoods store targets by 300 and 200 stores,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Definition of Comparable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define comparable sales (“comp sales”) to be sales of stores and e-commerce sites that have been in operation for all or a portion of two consecutive fiscal years, or, in other words, stores or e-commerce sites that are starting their third fiscal year of operation. In any given fiscal year, we calculate comp sales on a 52-week basis by comparing the current and prior year weekly periods that are most closely aligned. Relocated stores and stores that have changed in size are generally classified in the same way as the original store, and we believe that the impact of these stores on the consolidated comp sales percentage is immaterial.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Sales excluded from comp sales (“non-comp sales”) consist of sales from:</w:t>
      </w:r>
    </w:p>
    <w:p>
      <w:pPr>
        <w:pStyle w:val="TextBody"/>
        <w:bidi w:val="0"/>
        <w:spacing w:lineRule="auto" w:line="288" w:before="90" w:after="283"/>
        <w:ind w:left="0" w:right="0" w:hanging="360"/>
        <w:jc w:val="left"/>
        <w:rPr/>
      </w:pPr>
      <w:r>
        <w:rPr>
          <w:color w:val="000000"/>
        </w:rPr>
        <w:t>–</w:t>
      </w:r>
      <w:r>
        <w:rPr>
          <w:rFonts w:ascii="Times New Roman;serif" w:hAnsi="Times New Roman;serif"/>
          <w:b w:val="false"/>
          <w:color w:val="000000"/>
          <w:sz w:val="20"/>
        </w:rPr>
        <w:t>New stores or e-commerce sites - stores or sites that have not yet met the comp sales criteria, which represents a substantial majority of non-comp sales</w:t>
      </w:r>
    </w:p>
    <w:p>
      <w:pPr>
        <w:pStyle w:val="TextBody"/>
        <w:bidi w:val="0"/>
        <w:spacing w:lineRule="auto" w:line="288" w:before="90" w:after="120"/>
        <w:ind w:left="0" w:right="0" w:hanging="360"/>
        <w:jc w:val="left"/>
        <w:rPr/>
      </w:pPr>
      <w:r>
        <w:rPr>
          <w:color w:val="000000"/>
        </w:rPr>
        <w:t>–</w:t>
      </w:r>
      <w:r>
        <w:rPr>
          <w:rFonts w:ascii="Times New Roman;serif" w:hAnsi="Times New Roman;serif"/>
          <w:b w:val="false"/>
          <w:color w:val="000000"/>
          <w:sz w:val="20"/>
        </w:rPr>
        <w:t>Stores or e-commerce sites that are closed permanently or for an extended period of time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determine which stores and e-commerce sites are included in the comp sales calculation at the beginning of a fiscal year, and the classification remains constant throughout that year unless a store or e-commerce site is closed permanently or for an extended period during that fiscal year.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 sales of our foreign segments are calculated on a constant currency basis. We define constant currency basis as translating the current year’s results using the prior year’s exchange rates. This removes the effect of changes in currency exchange rates, which we believe is a more appropriate measure of performance.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 sales may be referred to as “same store” sales by other retail companies. The method for calculating comp sales varies across the retail industry; therefore, our measure of comp sales may not be comparable to that of other retail companies. Comparable sales for a category such as home or apparel include sales from merchandise within such category combined across all divisions that fall within the Company’s definition of comparable sales for such period.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define customer transactions to be the number of transactions in stores or online included in the comp sales calculation. We define average ticket to be the average retail price of the units sold. We define average basket to be the average dollar value of transactions.</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Impact of Foreign Currency Exchange Rates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operating results are affected by foreign currency exchange rates as a result of changes in the value of the U.S. dollar or a division’s local currency in relation to other currencies. We specifically refer to “foreign currency” as the impact of translational foreign currency exchange and mark-to-market of inventory derivatives, as described in detail below. This does not include the impact foreign currency exchange rates can have on various transactions that are denominated in a currency other than an operating division's local currency, which is referred to as “transactional foreign exchange,” and also described below.</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Translation Foreign Exchange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our Consolidated Financial Statements, we translate the operations of TJX Canada and TJX International from local currencies into U.S. dollars using currency rates in effect at different points in time. Significant changes in foreign exchange rates between comparable prior periods can result in meaningful variations in assets, liabilities, net sales, net income and earnings per share as well as the net sales and operating results of these segments. Currency translation generally does not affect operating margins, or affects them only slightly, as sales and expenses of the foreign operations are translated at approximately the same rates within a given period.</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Mark-to-Market Inventory Derivatives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routinely enter into inventory-related hedging instruments to mitigate the impact on earnings of changes in foreign currency exchange rates on merchandise purchases denominated in currencies other than the local currencies of our divisions, principally TJX Canada and TJX International. As we have not elected hedge accounting for these instruments, as defined by U.S. generally accepted accounting principles (“GAAP”), we record a mark-to-market gain or loss on the derivative instruments in our results of operations at the end of each reporting period. In subsequent periods, the income statement impact of the mark-to-market adjustment is effectively offset when the inventory being hedged is paid for. While these effects occur every reporting period, they are of much greater magnitude when there are sudden and significant changes in currency exchange rates during a short period of time. The mark-to-market adjustment on these derivatives does not affect net sales, but it does affect the cost of sales, operating margins and earnings we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Transactional Foreign Exchange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When discussing the impact on our results of the effect of foreign currency exchange rates on certain transactions, we refer to it as “transactional foreign exchange”. This primarily includes the impact that foreign currency exchange rates may have on the year-over-year comparison of merchandise margin as well as “foreign currency gains and losses” on transactions that are denominated in a currency other than the operating division's local currency. These two items can impact segment margin comparison of our foreign divisions and we have highlighted them when they are meaningful to understanding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Cost of Sales, Including Buying and Occupancy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including buying and occupancy costs, as a percentage of net sales was 66.6% for the second quarter of fiscal 2027, a decrease of 2.7 percentage points compared to 69.3% for the second quarter of fiscal 2026. The decrease in the cost of sales ratio, including buying and occupancy costs, for the second quarter of fiscal 2027 was driven by a net benefit from tariff refunds, and favorable merchandise margin due to higher markon.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including buying and occupancy costs, as a percentage of net sales was 67.6% for the first six months of fiscal 2027, a decrease of 2.3 percentage points compared to 69.9% for the first six months of fiscal 2026. The decrease in the cost of sales ratio, including buying and occupancy costs, for the first six months of fiscal 2027 was driven by a net benefit from tariff refunds, favorable merchandise margin due to higher markon, the favorable year-over-year impact related to the mark-to-market adjustments on inventory and fuel hedges and expense leverage on higher comp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Selling, General and Administrative Expenses</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as a percentage of net sales, was 20.3% for the second quarter of fiscal 2027, an increase of 0.8 percentage points compared to 19.5% for the second quarter of fiscal 2026.</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SG&amp;A expenses, as a percentage of net sales, was 19.9% for the first six months of fiscal 2027, an increase of 0.4 percentage points compared to 19.5% for the first six months of fiscal 2026.</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increase in the SG&amp;A ratio for both the second quarter and first six months of fiscal 2027 was driven by incremental compensation expense accruals related to tariff refunds received in the second quarter and incremental store wage and payroll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 xml:space="preserve">Interest (Income) Expense, net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interest (income) expense, net are summarized below:</w:t>
      </w:r>
    </w:p>
    <w:tbl>
      <w:tblPr>
        <w:tblW w:w="7726" w:type="dxa"/>
        <w:jc w:val="left"/>
        <w:tblInd w:w="0" w:type="dxa"/>
        <w:tblLayout w:type="fixed"/>
        <w:tblCellMar>
          <w:top w:w="28" w:type="dxa"/>
          <w:left w:w="28" w:type="dxa"/>
          <w:bottom w:w="28" w:type="dxa"/>
          <w:right w:w="28" w:type="dxa"/>
        </w:tblCellMar>
      </w:tblPr>
      <w:tblGrid>
        <w:gridCol w:w="918"/>
        <w:gridCol w:w="808"/>
        <w:gridCol w:w="809"/>
        <w:gridCol w:w="272"/>
        <w:gridCol w:w="562"/>
        <w:gridCol w:w="140"/>
        <w:gridCol w:w="272"/>
        <w:gridCol w:w="562"/>
        <w:gridCol w:w="140"/>
        <w:gridCol w:w="298"/>
        <w:gridCol w:w="577"/>
        <w:gridCol w:w="1028"/>
        <w:gridCol w:w="302"/>
        <w:gridCol w:w="247"/>
        <w:gridCol w:w="510"/>
        <w:gridCol w:w="127"/>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038" w:type="dxa"/>
            <w:gridSpan w:val="4"/>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298" w:type="dxa"/>
            <w:tcBorders/>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27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1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8"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30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(income) expense, net increased for both the second quarter and first six months of fiscal 2027 compared to the same periods in fiscal 2026, primarily due to an increase in interest income driven by a higher average cash balance, partially offset by a decrease in prevailing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Provision for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making permanent certain expiring provisions of the Tax Cuts and Jobs Act, including 100% accelerated depreciation deductions on qualified property and immediate expensing of domestic research and development costs, as well as modifying some of the international tax rules. These changes have not had a material impact on our income tax provision for either the second quarter or the first six months of fiscal 2027, and we do not expect them to have a material impact on our income tax provision for the fiscal year.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number of countries have enacted legislation to implement the Organization for Economic Cooperation and Development’s 15% global minimum tax regime (Pillar Two) with effect from January 1, 2024. A comprehensive Side-by-Side Package was released in January 2026, introducing additional safe harbors and options for companies headquartered in jurisdictions with a qualified Side-by-Side regime. Member countries must enact local legislation or update existing regulations to adopt and incorporate the Pillar Two Side-by-Side Package. We continue to evaluate the impacts of proposed and enacted legislation and regulations for the jurisdictions in which we operate.</w:t>
      </w:r>
    </w:p>
    <w:p>
      <w:pPr>
        <w:pStyle w:val="TextBody"/>
        <w:bidi w:val="0"/>
        <w:spacing w:lineRule="auto" w:line="288" w:before="120" w:after="120"/>
        <w:jc w:val="left"/>
        <w:rPr/>
      </w:pPr>
      <w:r>
        <w:rPr>
          <w:rFonts w:ascii="Times New Roman;serif" w:hAnsi="Times New Roman;serif"/>
          <w:b w:val="false"/>
          <w:color w:val="000000"/>
          <w:sz w:val="20"/>
          <w:shd w:fill="FFFFFF" w:val="clear"/>
        </w:rPr>
        <w:t>The e</w:t>
      </w:r>
      <w:r>
        <w:rPr>
          <w:rFonts w:ascii="Times New Roman;serif" w:hAnsi="Times New Roman;serif"/>
          <w:b w:val="false"/>
          <w:color w:val="000000"/>
          <w:sz w:val="20"/>
        </w:rPr>
        <w:t xml:space="preserve">ffective income tax rate was 24.7% for the second quarter of fiscal 2027 and 24.5% for the second quarter of fiscal 2026. The increase in the effective tax rate for the second quarter of fiscal 2027 was primarily due to an increase in nondeductible items and foreign withholding taxes, partially offset by an increase in the excess tax benefit from share-based compensation. </w:t>
      </w:r>
      <w:r>
        <w:rPr>
          <w:rFonts w:ascii="Times New Roman;serif" w:hAnsi="Times New Roman;serif"/>
          <w:b w:val="false"/>
          <w:color w:val="000000"/>
          <w:sz w:val="20"/>
          <w:shd w:fill="FFFFFF" w:val="clear"/>
        </w:rPr>
        <w:t>The e</w:t>
      </w:r>
      <w:r>
        <w:rPr>
          <w:rFonts w:ascii="Times New Roman;serif" w:hAnsi="Times New Roman;serif"/>
          <w:b w:val="false"/>
          <w:color w:val="000000"/>
          <w:sz w:val="20"/>
        </w:rPr>
        <w:t>ffective income tax rate was 23.7% for the first six months of fiscal 2027 and 23.9% for the first six months of fiscal 2026. The decrease in the effective income tax rate for the first six months of fiscal 2027 was primarily due to an increase in benefits from the acquisition of federal tax credits and an increase in the excess tax benefit from share-based compensation, partially offset by a reduction in benefits from audit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Net Income and Diluted 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was $1.5 billion, or $1.36 per diluted share, and $1.2 billion, or $1.10 per diluted share, for the second quarter of fiscal 2027 and fiscal 2026, respectively. The net benefit from tariff refunds resulted in a benefit of $0.14 on diluted earnings per share for the second quarter of fiscal 2027. Foreign currency had a $0.01 positive impact on diluted earnings per share for the second quarter of fiscal 2027 and a $0.02 positive impact on diluted earnings per share for the second quarter of fiscal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income was $2.9 billion, or $2.55 per diluted share, and $2.3 billion, or $2.02 per diluted share, for the first six months of fiscal 2027 and fiscal 2026, respectively. The net benefit from tariff refunds resulted in a benefit of $0.14 on diluted earnings per share for the first six months of fiscal 2027. Foreign currency had a $0.02 positive impact on diluted earnings per share for the first six months of fiscal 2027 and a neutral impact on diluted earnings per share for the first six months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Segment Information</w:t>
      </w:r>
    </w:p>
    <w:p>
      <w:pPr>
        <w:pStyle w:val="TextBody"/>
        <w:bidi w:val="0"/>
        <w:spacing w:lineRule="auto" w:line="288" w:before="0" w:after="120"/>
        <w:jc w:val="left"/>
        <w:rPr/>
      </w:pPr>
      <w:r>
        <w:rPr>
          <w:rFonts w:ascii="Times New Roman;serif" w:hAnsi="Times New Roman;serif"/>
          <w:b w:val="false"/>
          <w:color w:val="000000"/>
          <w:sz w:val="20"/>
        </w:rPr>
        <w:t>We operate four segments. In the United States, our Marmaxx segment operates TJ Maxx, Marshalls, tjmaxx.com and marshalls.com and our HomeGoods segment operates HomeGoods and Homesense. Our TJX Canada segment operates Winners, HomeSense and Marshalls in Canada, and our TJX International segment operates TK Maxx, Homesense, tkmaxx.com</w:t>
      </w:r>
      <w:r>
        <w:rPr>
          <w:rFonts w:ascii="Times New Roman;serif" w:hAnsi="Times New Roman;serif"/>
          <w:b w:val="false"/>
          <w:color w:val="000000"/>
          <w:sz w:val="20"/>
          <w:shd w:fill="FFFFFF" w:val="clear"/>
        </w:rPr>
        <w:t>, tkmaxx.de, and tkmaxx.at</w:t>
      </w:r>
      <w:r>
        <w:rPr>
          <w:color w:val="000000"/>
        </w:rPr>
        <w:t xml:space="preserve"> </w:t>
      </w:r>
      <w:r>
        <w:rPr>
          <w:rFonts w:ascii="Times New Roman;serif" w:hAnsi="Times New Roman;serif"/>
          <w:b w:val="false"/>
          <w:color w:val="000000"/>
          <w:sz w:val="20"/>
        </w:rPr>
        <w:t xml:space="preserve">in Europe and TK Maxx in Australia. In addition to our four segments, Sierra operates retail stores and sierra.com in the U.S. The results of Sierra are included in the Marmaxx segment.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our segments based on “segment profit or loss,” which we define as pre-tax income or loss before general corporate expense and interest (income) expense, net, and certain separately disclosed unusual or infrequent items. “Segment profit or loss,” as we define the term, may not be comparable to similarly titled measures used by other companies. The terms “segment margin” or “segment profit margin” are used to describe segment profit or loss as a percentage of net sales. These measures of performance should not be considered an alternative to net income or cash flows from operating activities, as an indicator of our performance or as a measure of liquidity.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Presented below is selected financial information related to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U.S. SEGMENTS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Marmaxx</w:t>
      </w:r>
    </w:p>
    <w:tbl>
      <w:tblPr>
        <w:tblW w:w="8833" w:type="dxa"/>
        <w:jc w:val="left"/>
        <w:tblInd w:w="0" w:type="dxa"/>
        <w:tblLayout w:type="fixed"/>
        <w:tblCellMar>
          <w:top w:w="28" w:type="dxa"/>
          <w:left w:w="28" w:type="dxa"/>
          <w:bottom w:w="28" w:type="dxa"/>
          <w:right w:w="28" w:type="dxa"/>
        </w:tblCellMar>
      </w:tblPr>
      <w:tblGrid>
        <w:gridCol w:w="1099"/>
        <w:gridCol w:w="964"/>
        <w:gridCol w:w="967"/>
        <w:gridCol w:w="211"/>
        <w:gridCol w:w="631"/>
        <w:gridCol w:w="301"/>
        <w:gridCol w:w="211"/>
        <w:gridCol w:w="616"/>
        <w:gridCol w:w="271"/>
        <w:gridCol w:w="177"/>
        <w:gridCol w:w="343"/>
        <w:gridCol w:w="1196"/>
        <w:gridCol w:w="489"/>
        <w:gridCol w:w="211"/>
        <w:gridCol w:w="721"/>
        <w:gridCol w:w="27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357" w:type="dxa"/>
            <w:gridSpan w:val="4"/>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dollars 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77" w:type="dxa"/>
            <w:tcBorders/>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9,109</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17,759</w:t>
            </w:r>
            <w:r>
              <w:rPr>
                <w:color w:val="000000"/>
              </w:rPr>
              <w:t>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2,693</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profit margin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in operation at end of period:</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 Maxx</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1,359</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Sierra </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2,782</w:t>
            </w:r>
            <w:r>
              <w:rPr>
                <w:color w:val="000000"/>
              </w:rPr>
              <w:t>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square footage at end of period (in millions):</w:t>
            </w:r>
          </w:p>
        </w:tc>
        <w:tc>
          <w:tcPr>
            <w:tcW w:w="177" w:type="dxa"/>
            <w:tcBorders/>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TJ Maxx</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Sierra </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4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Marmaxx were $9.1 billion for the second quarter of fiscal 2027, an increase of 3% compared to $8.8 billion for the second quarter of fiscal 2026. This increase in the second quarter reflects a 2% increase from non-comp sales and a 1% increase in comp sales.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Marmaxx were $17.8 billion for the first six months of fiscal 2027, an increase of 5% compared to $16.9 billion for the first six months of fiscal 2026. This increase in the first six months reflects a 3% increase in comp sales and a 2% increase from non-comp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of fiscal 2027, the increase in comp sales was driven by a higher average basket, partially offset by a decrease in customer transactions. For the first six months of fiscal 2027, the increase in comp sales was driven by a higher average basket and an increase in customer transactions. Both apparel comp sales growth and home sales growth performed in line with the overall comp sales increase for the second quarter of fiscal 2027. Apparel sales growth outperformed home comp sales growth for the first six months of fiscal 2027. Geographically, each region generally performed in line with comp sales growth for both the second quarter and first six months of fiscal 2027.</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Segment Profit Margin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Segment profit margin increased to 15.6% for the second quarter of fiscal 2027 compared to 14.2% for the same period last year. The increase in segment profit margin for the second quarter of fiscal 2027 was driven by a net benefit from tariff refunds and favorable merchandise margin due to higher markon, partially offset by expense deleverage on lower comp sales and incremental store wage and payroll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Segment profit margin increased to 15.2% for the first six months of fiscal 2027 compared to 14.0% for the same period last year. The increase in segment profit margin for the first six months of fiscal 2027 was driven by a net benefit from tariff refunds and favorable merchandise margin due to higher markon, partially offset by investments in supply chain and incremental store wage and payroll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Marmaxx e-commerce sites, tjmaxx.com and marshalls.com, together with sierra.com, represented approximately 2% of Marmaxx’s net sales for both the second quarter and first six months of fiscal 2027 and fiscal 2026, and did not have a significant impact on year-over-year segment margin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HomeGoods</w:t>
      </w:r>
    </w:p>
    <w:tbl>
      <w:tblPr>
        <w:tblW w:w="8726" w:type="dxa"/>
        <w:jc w:val="left"/>
        <w:tblInd w:w="0" w:type="dxa"/>
        <w:tblLayout w:type="fixed"/>
        <w:tblCellMar>
          <w:top w:w="28" w:type="dxa"/>
          <w:left w:w="28" w:type="dxa"/>
          <w:bottom w:w="28" w:type="dxa"/>
          <w:right w:w="28" w:type="dxa"/>
        </w:tblCellMar>
      </w:tblPr>
      <w:tblGrid>
        <w:gridCol w:w="1098"/>
        <w:gridCol w:w="963"/>
        <w:gridCol w:w="968"/>
        <w:gridCol w:w="211"/>
        <w:gridCol w:w="631"/>
        <w:gridCol w:w="301"/>
        <w:gridCol w:w="211"/>
        <w:gridCol w:w="616"/>
        <w:gridCol w:w="271"/>
        <w:gridCol w:w="192"/>
        <w:gridCol w:w="371"/>
        <w:gridCol w:w="1111"/>
        <w:gridCol w:w="530"/>
        <w:gridCol w:w="211"/>
        <w:gridCol w:w="616"/>
        <w:gridCol w:w="2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252" w:type="dxa"/>
            <w:gridSpan w:val="4"/>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dollars 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2,507</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5,013</w:t>
            </w:r>
            <w:r>
              <w:rPr>
                <w:color w:val="000000"/>
              </w:rPr>
              <w:t>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in operation at end of period:</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1,059</w:t>
            </w:r>
            <w:r>
              <w:rPr>
                <w:color w:val="000000"/>
              </w:rPr>
              <w:t> </w:t>
            </w:r>
          </w:p>
        </w:tc>
        <w:tc>
          <w:tcPr>
            <w:tcW w:w="5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square footage at end of period (in millions):</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5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HomeGoods were $2.5 billion for the second quarter of fiscal 2027, an increase of 10%, compared to $2.3 billion for the second quarter of fiscal 2026. This increase in the second quarter reflects a 7% increase in comp sales and a 3% increase from non-comp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HomeGoods were $5.0 billion for the first six months of fiscal 2027, an increase of 10%, compared to $4.5 billion for the first six months of fiscal 2026. This increase in the first six months reflects an 8% increase in comp sales and a 2% increase from non-comp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increase in comp sales was primarily driven by a higher average basket for both the second quarter and first six months of fiscal 2027. Both periods also had growth in customer transactions. Geographically, all regions saw strong comp sales growth for the second quarter and first six months of fiscal 2027.</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Segment Profit Margin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Segment profit margin increased to 17.6% for the second quarter of fiscal 2027 compared to 10.0% for the same period last year. This increase in segment profit margin for the second quarter of fiscal 2027 was primarily driven by a net benefit from tariff refunds, favorable merchandise margin, lower supply chain and store costs and expense leverage on higher comp sales, partially offset by incremental store wage and payroll costs. Merchandise margin reflects favorable markon and lower freight costs, partially offset by higher markdowns.</w:t>
      </w:r>
    </w:p>
    <w:p>
      <w:pPr>
        <w:pStyle w:val="TextBody"/>
        <w:bidi w:val="0"/>
        <w:spacing w:lineRule="auto" w:line="288" w:before="0" w:after="0"/>
        <w:jc w:val="left"/>
        <w:rPr/>
      </w:pPr>
      <w:r>
        <w:rPr>
          <w:rFonts w:ascii="Times New Roman;serif" w:hAnsi="Times New Roman;serif"/>
          <w:b w:val="false"/>
          <w:color w:val="000000"/>
          <w:sz w:val="20"/>
        </w:rPr>
        <w:t xml:space="preserve">Segment profit margin increased to 15.2% for the first six months of fiscal 2027 compared to 10.1% for the same period last year. This increase in segment profit margin for the first six months of fiscal 2027 was driven by a net benefit from tariff refunds, favorable merchandise margin, expense leverage on higher comp sales and lower supply chain and store costs, partially offset by incremental store wage and payroll costs. Merchandise margin reflects favorable markon and lower freight costs, partially offset </w:t>
      </w:r>
      <w:r>
        <w:rPr>
          <w:rFonts w:ascii="Times New Roman;serif" w:hAnsi="Times New Roman;serif"/>
          <w:b w:val="false"/>
          <w:color w:val="000000"/>
          <w:sz w:val="20"/>
          <w:shd w:fill="FFFFFF" w:val="clear"/>
        </w:rPr>
        <w:t>by</w:t>
      </w:r>
      <w:r>
        <w:rPr>
          <w:color w:val="000000"/>
        </w:rPr>
        <w:t xml:space="preserve"> </w:t>
      </w:r>
      <w:r>
        <w:rPr>
          <w:rFonts w:ascii="Times New Roman;serif" w:hAnsi="Times New Roman;serif"/>
          <w:b w:val="false"/>
          <w:color w:val="000000"/>
          <w:sz w:val="20"/>
        </w:rPr>
        <w:t>higher markdowns.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4"/>
        </w:rPr>
      </w:pPr>
      <w:r>
        <w:rPr>
          <w:rFonts w:ascii="Times New Roman;serif" w:hAnsi="Times New Roman;serif"/>
          <w:b/>
          <w:color w:val="000000"/>
          <w:sz w:val="24"/>
        </w:rPr>
        <w:t>FOREIGN SEGMENTS</w:t>
      </w:r>
    </w:p>
    <w:p>
      <w:pPr>
        <w:pStyle w:val="TextBody"/>
        <w:bidi w:val="0"/>
        <w:spacing w:lineRule="auto" w:line="288" w:before="120" w:after="60"/>
        <w:jc w:val="left"/>
        <w:rPr>
          <w:rFonts w:ascii="Times New Roman;serif" w:hAnsi="Times New Roman;serif"/>
          <w:b/>
          <w:i/>
          <w:color w:val="000000"/>
          <w:sz w:val="22"/>
        </w:rPr>
      </w:pPr>
      <w:r>
        <w:rPr>
          <w:rFonts w:ascii="Times New Roman;serif" w:hAnsi="Times New Roman;serif"/>
          <w:b/>
          <w:i/>
          <w:color w:val="000000"/>
          <w:sz w:val="22"/>
        </w:rPr>
        <w:t>TJX Canada</w:t>
      </w:r>
    </w:p>
    <w:tbl>
      <w:tblPr>
        <w:tblW w:w="8726" w:type="dxa"/>
        <w:jc w:val="left"/>
        <w:tblInd w:w="0" w:type="dxa"/>
        <w:tblLayout w:type="fixed"/>
        <w:tblCellMar>
          <w:top w:w="28" w:type="dxa"/>
          <w:left w:w="28" w:type="dxa"/>
          <w:bottom w:w="28" w:type="dxa"/>
          <w:right w:w="28" w:type="dxa"/>
        </w:tblCellMar>
      </w:tblPr>
      <w:tblGrid>
        <w:gridCol w:w="1098"/>
        <w:gridCol w:w="963"/>
        <w:gridCol w:w="968"/>
        <w:gridCol w:w="211"/>
        <w:gridCol w:w="631"/>
        <w:gridCol w:w="301"/>
        <w:gridCol w:w="211"/>
        <w:gridCol w:w="616"/>
        <w:gridCol w:w="271"/>
        <w:gridCol w:w="192"/>
        <w:gridCol w:w="371"/>
        <w:gridCol w:w="1111"/>
        <w:gridCol w:w="530"/>
        <w:gridCol w:w="211"/>
        <w:gridCol w:w="616"/>
        <w:gridCol w:w="2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252" w:type="dxa"/>
            <w:gridSpan w:val="4"/>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dollars 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2,755</w:t>
            </w:r>
            <w:r>
              <w:rPr>
                <w:color w:val="000000"/>
              </w:rPr>
              <w:t>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in operation at end of period:</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Winners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w:t>
            </w:r>
            <w:r>
              <w:rPr>
                <w:color w:val="000000"/>
              </w:rPr>
              <w:t>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square footage at end of period (in millions):</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Winners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5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TJX Canada were $1.5 billion for the second quarter of fiscal 2027, an increase of 6%, compared to $1.4 billion for the second quarter of fiscal 2026. This increase in the second quarter reflects a 6% increase in comp sales, a 2% increase from non-comp sales, partially offset by a negative foreign currency impact of 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TJX Canada were $2.8 billion for the first six months of fiscal 2027, an increase of 9%, compared to $2.5 billion for the first six months of fiscal 2026. This increase in the first six months reflects a 7% increase in comp sales, a 1% increase from non-comp sales and a positive foreign currency impact of 1%.</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increase in comp sales for both the second quarter and first six months of fiscal 2027 was driven by an increase in customer transactions and a higher average basket.</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Segment Profit Margin</w:t>
      </w:r>
    </w:p>
    <w:p>
      <w:pPr>
        <w:pStyle w:val="TextBody"/>
        <w:bidi w:val="0"/>
        <w:spacing w:lineRule="auto" w:line="288" w:before="0" w:after="120"/>
        <w:jc w:val="left"/>
        <w:rPr/>
      </w:pPr>
      <w:r>
        <w:rPr>
          <w:rFonts w:ascii="Times New Roman;serif" w:hAnsi="Times New Roman;serif"/>
          <w:b w:val="false"/>
          <w:color w:val="000000"/>
          <w:sz w:val="20"/>
        </w:rPr>
        <w:t xml:space="preserve">Segment profit margin decreased to 15.6% for the second quarter of fiscal 2027 compared to 16.0% for the same period last year. This decrease for the second quarter of fiscal 2027 was primarily driven by </w:t>
      </w:r>
      <w:r>
        <w:rPr>
          <w:rFonts w:ascii="Times New Roman;serif" w:hAnsi="Times New Roman;serif"/>
          <w:b w:val="false"/>
          <w:color w:val="000000"/>
          <w:sz w:val="20"/>
          <w:shd w:fill="FFFFFF" w:val="clear"/>
        </w:rPr>
        <w:t xml:space="preserve">incremental compensation expense accruals related to tariff refunds </w:t>
      </w:r>
      <w:r>
        <w:rPr>
          <w:rFonts w:ascii="Times New Roman;serif" w:hAnsi="Times New Roman;serif"/>
          <w:b w:val="false"/>
          <w:color w:val="000000"/>
          <w:sz w:val="20"/>
        </w:rPr>
        <w:t xml:space="preserve">and additional payroll costs, partially offset by expense leverage on higher comp sales and favorable merchandise margin. </w:t>
      </w:r>
      <w:r>
        <w:rPr>
          <w:rFonts w:ascii="Times New Roman;serif" w:hAnsi="Times New Roman;serif"/>
          <w:b w:val="false"/>
          <w:color w:val="000000"/>
          <w:sz w:val="20"/>
          <w:shd w:fill="FFFFFF" w:val="clear"/>
        </w:rPr>
        <w:t>Within merchandise margin, higher markon was driven by the positive impact of transactional foreign exchange on the cost of merchandise</w:t>
      </w:r>
      <w:r>
        <w:rPr>
          <w:rFonts w:ascii="Times New Roman;serif" w:hAnsi="Times New Roman;serif"/>
          <w:b w:val="false"/>
          <w:color w:val="000000"/>
          <w:sz w:val="20"/>
        </w:rPr>
        <w:t xml:space="preserve">, partially offset by higher freight costs. </w:t>
      </w:r>
    </w:p>
    <w:p>
      <w:pPr>
        <w:pStyle w:val="TextBody"/>
        <w:bidi w:val="0"/>
        <w:spacing w:lineRule="auto" w:line="288" w:before="0" w:after="120"/>
        <w:jc w:val="left"/>
        <w:rPr/>
      </w:pPr>
      <w:r>
        <w:rPr>
          <w:rFonts w:ascii="Times New Roman;serif" w:hAnsi="Times New Roman;serif"/>
          <w:b w:val="false"/>
          <w:color w:val="000000"/>
          <w:sz w:val="20"/>
        </w:rPr>
        <w:t>Segment profit margin increased to 13.8% for the first six months of fiscal 2027 compared to 13.6% for the same period last year. This increase for the first six months of fiscal 2027 was driven by expense leverage on higher comp sales, partially offset by</w:t>
      </w:r>
      <w:r>
        <w:rPr>
          <w:color w:val="000000"/>
          <w:shd w:fill="FFFFFF" w:val="clear"/>
        </w:rPr>
        <w:t xml:space="preserve"> </w:t>
      </w:r>
      <w:r>
        <w:rPr>
          <w:rFonts w:ascii="Times New Roman;serif" w:hAnsi="Times New Roman;serif"/>
          <w:b w:val="false"/>
          <w:color w:val="000000"/>
          <w:sz w:val="20"/>
          <w:shd w:fill="FFFFFF" w:val="clear"/>
        </w:rPr>
        <w:t>incremental compensation expense accruals related to tariff refunds.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TJX International</w:t>
      </w:r>
    </w:p>
    <w:tbl>
      <w:tblPr>
        <w:tblW w:w="8726" w:type="dxa"/>
        <w:jc w:val="left"/>
        <w:tblInd w:w="0" w:type="dxa"/>
        <w:tblLayout w:type="fixed"/>
        <w:tblCellMar>
          <w:top w:w="28" w:type="dxa"/>
          <w:left w:w="28" w:type="dxa"/>
          <w:bottom w:w="28" w:type="dxa"/>
          <w:right w:w="28" w:type="dxa"/>
        </w:tblCellMar>
      </w:tblPr>
      <w:tblGrid>
        <w:gridCol w:w="1098"/>
        <w:gridCol w:w="963"/>
        <w:gridCol w:w="968"/>
        <w:gridCol w:w="211"/>
        <w:gridCol w:w="631"/>
        <w:gridCol w:w="301"/>
        <w:gridCol w:w="211"/>
        <w:gridCol w:w="616"/>
        <w:gridCol w:w="271"/>
        <w:gridCol w:w="192"/>
        <w:gridCol w:w="371"/>
        <w:gridCol w:w="1111"/>
        <w:gridCol w:w="530"/>
        <w:gridCol w:w="211"/>
        <w:gridCol w:w="616"/>
        <w:gridCol w:w="2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1252" w:type="dxa"/>
            <w:gridSpan w:val="4"/>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dollars 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3,976</w:t>
            </w:r>
            <w:r>
              <w:rPr>
                <w:color w:val="000000"/>
              </w:rPr>
              <w:t>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Stores in operation at end of period:</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TK Maxx (Europe)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 (Europe)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TK Maxx (Australia)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w:t>
            </w:r>
            <w:r>
              <w:rPr>
                <w:color w:val="000000"/>
              </w:rPr>
              <w:t> </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square footage at end of period (in millions):</w:t>
            </w:r>
          </w:p>
        </w:tc>
        <w:tc>
          <w:tcPr>
            <w:tcW w:w="192"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TK Maxx (Europe)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 (Europe)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TK Maxx (Australia)</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5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TJX International were $2.1 billion for the second quarter of fiscal 2027, an increase of 11%, compared to $1.9 billion for the second quarter of fiscal 2026. This increase in the second quarter reflects a 7% increase in comp sales, a 3% increase from non-comp sales and a positive foreign currency impact of 1%.</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sales for TJX International were $4.0 billion for the first six months of fiscal 2027, an increase of 12%, compared to $3.6 billion for the first six months of fiscal 2026. This increase in the first six months reflects a 6% increase in comp sales, positive foreign currency impact of 4% and a 2% increase from non-comp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increase in comp sales for both the second quarter and first six months of fiscal 2027 was driven by an increase in customer transactions and a higher average basket.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E-commerce sales represented approximately 3% of TJX International’s net sales for both the second quarter and first six months of fiscal 2027 and 2026. </w:t>
      </w:r>
    </w:p>
    <w:p>
      <w:pPr>
        <w:pStyle w:val="TextBody"/>
        <w:bidi w:val="0"/>
        <w:spacing w:lineRule="auto" w:line="288" w:before="0" w:after="120"/>
        <w:jc w:val="left"/>
        <w:rPr>
          <w:rFonts w:ascii="Times New Roman;serif" w:hAnsi="Times New Roman;serif"/>
          <w:b w:val="false"/>
          <w:i/>
          <w:color w:val="000000"/>
          <w:sz w:val="22"/>
        </w:rPr>
      </w:pPr>
      <w:r>
        <w:rPr>
          <w:rFonts w:ascii="Times New Roman;serif" w:hAnsi="Times New Roman;serif"/>
          <w:b w:val="false"/>
          <w:i/>
          <w:color w:val="000000"/>
          <w:sz w:val="22"/>
        </w:rPr>
        <w:t>Segment Profit Margin</w:t>
      </w:r>
    </w:p>
    <w:p>
      <w:pPr>
        <w:pStyle w:val="TextBody"/>
        <w:bidi w:val="0"/>
        <w:spacing w:lineRule="auto" w:line="288" w:before="0" w:after="120"/>
        <w:jc w:val="left"/>
        <w:rPr/>
      </w:pPr>
      <w:r>
        <w:rPr>
          <w:rFonts w:ascii="Times New Roman;serif" w:hAnsi="Times New Roman;serif"/>
          <w:b w:val="false"/>
          <w:color w:val="000000"/>
          <w:sz w:val="20"/>
        </w:rPr>
        <w:t xml:space="preserve">Segment profit margin increased to 6.4% for the second quarter of fiscal 2027 compared to 5.2% for the same period last year. This increase for the second quarter of fiscal 2027 </w:t>
      </w:r>
      <w:r>
        <w:rPr>
          <w:rFonts w:ascii="Times New Roman;serif" w:hAnsi="Times New Roman;serif"/>
          <w:b w:val="false"/>
          <w:color w:val="000000"/>
          <w:sz w:val="20"/>
          <w:shd w:fill="FFFFFF" w:val="clear"/>
        </w:rPr>
        <w:t>was primarily driven by favorable merchandise margin and expense leverage on higher comp sales, partially offset by incremental compensation expense accruals related to tariff refunds. Within merchandise margin, higher markon was driven by the positive impact of transactional foreign exchange on the cost of merchandise.</w:t>
      </w:r>
    </w:p>
    <w:p>
      <w:pPr>
        <w:pStyle w:val="TextBody"/>
        <w:bidi w:val="0"/>
        <w:spacing w:lineRule="auto" w:line="288" w:before="0" w:after="120"/>
        <w:jc w:val="left"/>
        <w:rPr/>
      </w:pPr>
      <w:r>
        <w:rPr>
          <w:rFonts w:ascii="Times New Roman;serif" w:hAnsi="Times New Roman;serif"/>
          <w:b w:val="false"/>
          <w:color w:val="000000"/>
          <w:sz w:val="20"/>
        </w:rPr>
        <w:t xml:space="preserve">Segment profit margin increased to 5.6% for the first six months of fiscal 2027 compared to 4.8% for the same period last year. This increase for the first six months of fiscal 2027 </w:t>
      </w:r>
      <w:r>
        <w:rPr>
          <w:rFonts w:ascii="Times New Roman;serif" w:hAnsi="Times New Roman;serif"/>
          <w:b w:val="false"/>
          <w:color w:val="000000"/>
          <w:sz w:val="20"/>
          <w:shd w:fill="FFFFFF" w:val="clear"/>
        </w:rPr>
        <w:t>was driven by favorable merchandise margin and expense leverage on higher comp sales, partially offset incremental compensation expense accruals related to tariff refunds</w:t>
      </w:r>
      <w:r>
        <w:rPr>
          <w:color w:val="000000"/>
        </w:rPr>
        <w:t xml:space="preserve"> </w:t>
      </w:r>
      <w:r>
        <w:rPr>
          <w:rFonts w:ascii="Times New Roman;serif" w:hAnsi="Times New Roman;serif"/>
          <w:b w:val="false"/>
          <w:color w:val="000000"/>
          <w:sz w:val="20"/>
          <w:shd w:fill="FFFFFF" w:val="clear"/>
        </w:rPr>
        <w:t xml:space="preserve">and incremental store wage and payroll costs. </w:t>
      </w:r>
      <w:r>
        <w:rPr>
          <w:rFonts w:ascii="Times New Roman;serif" w:hAnsi="Times New Roman;serif"/>
          <w:b w:val="false"/>
          <w:color w:val="000000"/>
          <w:sz w:val="20"/>
        </w:rPr>
        <w:t>Within merchandise margin, higher markon was driven by the positive impact of transactional foreign exchange on the cost of merchandise.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GENERAL CORPORATE EXPENSE</w:t>
      </w:r>
    </w:p>
    <w:tbl>
      <w:tblPr>
        <w:tblW w:w="7347" w:type="dxa"/>
        <w:jc w:val="left"/>
        <w:tblInd w:w="0" w:type="dxa"/>
        <w:tblLayout w:type="fixed"/>
        <w:tblCellMar>
          <w:top w:w="28" w:type="dxa"/>
          <w:left w:w="28" w:type="dxa"/>
          <w:bottom w:w="28" w:type="dxa"/>
          <w:right w:w="28" w:type="dxa"/>
        </w:tblCellMar>
      </w:tblPr>
      <w:tblGrid>
        <w:gridCol w:w="820"/>
        <w:gridCol w:w="718"/>
        <w:gridCol w:w="726"/>
        <w:gridCol w:w="259"/>
        <w:gridCol w:w="591"/>
        <w:gridCol w:w="134"/>
        <w:gridCol w:w="259"/>
        <w:gridCol w:w="572"/>
        <w:gridCol w:w="134"/>
        <w:gridCol w:w="262"/>
        <w:gridCol w:w="510"/>
        <w:gridCol w:w="1164"/>
        <w:gridCol w:w="268"/>
        <w:gridCol w:w="236"/>
        <w:gridCol w:w="522"/>
        <w:gridCol w:w="172"/>
      </w:tblGrid>
      <w:tr>
        <w:trPr/>
        <w:tc>
          <w:tcPr>
            <w:tcW w:w="8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Thirteen Weeks Ended</w:t>
            </w:r>
          </w:p>
        </w:tc>
        <w:tc>
          <w:tcPr>
            <w:tcW w:w="22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Twenty-Six Weeks Ended</w:t>
            </w:r>
          </w:p>
        </w:tc>
        <w:tc>
          <w:tcPr>
            <w:tcW w:w="930" w:type="dxa"/>
            <w:gridSpan w:val="3"/>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c>
          <w:tcPr>
            <w:tcW w:w="262" w:type="dxa"/>
            <w:tcBorders/>
            <w:vAlign w:val="center"/>
          </w:tcPr>
          <w:p>
            <w:pPr>
              <w:pStyle w:val="TableContents"/>
              <w:bidi w:val="0"/>
              <w:spacing w:before="0" w:after="283"/>
              <w:jc w:val="left"/>
              <w:rPr>
                <w:sz w:val="4"/>
                <w:szCs w:val="4"/>
              </w:rPr>
            </w:pPr>
            <w:r>
              <w:rPr>
                <w:sz w:val="4"/>
                <w:szCs w:val="4"/>
              </w:rPr>
            </w:r>
          </w:p>
        </w:tc>
        <w:tc>
          <w:tcPr>
            <w:tcW w:w="1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1,</w:t>
              <w:br/>
              <w:t>2026</w:t>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w:t>
              <w:br/>
              <w:t>2025</w:t>
            </w:r>
          </w:p>
        </w:tc>
      </w:tr>
      <w:tr>
        <w:trPr/>
        <w:tc>
          <w:tcPr>
            <w:tcW w:w="226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expense</w:t>
            </w:r>
          </w:p>
        </w:tc>
        <w:tc>
          <w:tcPr>
            <w:tcW w:w="2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w:t>
            </w:r>
            <w:r>
              <w:rPr>
                <w:color w:val="000000"/>
              </w:rPr>
              <w:t> </w:t>
            </w:r>
          </w:p>
        </w:tc>
        <w:tc>
          <w:tcPr>
            <w:tcW w:w="1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w:t>
            </w:r>
            <w:r>
              <w:rPr>
                <w:color w:val="000000"/>
              </w:rPr>
              <w:t> </w:t>
            </w:r>
          </w:p>
        </w:tc>
        <w:tc>
          <w:tcPr>
            <w:tcW w:w="2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General corporate expense for segment reporting purposes represents those costs not specifically related to the operations of our segments. General corporate expenses are primarily included in SG&amp;A expenses. The mark-to-market adjustment of our fuel and inventory hedges is included in Cost of sales, including buying and occupancy costs.</w:t>
      </w:r>
    </w:p>
    <w:p>
      <w:pPr>
        <w:pStyle w:val="TextBody"/>
        <w:bidi w:val="0"/>
        <w:spacing w:lineRule="auto" w:line="288" w:before="0" w:after="120"/>
        <w:jc w:val="left"/>
        <w:rPr/>
      </w:pPr>
      <w:r>
        <w:rPr>
          <w:rFonts w:ascii="Times New Roman;serif" w:hAnsi="Times New Roman;serif"/>
          <w:b w:val="false"/>
          <w:color w:val="000000"/>
          <w:sz w:val="20"/>
        </w:rPr>
        <w:t xml:space="preserve">The increase in general corporate expense for the second quarter of fiscal 2027 was primarily driven by the unfavorable year-over-year impact related to the mark-to-market adjustments on inventory and fuel hedge, </w:t>
      </w:r>
      <w:r>
        <w:rPr>
          <w:rFonts w:ascii="Times New Roman;serif" w:hAnsi="Times New Roman;serif"/>
          <w:b w:val="false"/>
          <w:color w:val="000000"/>
          <w:sz w:val="20"/>
          <w:shd w:fill="FFFFFF" w:val="clear"/>
        </w:rPr>
        <w:t xml:space="preserve">incremental compensation expense accruals related to tariff refunds </w:t>
      </w:r>
      <w:r>
        <w:rPr>
          <w:rFonts w:ascii="Times New Roman;serif" w:hAnsi="Times New Roman;serif"/>
          <w:b w:val="false"/>
          <w:color w:val="000000"/>
          <w:sz w:val="20"/>
        </w:rPr>
        <w:t>and higher other administrative costs.</w:t>
      </w:r>
    </w:p>
    <w:p>
      <w:pPr>
        <w:pStyle w:val="TextBody"/>
        <w:bidi w:val="0"/>
        <w:spacing w:lineRule="auto" w:line="288" w:before="0" w:after="120"/>
        <w:jc w:val="left"/>
        <w:rPr/>
      </w:pPr>
      <w:r>
        <w:rPr>
          <w:rFonts w:ascii="Times New Roman;serif" w:hAnsi="Times New Roman;serif"/>
          <w:b w:val="false"/>
          <w:color w:val="000000"/>
          <w:sz w:val="20"/>
        </w:rPr>
        <w:t xml:space="preserve">The decrease in general corporate expense for the first six months of fiscal 2027 was primarily driven by the favorable year-over-year impact related to the mark-to-market adjustments on inventory and fuel hedge, partially offset by higher other administrative costs, </w:t>
      </w:r>
      <w:r>
        <w:rPr>
          <w:rFonts w:ascii="Times New Roman;serif" w:hAnsi="Times New Roman;serif"/>
          <w:b w:val="false"/>
          <w:color w:val="000000"/>
          <w:sz w:val="20"/>
          <w:shd w:fill="FFFFFF" w:val="clear"/>
        </w:rPr>
        <w:t>incremental compensation expense accruals related to tariff refunds</w:t>
      </w:r>
      <w:r>
        <w:rPr>
          <w:color w:val="000000"/>
        </w:rPr>
        <w:t xml:space="preserve"> </w:t>
      </w:r>
      <w:r>
        <w:rPr>
          <w:rFonts w:ascii="Times New Roman;serif" w:hAnsi="Times New Roman;serif"/>
          <w:b w:val="false"/>
          <w:color w:val="000000"/>
          <w:sz w:val="20"/>
        </w:rPr>
        <w:t>and higher incentive compensation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ANALYSIS OF FINANCIAL CONDITION</w:t>
      </w:r>
    </w:p>
    <w:p>
      <w:pPr>
        <w:pStyle w:val="TextBody"/>
        <w:bidi w:val="0"/>
        <w:spacing w:lineRule="auto" w:line="288" w:before="0" w:after="120"/>
        <w:jc w:val="left"/>
        <w:rPr>
          <w:rFonts w:ascii="Times New Roman;serif" w:hAnsi="Times New Roman;serif"/>
          <w:b/>
          <w:i/>
          <w:color w:val="000000"/>
          <w:sz w:val="22"/>
        </w:rPr>
      </w:pPr>
      <w:r>
        <w:rPr>
          <w:rFonts w:ascii="Times New Roman;serif" w:hAnsi="Times New Roman;serif"/>
          <w:b/>
          <w:i/>
          <w:color w:val="000000"/>
          <w:sz w:val="22"/>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liquidity requirements have traditionally been funded through cash generated from operations, supplemented, as needed, by short-term bank borrowings and the issuance of commercial paper. As of August 1, 2026, there were no short-term bank borrowings or commercial paper outstanding. We believe our existing cash and cash equivalents, internally generated funds and our credit facilities, under which facilities we have $1.5 billion available as of the period ended August 1, 2026, are adequate to meet our operating needs for the foreseeable future. Our 2.250% ten-year Notes due September 2026 will mature during our third quarter of fiscal 2027 and are included within our current maturities of long-term debt. For more information, see Note I—Long-Term Debt and Credit Lines of Notes to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August 1, 2026, we held $6.0 billion in cash. Our foreign subsidiaries held $1.6 billion in cash, including approximately $730 million, which represents working capital and is considered indefinitely reinvested. Cash generated from earnings in certain foreign subsidiaries in fiscal 2027 is not considered indefinitely reinvested. We have provided for and recorded a deferred tax liability for all applicable taxes on undistributed earnings of our foreign subsidiaries that are not indefinitely reinvested through August 1, 2026. If we repatriate cash from such subsidiaries, we do not expect to incur additional tax expense and our cash would be reduced by the amount of any taxes paid.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monitor debt financing markets on an ongoing basis and from time to time may incur additional long-term indebtedness depending on prevailing market conditions, liquidity requirements, existing economic conditions and other factors. Periodically, we have used, and in the future we may again use, operating cash flow and cash on hand to repay portions of our indebtedness, depending on prevailing market conditions, liquidity requirements, existing economic conditions, contractual restrictions and other factors. As such, we may, from time to time, seek to retire, redeem, prepay or purchase our outstanding debt through redemptions, cash purchases, prepayments, refinancings and/or exchanges, in open market purchases, privately negotiated transactions, by tender offer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resulted in net cash inflows of $3.3 billion for the six months ended August 1, 2026 and $2.2 billion for the six months ended August 2,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increased $1.1 billion compared to fiscal 2026 primarily due to an increase in net income, which includes the receipt of tariff refunds, and a decrease of prepaid expenses and other current assets related to the receipt of the credit card interchange fees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Investing activities resulted in net cash outflows of $1.2 billion for the six months ended August 1, 2026 and $969 million for the six months ended August 2, 2025. The cash outflows for both periods were driven by capital expenditures.</w:t>
      </w:r>
    </w:p>
    <w:p>
      <w:pPr>
        <w:pStyle w:val="TextBody"/>
        <w:bidi w:val="0"/>
        <w:spacing w:lineRule="auto" w:line="288" w:before="120" w:after="120"/>
        <w:jc w:val="left"/>
        <w:rPr/>
      </w:pPr>
      <w:r>
        <w:rPr>
          <w:rFonts w:ascii="Times New Roman;serif" w:hAnsi="Times New Roman;serif"/>
          <w:b w:val="false"/>
          <w:color w:val="000000"/>
          <w:sz w:val="20"/>
        </w:rPr>
        <w:t xml:space="preserve">Capital expenditures in the first six months of fiscal 2027 primarily reflected store improvements and renovations, investments in our new stores, as well as investments in our distribution centers and offices, including information technology. We anticipate that capital spending for the full </w:t>
      </w:r>
      <w:r>
        <w:rPr>
          <w:rFonts w:ascii="Times New Roman;serif" w:hAnsi="Times New Roman;serif"/>
          <w:b w:val="false"/>
          <w:color w:val="000000"/>
          <w:sz w:val="20"/>
          <w:shd w:fill="FFFFFF" w:val="clear"/>
        </w:rPr>
        <w:t>fiscal year 2027 will be approximately $2.2 billion to $2.3 billion</w:t>
      </w:r>
      <w:r>
        <w:rPr>
          <w:rFonts w:ascii="Times New Roman;serif" w:hAnsi="Times New Roman;serif"/>
          <w:b w:val="false"/>
          <w:color w:val="000000"/>
          <w:sz w:val="20"/>
        </w:rPr>
        <w:t>. We plan to fund these expenditures with our existing cash balances and through internally generated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Financing activities resulted in net cash outflows of $2.4 billion for the first six months of fiscal 2027 and $2 billion for the first six months of fiscal 2026. The cash outflows for both periods were primarily driven by equity repurchases and dividend payments.</w:t>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Debt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repay the $1 billion 2.250% ten-year Notes due September 2026 during the third quarter of fiscal 2027 upon maturity using operating cash flows. For more information, see Note I – Long-Term debt and Credit Lines of Notes to Consolidated Financial Statements.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Equity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stock repurchase program, we paid $1.4 billion to repurchase and retire 8.9 million shares of our stock in the first six months of fiscal 2027. We paid $1.1 billion to repurchase and retire 9.2 million shares of our stock in the first six months of fiscal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currently plan to repurchase approximately $2.75 billion to $3.0 billion of common stock under our stock repurchase program for fiscal 2027. As of August 1, 2026, approximately $2.7 billion remained available under our existing stock repurchase program. For further information regarding equity repurchases, see Note D – Capital Stock and Earnings Per Share of Notes to Consolidated Financial Statements.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declared quarterly dividends on our common stock of $0.48 per share for each of the quarters in the first six months of fiscal 2027 and $0.425 per share for each of the quarters in the first six months of fiscal 2026. Cash payments for dividends on our common stock totaled $1 billion for the first six months of fiscal 2027 and $898 million for the first six months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critical accounting estimates as discussed in TJX's Annual Report on Form 10-K for the fiscal year ended January 31, 2026. </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RECENTLY ISSUED ACCOUNTING PRONOUNCEMENTS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a discussion of accounting standards, see Note A—Basis of Presentation and Summary of Significant Accounting Policies of Notes to Consolidated Financial Statements included in TJX’s Annual Report on Form 10-K for the fiscal year ended January 31, 2026 and Note A—Basis of Presentation and Summary of Significant Accounting Policies of Notes to Consolidated Financial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(“Form 10-Q”) contains “forward-looking statements.” These forward-looking statements generally can be identified by the use of words such as “aim,” “anticipate,” “approximately,” “believe,” “continue,” “could,” “estimate,” “expect,” “forecast,” “goal,” “intend,” “may,” “plan,” “potential,” “project,” “seek,” “should,” “strive,” “target,” “will,” and “would,” or any variations of these words or other words with similar meanings. These forward-looking statements address various matters that we intend, expect or believe may occur in the future, including, among others, some of the statements in this Form 10-Q under Item 1, “Consolidated Financial Statements” and Item 2, “Management’s Discussion and Analysis of Financial Condition and Results of Operations,” relating to, among others, the Company's anticipated operating and financial performance, business plans and prospects, investments, the availability of merchandise, execution of our business model, payment of dividends, plans for future stock repurchases, future use and availability of cash and cash equivalents, expected capital expenditures, trends in demand for our products, the impact of foreign exchange rates, expectations with respect to future store openings, the recovery of tariff refunds and the impact of fuel resources and supply chain on our inventory flow and financial performance and plans with respect to long-term indebtedness. Each forward-looking statement contained in this Form 10-Q is inherently subject to risks, uncertainties and potentially inaccurate assumptions that could cause actual results to differ materially from those expressed or implied by such statement.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quarterly and annual operating results, financial performance, business plan prospects, investments and market expectations; inventory or asset loss; cash flow</w:t>
      </w:r>
      <w:r>
        <w:rPr>
          <w:color w:val="0000FF"/>
        </w:rPr>
        <w:t xml:space="preserve"> </w:t>
      </w:r>
      <w:r>
        <w:rPr>
          <w:rFonts w:ascii="Times New Roman;serif" w:hAnsi="Times New Roman;serif"/>
          <w:b w:val="false"/>
          <w:color w:val="000000"/>
          <w:sz w:val="20"/>
        </w:rPr>
        <w:t>and plans with respect to long-term indebtedness;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fluctuations in fuel prices;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our most recent Annual Report on Form 10-K for the fiscal year ended January 31, 2026, as well as the other information we file with the U.S. Securities and Exchange Commission (“SEC”).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investors, potential investors, and others not to place considerable reliance on the forward-looking statements contained in this Form 10-Q. You are encouraged to read our filings with the SEC and any further disclosures we may make in our future reports to the SEC, available at www.sec.gov, on our website, or otherwise, for a discussion of these and other risks and uncertainties. Our forward-looking statements in this report speak only as of the date of this Form 10-Q, and we undertake no obligation to update or revise any of these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lineRule="auto" w:line="288" w:before="0" w:after="120"/>
        <w:jc w:val="left"/>
        <w:rPr/>
      </w:pPr>
      <w:r>
        <w:rPr>
          <w:rFonts w:ascii="Times New Roman;serif" w:hAnsi="Times New Roman;serif"/>
          <w:b w:val="false"/>
          <w:color w:val="000000"/>
          <w:sz w:val="20"/>
        </w:rPr>
        <w:t>There have been no material changes in our primary risk exposures or management of market risks from those disclosed in our Annual Report on Form 10-K for the</w:t>
      </w:r>
      <w:r>
        <w:rPr>
          <w:color w:val="000000"/>
          <w:shd w:fill="FFFFFF" w:val="clear"/>
        </w:rPr>
        <w:t xml:space="preserve"> </w:t>
      </w:r>
      <w:r>
        <w:rPr>
          <w:rFonts w:ascii="Times New Roman;serif" w:hAnsi="Times New Roman;serif"/>
          <w:b w:val="false"/>
          <w:color w:val="000000"/>
          <w:sz w:val="20"/>
          <w:shd w:fill="FFFFFF" w:val="clear"/>
        </w:rPr>
        <w:t>fiscal year ended January 31,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carried out an evaluation, under the supervision and with the participation of our management, including our Chief Executive Officer and Chief Financial Officer, of the effectiveness of the design and operation of our disclosure controls and procedures as of August 1, 2026 pursuant to Rules 13a-15(b) and 15d-15(b) of the Securities Exchange Act of 1934, as amended (the “Act”). Based upon that evaluation, our Chief Executive Officer and Chief Financial Officer concluded that our disclosure controls and procedures are effective at the reasonable assurance level in ensuring that information required to be disclosed by us in the reports that we file or submit under the Act is (i) recorded, processed, summarized and reported, within the time periods specified in the Securities and Exchange Commission’s rules and forms; and (ii) accumulated and communicated to our management, including our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implementing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 13a-15(f) and 15d-15(f) under the Act) during the fiscal quarter ended August 1, 2026 identified in connection with the evaluation by our management, including our Chief Executive Officer and Chief Financial Officer,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lineRule="auto" w:line="288" w:before="0" w:after="120"/>
        <w:jc w:val="left"/>
        <w:rPr/>
      </w:pPr>
      <w:r>
        <w:rPr>
          <w:rFonts w:ascii="Times New Roman;serif" w:hAnsi="Times New Roman;serif"/>
          <w:b w:val="false"/>
          <w:color w:val="000000"/>
          <w:sz w:val="20"/>
        </w:rPr>
        <w:t xml:space="preserve">See Legal Contingencies in </w:t>
      </w:r>
      <w:hyperlink w:anchor="iaca973bffad4446680ed8aaaec6787a3_67">
        <w:r>
          <w:rPr>
            <w:rStyle w:val="InternetLink"/>
            <w:rFonts w:ascii="Times New Roman;serif" w:hAnsi="Times New Roman;serif"/>
            <w:b w:val="false"/>
            <w:color w:val="0000FF"/>
            <w:sz w:val="20"/>
            <w:u w:val="single"/>
          </w:rPr>
          <w:t>Note K—Contingent Obligations, Contingencies, and Commitments</w:t>
        </w:r>
      </w:hyperlink>
      <w:r>
        <w:rPr>
          <w:color w:val="000000"/>
        </w:rPr>
        <w:t xml:space="preserve"> </w:t>
      </w:r>
      <w:r>
        <w:rPr>
          <w:rFonts w:ascii="Times New Roman;serif" w:hAnsi="Times New Roman;serif"/>
          <w:b w:val="false"/>
          <w:color w:val="000000"/>
          <w:sz w:val="20"/>
        </w:rPr>
        <w:t xml:space="preserve">of Notes to Consolidated Financial Statements for information on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0" w:after="120"/>
        <w:jc w:val="left"/>
        <w:rPr/>
      </w:pPr>
      <w:r>
        <w:rPr>
          <w:rFonts w:ascii="Times New Roman;serif" w:hAnsi="Times New Roman;serif"/>
          <w:b w:val="false"/>
          <w:color w:val="000000"/>
          <w:sz w:val="20"/>
        </w:rPr>
        <w:t xml:space="preserve">There have been no material changes to the risk factors disclosed in the “Risk Factors” section of our Annual Report on Form 10-K for the year ended </w:t>
      </w:r>
      <w:r>
        <w:rPr>
          <w:rFonts w:ascii="Times New Roman;serif" w:hAnsi="Times New Roman;serif"/>
          <w:b w:val="false"/>
          <w:color w:val="000000"/>
          <w:sz w:val="20"/>
          <w:shd w:fill="FFFFFF" w:val="clear"/>
        </w:rPr>
        <w:t>January 31, 2026</w:t>
      </w:r>
      <w:r>
        <w:rPr>
          <w:rFonts w:ascii="Times New Roman;serif" w:hAnsi="Times New Roman;serif"/>
          <w:b w:val="false"/>
          <w:color w:val="000000"/>
          <w:sz w:val="20"/>
        </w:rPr>
        <w:t>, as filed with the Securities and Exchange Commission on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lineRule="auto" w:line="288" w:before="0" w:after="60"/>
        <w:jc w:val="left"/>
        <w:rPr>
          <w:rFonts w:ascii="Times New Roman;serif" w:hAnsi="Times New Roman;serif"/>
          <w:b/>
          <w:color w:val="000000"/>
          <w:sz w:val="22"/>
        </w:rPr>
      </w:pPr>
      <w:r>
        <w:rPr>
          <w:rFonts w:ascii="Times New Roman;serif" w:hAnsi="Times New Roman;serif"/>
          <w:b/>
          <w:color w:val="000000"/>
          <w:sz w:val="22"/>
        </w:rPr>
        <w:t>INFORMATION ON SHARE REPURCHASES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repurchased by TJX during the second quarter of fiscal 2027 and the average price paid per share are as follows:</w:t>
      </w:r>
    </w:p>
    <w:tbl>
      <w:tblPr>
        <w:tblW w:w="9754" w:type="dxa"/>
        <w:jc w:val="left"/>
        <w:tblInd w:w="0" w:type="dxa"/>
        <w:tblLayout w:type="fixed"/>
        <w:tblCellMar>
          <w:top w:w="28" w:type="dxa"/>
          <w:left w:w="28" w:type="dxa"/>
          <w:bottom w:w="28" w:type="dxa"/>
          <w:right w:w="28" w:type="dxa"/>
        </w:tblCellMar>
      </w:tblPr>
      <w:tblGrid>
        <w:gridCol w:w="1123"/>
        <w:gridCol w:w="989"/>
        <w:gridCol w:w="993"/>
        <w:gridCol w:w="510"/>
        <w:gridCol w:w="510"/>
        <w:gridCol w:w="511"/>
        <w:gridCol w:w="331"/>
        <w:gridCol w:w="1133"/>
        <w:gridCol w:w="172"/>
        <w:gridCol w:w="570"/>
        <w:gridCol w:w="570"/>
        <w:gridCol w:w="571"/>
        <w:gridCol w:w="219"/>
        <w:gridCol w:w="1390"/>
        <w:gridCol w:w="162"/>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p>
            <w:pPr>
              <w:pStyle w:val="TableContents"/>
              <w:bidi w:val="0"/>
              <w:spacing w:lineRule="auto" w:line="240" w:before="0" w:after="0"/>
              <w:jc w:val="center"/>
              <w:rPr/>
            </w:pPr>
            <w:r>
              <w:rPr>
                <w:rFonts w:ascii="Times New Roman;serif" w:hAnsi="Times New Roman;serif"/>
                <w:b w:val="false"/>
                <w:color w:val="000000"/>
                <w:sz w:val="20"/>
              </w:rPr>
              <w:t>Repurchased</w:t>
            </w:r>
            <w:r>
              <w:rPr>
                <w:rFonts w:ascii="Times New Roman;serif" w:hAnsi="Times New Roman;serif"/>
                <w:b w:val="false"/>
                <w:color w:val="000000"/>
                <w:sz w:val="12"/>
              </w:rPr>
              <w:t>(a)</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 Price Paid</w:t>
            </w:r>
          </w:p>
          <w:p>
            <w:pPr>
              <w:pStyle w:val="TableContents"/>
              <w:bidi w:val="0"/>
              <w:spacing w:lineRule="auto" w:line="240" w:before="0" w:after="0"/>
              <w:jc w:val="center"/>
              <w:rPr/>
            </w:pPr>
            <w:r>
              <w:rPr>
                <w:rFonts w:ascii="Times New Roman;serif" w:hAnsi="Times New Roman;serif"/>
                <w:b w:val="false"/>
                <w:color w:val="000000"/>
                <w:sz w:val="20"/>
              </w:rPr>
              <w:t>Per Share</w:t>
            </w:r>
            <w:r>
              <w:rPr>
                <w:rFonts w:ascii="Times New Roman;serif" w:hAnsi="Times New Roman;serif"/>
                <w:b w:val="false"/>
                <w:color w:val="000000"/>
                <w:sz w:val="12"/>
              </w:rPr>
              <w:t>(b)</w:t>
            </w:r>
          </w:p>
        </w:tc>
        <w:tc>
          <w:tcPr>
            <w:tcW w:w="17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Shares Purchased as</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Part of Publicly</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Announced</w:t>
            </w:r>
          </w:p>
          <w:p>
            <w:pPr>
              <w:pStyle w:val="TableContents"/>
              <w:bidi w:val="0"/>
              <w:spacing w:lineRule="auto" w:line="240" w:before="0" w:after="0"/>
              <w:jc w:val="center"/>
              <w:rPr/>
            </w:pPr>
            <w:r>
              <w:rPr>
                <w:rFonts w:ascii="Times New Roman;serif" w:hAnsi="Times New Roman;serif"/>
                <w:b w:val="false"/>
                <w:color w:val="000000"/>
                <w:sz w:val="20"/>
              </w:rPr>
              <w:t>Plans or Programs</w:t>
            </w:r>
            <w:r>
              <w:rPr>
                <w:rFonts w:ascii="Times New Roman;serif" w:hAnsi="Times New Roman;serif"/>
                <w:b w:val="false"/>
                <w:color w:val="000000"/>
                <w:sz w:val="12"/>
              </w:rPr>
              <w:t>(a)</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Dollar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Value of Shares that</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May Yet be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Purchased Under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Plans or</w:t>
            </w:r>
          </w:p>
          <w:p>
            <w:pPr>
              <w:pStyle w:val="TableContents"/>
              <w:bidi w:val="0"/>
              <w:spacing w:lineRule="auto" w:line="240" w:before="0" w:after="0"/>
              <w:jc w:val="center"/>
              <w:rPr/>
            </w:pPr>
            <w:r>
              <w:rPr>
                <w:rFonts w:ascii="Times New Roman;serif" w:hAnsi="Times New Roman;serif"/>
                <w:b w:val="false"/>
                <w:color w:val="000000"/>
                <w:sz w:val="20"/>
              </w:rPr>
              <w:t>Programs</w:t>
            </w:r>
            <w:r>
              <w:rPr>
                <w:rFonts w:ascii="Times New Roman;serif" w:hAnsi="Times New Roman;serif"/>
                <w:b w:val="false"/>
                <w:color w:val="000000"/>
                <w:sz w:val="12"/>
              </w:rPr>
              <w:t>(c)</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through May 30, 2026</w:t>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679,306 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679,306 </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3,361,048,115 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through July 4, 2026</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2,632,354 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2,632,354 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2,943,450,643 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5, 2026 through August 1, 2026</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1,785,456 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1,785,456 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2,668,094,758 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5,097,116</w:t>
            </w:r>
            <w:r>
              <w:rPr>
                <w:color w:val="000000"/>
              </w:rPr>
              <w:t> </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5,097,116</w:t>
            </w:r>
            <w:r>
              <w:rPr>
                <w:color w:val="000000"/>
              </w:rPr>
              <w:t> </w:t>
            </w:r>
          </w:p>
        </w:tc>
        <w:tc>
          <w:tcPr>
            <w:tcW w:w="5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(a)Consists of shares repurchased under publicly announced stock repurchase programs.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(b)Includes commissions for the shares repurchased under stock repurchase programs.</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(c)In February 2026, we announced that our Board of Directors had approved a new stock repurchase program that authorized the repurchase of up to an additional $3.0 billion of our common stock from time to time. Under this program, we had approximately $2.7 billion available for repurchase as of August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August 1, 2026, none of our directors or officers adopted, materially modified, or terminated a “Rule 10b5-1 trading arrangement” or “non-Rule 10b5-1 trading arrangement,” as those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89"/>
        <w:gridCol w:w="254"/>
        <w:gridCol w:w="255"/>
        <w:gridCol w:w="2392"/>
        <w:gridCol w:w="2392"/>
        <w:gridCol w:w="2413"/>
        <w:gridCol w:w="227"/>
        <w:gridCol w:w="192"/>
        <w:gridCol w:w="129"/>
        <w:gridCol w:w="242"/>
        <w:gridCol w:w="242"/>
        <w:gridCol w:w="238"/>
        <w:gridCol w:w="227"/>
        <w:gridCol w:w="201"/>
        <w:gridCol w:w="134"/>
        <w:gridCol w:w="109"/>
        <w:gridCol w:w="109"/>
        <w:gridCol w:w="160"/>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 by Reference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w:t>
              <w:br/>
              <w: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71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tjx-20260801xex311.htm">
              <w:r>
                <w:rPr>
                  <w:rStyle w:val="InternetLink"/>
                  <w:rFonts w:ascii="Times New Roman;serif" w:hAnsi="Times New Roman;serif"/>
                  <w:b w:val="false"/>
                  <w:color w:val="0000FF"/>
                  <w:sz w:val="20"/>
                  <w:u w:val="single"/>
                </w:rPr>
                <w:t>Certification of Chief Executive Officer pursuant to Section 302 of the Sarbanes-Oxley Act of 2002, filed herewith</w:t>
              </w:r>
            </w:hyperlink>
          </w:p>
        </w:tc>
        <w:tc>
          <w:tcPr>
            <w:tcW w:w="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jx-20260801xex312.htm">
              <w:r>
                <w:rPr>
                  <w:rStyle w:val="InternetLink"/>
                  <w:rFonts w:ascii="Times New Roman;serif" w:hAnsi="Times New Roman;serif"/>
                  <w:b w:val="false"/>
                  <w:color w:val="0000FF"/>
                  <w:sz w:val="20"/>
                  <w:u w:val="single"/>
                </w:rPr>
                <w:t>Certification of Chief Financial Officer pursuant to Section 302 of the Sarbanes-Oxley Act of 2002, filed herewith</w:t>
              </w:r>
            </w:hyperlink>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jx-20260801xex321.htm">
              <w:r>
                <w:rPr>
                  <w:rStyle w:val="InternetLink"/>
                  <w:rFonts w:ascii="Times New Roman;serif" w:hAnsi="Times New Roman;serif"/>
                  <w:b w:val="false"/>
                  <w:color w:val="0000FF"/>
                  <w:sz w:val="20"/>
                  <w:u w:val="single"/>
                </w:rPr>
                <w:t>Certification of Chief Executive Officer pursuant to Section 906 of the Sarbanes-Oxley Act of 2002, filed herewith</w:t>
              </w:r>
            </w:hyperlink>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jx-20260801xex322.htm">
              <w:r>
                <w:rPr>
                  <w:rStyle w:val="InternetLink"/>
                  <w:rFonts w:ascii="Times New Roman;serif" w:hAnsi="Times New Roman;serif"/>
                  <w:b w:val="false"/>
                  <w:color w:val="0000FF"/>
                  <w:sz w:val="20"/>
                  <w:u w:val="single"/>
                </w:rPr>
                <w:t>Certification of Chief Financial Officer pursuant to Section 906 of the Sarbanes-Oxley Act of 2002, filed herewith</w:t>
              </w:r>
            </w:hyperlink>
          </w:p>
        </w:tc>
        <w:tc>
          <w:tcPr>
            <w:tcW w:w="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TJX Companies, Inc.’s Quarterly Report on Form 10-Q for the quarter ended August 1, 2026, formatted in Inline XBRL (Extensible Business Reporting Language): (i) the Consolidated Statements of Income, (ii) the Consolidated Statements of Comprehensive Income, (iii) the Consolidated Balance Sheets, (iv) the Consolidated Statements of Cash Flows, (v) the Consolidated Statements of Shareholders’ Equity, and (vi) Notes to Consolidated Financial Statements.</w:t>
            </w:r>
          </w:p>
        </w:tc>
        <w:tc>
          <w:tcPr>
            <w:tcW w:w="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1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TJX Companies, Inc.’s Quarterly Report on Form 10-Q for the quarter ended August 1, 2026, formatted in Inline XBRL (included in Exhibit 101)</w:t>
            </w:r>
          </w:p>
        </w:tc>
        <w:tc>
          <w:tcPr>
            <w:tcW w:w="5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 Schedules and certain portions of this exhibit are omitted pursuant to Item 601 of Regulation S-K. The Company agrees to furnish a supplemental copy of any omitted schedule or exhibit to the Securities and Exchange Commission upon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SIGNATURE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69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101"/>
        <w:gridCol w:w="1101"/>
        <w:gridCol w:w="156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TJX COMPANIES,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Klinger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Klinger,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Section 302 Certification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Ernie Herrman,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3"/>
        <w:gridCol w:w="959"/>
        <w:gridCol w:w="959"/>
        <w:gridCol w:w="2342"/>
        <w:gridCol w:w="1855"/>
        <w:gridCol w:w="26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The TJX Companies,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7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1123"/>
        <w:gridCol w:w="1123"/>
        <w:gridCol w:w="159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Ernie Herrman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Ernie Herrman</w:t>
              <w:br/>
              <w:t>Title:    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John Klinger,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03"/>
        <w:gridCol w:w="959"/>
        <w:gridCol w:w="959"/>
        <w:gridCol w:w="2342"/>
        <w:gridCol w:w="1855"/>
        <w:gridCol w:w="26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The TJX Companies,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6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7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772"/>
        <w:gridCol w:w="772"/>
        <w:gridCol w:w="109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Klinger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Klinger</w:t>
              <w:b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Executive Officer of The TJX Companies, Inc. (the “Company”), does hereby certify that to my knowledge: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Form 10-Q for the fiscal quarter ended August 1, 2026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Company’s Form 10-Q for the fiscal quarter ended August 1, 2026 fairly presents, in all material respects, the financial condition and results of operations of the Company.</w:t>
            </w:r>
          </w:p>
        </w:tc>
      </w:tr>
    </w:tbl>
    <w:tbl>
      <w:tblPr>
        <w:tblW w:w="4182" w:type="dxa"/>
        <w:jc w:val="left"/>
        <w:tblInd w:w="0" w:type="dxa"/>
        <w:tblLayout w:type="fixed"/>
        <w:tblCellMar>
          <w:top w:w="28" w:type="dxa"/>
          <w:left w:w="28" w:type="dxa"/>
          <w:bottom w:w="28" w:type="dxa"/>
          <w:right w:w="28" w:type="dxa"/>
        </w:tblCellMar>
      </w:tblPr>
      <w:tblGrid>
        <w:gridCol w:w="124"/>
        <w:gridCol w:w="109"/>
        <w:gridCol w:w="109"/>
        <w:gridCol w:w="1123"/>
        <w:gridCol w:w="1123"/>
        <w:gridCol w:w="1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Ernie Herrman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Ernie Herrman</w:t>
              <w:br/>
              <w:t>Title:    Chief Executive Officer and President</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CHAPTER 63 OF TITLE 18, UNITED STATES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as adopted pursuant to Section 906 of the Sarbanes-Oxley Act of 2002, the undersigned, as Chief Financial Officer of The TJX Companies, Inc. (the “Company”), does hereby certify that to my knowledge: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Form 10-Q for the fiscal quarter ended August 1, 2026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Company’s Form 10-Q for the fiscal quarter ended August 1, 2026 fairly presents, in all material respects, the financial condition and results of operations of the Company.</w:t>
            </w:r>
          </w:p>
        </w:tc>
      </w:tr>
    </w:tbl>
    <w:tbl>
      <w:tblPr>
        <w:tblW w:w="2982" w:type="dxa"/>
        <w:jc w:val="left"/>
        <w:tblInd w:w="0" w:type="dxa"/>
        <w:tblLayout w:type="fixed"/>
        <w:tblCellMar>
          <w:top w:w="28" w:type="dxa"/>
          <w:left w:w="28" w:type="dxa"/>
          <w:bottom w:w="28" w:type="dxa"/>
          <w:right w:w="28" w:type="dxa"/>
        </w:tblCellMar>
      </w:tblPr>
      <w:tblGrid>
        <w:gridCol w:w="124"/>
        <w:gridCol w:w="109"/>
        <w:gridCol w:w="109"/>
        <w:gridCol w:w="772"/>
        <w:gridCol w:w="772"/>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Klinger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John Klinger</w:t>
              <w:br/>
              <w:t>Title:    Chief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Dated: August 28,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17472</Words>
  <Characters>93123</Characters>
  <CharactersWithSpaces>109077</CharactersWithSpaces>
  <Paragraphs>2778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