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UNITED STATES</w:t>
      </w:r>
    </w:p>
    <w:p>
      <w:pPr>
        <w:jc w:val="center"/>
        <w:spacing w:after="0" w:line="221" w:lineRule="auto"/>
        <w:rPr>
          <w:sz w:val="20"/>
          <w:szCs w:val="20"/>
          <w:color w:val="auto"/>
        </w:rPr>
      </w:pPr>
      <w:r>
        <w:rPr>
          <w:rFonts w:ascii="Arial" w:cs="Arial" w:eastAsia="Arial" w:hAnsi="Arial"/>
          <w:sz w:val="14"/>
          <w:szCs w:val="14"/>
          <w:color w:val="auto"/>
        </w:rPr>
        <w:t>SECURITIES AND EXCHANGE COMMISSION</w:t>
      </w:r>
    </w:p>
    <w:p>
      <w:pPr>
        <w:jc w:val="center"/>
        <w:spacing w:after="0"/>
        <w:rPr>
          <w:sz w:val="20"/>
          <w:szCs w:val="20"/>
          <w:color w:val="auto"/>
        </w:rPr>
      </w:pPr>
      <w:r>
        <w:rPr>
          <w:rFonts w:ascii="Arial" w:cs="Arial" w:eastAsia="Arial" w:hAnsi="Arial"/>
          <w:sz w:val="14"/>
          <w:szCs w:val="14"/>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10-K</w:t>
      </w:r>
    </w:p>
    <w:p>
      <w:pPr>
        <w:spacing w:after="0" w:line="64" w:lineRule="exact"/>
        <w:rPr>
          <w:sz w:val="24"/>
          <w:szCs w:val="24"/>
          <w:color w:val="auto"/>
        </w:rPr>
      </w:pPr>
    </w:p>
    <w:p>
      <w:pPr>
        <w:jc w:val="center"/>
        <w:ind w:left="4060" w:right="2160" w:hanging="1889"/>
        <w:spacing w:after="0" w:line="255" w:lineRule="auto"/>
        <w:tabs>
          <w:tab w:leader="none" w:pos="2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Annual Report Pursuant to Section 13 or 15(d) of the Securities Exchange Act of 1934 For the fiscal year ended February 3, 2018</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2320" w:hanging="251"/>
        <w:spacing w:after="0"/>
        <w:tabs>
          <w:tab w:leader="none" w:pos="2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w:t>
      </w:r>
    </w:p>
    <w:p>
      <w:pPr>
        <w:spacing w:after="0" w:line="19" w:lineRule="exact"/>
        <w:rPr>
          <w:sz w:val="24"/>
          <w:szCs w:val="24"/>
          <w:color w:val="auto"/>
        </w:rPr>
      </w:pPr>
    </w:p>
    <w:p>
      <w:pPr>
        <w:ind w:left="3660"/>
        <w:spacing w:after="0"/>
        <w:tabs>
          <w:tab w:leader="none" w:pos="67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3786505</wp:posOffset>
            </wp:positionH>
            <wp:positionV relativeFrom="paragraph">
              <wp:posOffset>-21590</wp:posOffset>
            </wp:positionV>
            <wp:extent cx="1146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617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1-4908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The TJX Companies,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4" w:right="239" w:bottom="1440" w:gutter="0" w:footer="0" w:header="0"/>
        </w:sectPr>
      </w:pP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color w:val="auto"/>
        </w:rPr>
        <w:t>Delaware</w:t>
      </w:r>
    </w:p>
    <w:p>
      <w:pPr>
        <w:spacing w:after="0" w:line="227" w:lineRule="auto"/>
        <w:rPr>
          <w:sz w:val="20"/>
          <w:szCs w:val="20"/>
          <w:color w:val="auto"/>
        </w:rPr>
      </w:pPr>
      <w:r>
        <w:rPr>
          <w:rFonts w:ascii="Arial" w:cs="Arial" w:eastAsia="Arial" w:hAnsi="Arial"/>
          <w:sz w:val="14"/>
          <w:szCs w:val="14"/>
          <w:color w:val="auto"/>
        </w:rPr>
        <w:t>(State or other jurisdiction of incorporation or organization)</w:t>
      </w:r>
    </w:p>
    <w:p>
      <w:pPr>
        <w:spacing w:after="0" w:line="235" w:lineRule="auto"/>
        <w:rPr>
          <w:sz w:val="20"/>
          <w:szCs w:val="20"/>
          <w:color w:val="auto"/>
        </w:rPr>
      </w:pPr>
      <w:r>
        <w:rPr>
          <w:rFonts w:ascii="Arial" w:cs="Arial" w:eastAsia="Arial" w:hAnsi="Arial"/>
          <w:sz w:val="18"/>
          <w:szCs w:val="18"/>
          <w:color w:val="auto"/>
        </w:rPr>
        <w:t>770 Cochituate Road</w:t>
      </w:r>
    </w:p>
    <w:p>
      <w:pPr>
        <w:spacing w:after="0" w:line="230" w:lineRule="auto"/>
        <w:rPr>
          <w:sz w:val="20"/>
          <w:szCs w:val="20"/>
          <w:color w:val="auto"/>
        </w:rPr>
      </w:pPr>
      <w:r>
        <w:rPr>
          <w:rFonts w:ascii="Arial" w:cs="Arial" w:eastAsia="Arial" w:hAnsi="Arial"/>
          <w:sz w:val="18"/>
          <w:szCs w:val="18"/>
          <w:color w:val="auto"/>
        </w:rPr>
        <w:t>Framingham, Massachusetts</w:t>
      </w:r>
    </w:p>
    <w:p>
      <w:pPr>
        <w:spacing w:after="0" w:line="227" w:lineRule="auto"/>
        <w:rPr>
          <w:sz w:val="20"/>
          <w:szCs w:val="20"/>
          <w:color w:val="auto"/>
        </w:rPr>
      </w:pPr>
      <w:r>
        <w:rPr>
          <w:rFonts w:ascii="Arial" w:cs="Arial" w:eastAsia="Arial" w:hAnsi="Arial"/>
          <w:sz w:val="14"/>
          <w:szCs w:val="14"/>
          <w:color w:val="auto"/>
        </w:rPr>
        <w:t>(Address of principal executive offices)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 (508) 390-1000</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Title of each class</w:t>
      </w:r>
    </w:p>
    <w:p>
      <w:pPr>
        <w:spacing w:after="0"/>
        <w:rPr>
          <w:sz w:val="20"/>
          <w:szCs w:val="20"/>
          <w:color w:val="auto"/>
        </w:rPr>
      </w:pPr>
      <w:r>
        <w:rPr>
          <w:rFonts w:ascii="Arial" w:cs="Arial" w:eastAsia="Arial" w:hAnsi="Arial"/>
          <w:sz w:val="18"/>
          <w:szCs w:val="18"/>
          <w:color w:val="auto"/>
        </w:rPr>
        <w:t>Common Stock, par value $1.00 per share</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04-2207613</w:t>
      </w:r>
    </w:p>
    <w:p>
      <w:pPr>
        <w:ind w:left="460"/>
        <w:spacing w:after="0"/>
        <w:rPr>
          <w:sz w:val="20"/>
          <w:szCs w:val="20"/>
          <w:color w:val="auto"/>
        </w:rPr>
      </w:pPr>
      <w:r>
        <w:rPr>
          <w:rFonts w:ascii="Arial" w:cs="Arial" w:eastAsia="Arial" w:hAnsi="Arial"/>
          <w:sz w:val="12"/>
          <w:szCs w:val="12"/>
          <w:color w:val="auto"/>
        </w:rPr>
        <w:t>(IRS Employer Identification No.)</w:t>
      </w:r>
    </w:p>
    <w:p>
      <w:pPr>
        <w:spacing w:after="0" w:line="20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01701</w:t>
      </w:r>
    </w:p>
    <w:p>
      <w:pPr>
        <w:jc w:val="center"/>
        <w:ind w:right="242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Name of each exchange</w:t>
      </w:r>
    </w:p>
    <w:p>
      <w:pPr>
        <w:spacing w:after="0" w:line="234" w:lineRule="auto"/>
        <w:rPr>
          <w:sz w:val="20"/>
          <w:szCs w:val="20"/>
          <w:color w:val="auto"/>
        </w:rPr>
      </w:pPr>
      <w:r>
        <w:rPr>
          <w:rFonts w:ascii="Arial" w:cs="Arial" w:eastAsia="Arial" w:hAnsi="Arial"/>
          <w:sz w:val="18"/>
          <w:szCs w:val="18"/>
          <w:u w:val="single" w:color="auto"/>
          <w:color w:val="auto"/>
        </w:rPr>
        <w:t>on which registered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306" w:lineRule="exact"/>
        <w:rPr>
          <w:sz w:val="24"/>
          <w:szCs w:val="24"/>
          <w:color w:val="auto"/>
        </w:rPr>
      </w:pPr>
    </w:p>
    <w:p>
      <w:pPr>
        <w:sectPr>
          <w:pgSz w:w="11900" w:h="16838" w:orient="portrait"/>
          <w:cols w:equalWidth="0" w:num="2">
            <w:col w:w="6720" w:space="720"/>
            <w:col w:w="3980"/>
          </w:cols>
          <w:pgMar w:left="240" w:top="234" w:right="239" w:bottom="1440" w:gutter="0" w:footer="0" w:header="0"/>
          <w:type w:val="continuous"/>
        </w:sectPr>
      </w:pPr>
    </w:p>
    <w:p>
      <w:pPr>
        <w:ind w:right="780"/>
        <w:spacing w:after="0" w:line="334"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X ] NO [ ] Indicate by check mark if the registrant is not required to file reports pursuant to Section 13 or Section 15(d) of the Act. YES [ ] NO [ X ]</w:t>
      </w:r>
    </w:p>
    <w:p>
      <w:pPr>
        <w:spacing w:after="0" w:line="1" w:lineRule="exact"/>
        <w:rPr>
          <w:sz w:val="24"/>
          <w:szCs w:val="24"/>
          <w:color w:val="auto"/>
        </w:rPr>
      </w:pPr>
    </w:p>
    <w:p>
      <w:pPr>
        <w:jc w:val="both"/>
        <w:ind w:right="180"/>
        <w:spacing w:after="0" w:line="23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46" w:lineRule="exact"/>
        <w:rPr>
          <w:sz w:val="24"/>
          <w:szCs w:val="24"/>
          <w:color w:val="auto"/>
        </w:rPr>
      </w:pPr>
    </w:p>
    <w:p>
      <w:pPr>
        <w:ind w:right="120"/>
        <w:spacing w:after="0" w:line="23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X ] NO [ ]</w:t>
      </w:r>
    </w:p>
    <w:p>
      <w:pPr>
        <w:spacing w:after="0" w:line="46" w:lineRule="exact"/>
        <w:rPr>
          <w:sz w:val="24"/>
          <w:szCs w:val="24"/>
          <w:color w:val="auto"/>
        </w:rPr>
      </w:pPr>
    </w:p>
    <w:p>
      <w:pPr>
        <w:jc w:val="both"/>
        <w:ind w:right="100"/>
        <w:spacing w:after="0" w:line="238"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 ]</w:t>
      </w:r>
    </w:p>
    <w:p>
      <w:pPr>
        <w:spacing w:after="0" w:line="46" w:lineRule="exact"/>
        <w:rPr>
          <w:sz w:val="24"/>
          <w:szCs w:val="24"/>
          <w:color w:val="auto"/>
        </w:rPr>
      </w:pPr>
    </w:p>
    <w:p>
      <w:pPr>
        <w:ind w:right="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rPr>
              <w:t>Large Accelerated Filer [ X ]</w:t>
            </w:r>
          </w:p>
        </w:tc>
        <w:tc>
          <w:tcPr>
            <w:tcW w:w="2240" w:type="dxa"/>
            <w:vAlign w:val="bottom"/>
          </w:tcPr>
          <w:p>
            <w:pPr>
              <w:ind w:left="300"/>
              <w:spacing w:after="0"/>
              <w:rPr>
                <w:sz w:val="20"/>
                <w:szCs w:val="20"/>
                <w:color w:val="auto"/>
              </w:rPr>
            </w:pPr>
            <w:r>
              <w:rPr>
                <w:rFonts w:ascii="Arial" w:cs="Arial" w:eastAsia="Arial" w:hAnsi="Arial"/>
                <w:sz w:val="18"/>
                <w:szCs w:val="18"/>
                <w:color w:val="auto"/>
              </w:rPr>
              <w:t>Accelerated Filer [  ]</w:t>
            </w:r>
          </w:p>
        </w:tc>
        <w:tc>
          <w:tcPr>
            <w:tcW w:w="2540" w:type="dxa"/>
            <w:vAlign w:val="bottom"/>
          </w:tcPr>
          <w:p>
            <w:pPr>
              <w:ind w:left="280"/>
              <w:spacing w:after="0"/>
              <w:rPr>
                <w:sz w:val="20"/>
                <w:szCs w:val="20"/>
                <w:color w:val="auto"/>
              </w:rPr>
            </w:pPr>
            <w:r>
              <w:rPr>
                <w:rFonts w:ascii="Arial" w:cs="Arial" w:eastAsia="Arial" w:hAnsi="Arial"/>
                <w:sz w:val="18"/>
                <w:szCs w:val="18"/>
                <w:color w:val="auto"/>
              </w:rPr>
              <w:t>Non-Accelerated Filer [  ]</w:t>
            </w:r>
          </w:p>
        </w:tc>
        <w:tc>
          <w:tcPr>
            <w:tcW w:w="2960" w:type="dxa"/>
            <w:vAlign w:val="bottom"/>
          </w:tcPr>
          <w:p>
            <w:pPr>
              <w:ind w:left="240"/>
              <w:spacing w:after="0"/>
              <w:rPr>
                <w:sz w:val="20"/>
                <w:szCs w:val="20"/>
                <w:color w:val="auto"/>
              </w:rPr>
            </w:pPr>
            <w:r>
              <w:rPr>
                <w:rFonts w:ascii="Arial" w:cs="Arial" w:eastAsia="Arial" w:hAnsi="Arial"/>
                <w:sz w:val="14"/>
                <w:szCs w:val="14"/>
                <w:color w:val="auto"/>
                <w:w w:val="95"/>
              </w:rPr>
              <w:t>(Do not check if a smaller reporting company)</w:t>
            </w:r>
          </w:p>
        </w:tc>
      </w:tr>
      <w:tr>
        <w:trPr>
          <w:trHeight w:val="211"/>
        </w:trPr>
        <w:tc>
          <w:tcPr>
            <w:tcW w:w="2880" w:type="dxa"/>
            <w:vAlign w:val="bottom"/>
          </w:tcPr>
          <w:p>
            <w:pPr>
              <w:spacing w:after="0"/>
              <w:rPr>
                <w:sz w:val="20"/>
                <w:szCs w:val="20"/>
                <w:color w:val="auto"/>
              </w:rPr>
            </w:pPr>
            <w:r>
              <w:rPr>
                <w:rFonts w:ascii="Arial" w:cs="Arial" w:eastAsia="Arial" w:hAnsi="Arial"/>
                <w:sz w:val="18"/>
                <w:szCs w:val="18"/>
                <w:color w:val="auto"/>
              </w:rPr>
              <w:t>Smaller Reporting Company [  ]</w:t>
            </w:r>
          </w:p>
        </w:tc>
        <w:tc>
          <w:tcPr>
            <w:tcW w:w="4780" w:type="dxa"/>
            <w:vAlign w:val="bottom"/>
            <w:gridSpan w:val="2"/>
          </w:tcPr>
          <w:p>
            <w:pPr>
              <w:ind w:left="320"/>
              <w:spacing w:after="0"/>
              <w:rPr>
                <w:sz w:val="20"/>
                <w:szCs w:val="20"/>
                <w:color w:val="auto"/>
              </w:rPr>
            </w:pPr>
            <w:r>
              <w:rPr>
                <w:rFonts w:ascii="Arial" w:cs="Arial" w:eastAsia="Arial" w:hAnsi="Arial"/>
                <w:sz w:val="18"/>
                <w:szCs w:val="18"/>
                <w:color w:val="auto"/>
              </w:rPr>
              <w:t>Emerging Growth Company [  ]</w:t>
            </w:r>
          </w:p>
        </w:tc>
        <w:tc>
          <w:tcPr>
            <w:tcW w:w="2960" w:type="dxa"/>
            <w:vAlign w:val="bottom"/>
          </w:tcPr>
          <w:p>
            <w:pPr>
              <w:spacing w:after="0"/>
              <w:rPr>
                <w:sz w:val="18"/>
                <w:szCs w:val="18"/>
                <w:color w:val="auto"/>
              </w:rPr>
            </w:pPr>
          </w:p>
        </w:tc>
      </w:tr>
    </w:tbl>
    <w:p>
      <w:pPr>
        <w:spacing w:after="0" w:line="46" w:lineRule="exact"/>
        <w:rPr>
          <w:sz w:val="24"/>
          <w:szCs w:val="24"/>
          <w:color w:val="auto"/>
        </w:rPr>
      </w:pPr>
    </w:p>
    <w:p>
      <w:pPr>
        <w:ind w:right="320"/>
        <w:spacing w:after="0" w:line="23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47" w:lineRule="exact"/>
        <w:rPr>
          <w:sz w:val="24"/>
          <w:szCs w:val="24"/>
          <w:color w:val="auto"/>
        </w:rPr>
      </w:pPr>
    </w:p>
    <w:p>
      <w:pPr>
        <w:spacing w:after="0"/>
        <w:tabs>
          <w:tab w:leader="none" w:pos="8620" w:val="left"/>
          <w:tab w:leader="none" w:pos="88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 YES [</w:t>
        <w:tab/>
        <w:t>]</w:t>
      </w:r>
      <w:r>
        <w:rPr>
          <w:sz w:val="20"/>
          <w:szCs w:val="20"/>
          <w:color w:val="auto"/>
        </w:rPr>
        <w:tab/>
      </w:r>
      <w:r>
        <w:rPr>
          <w:rFonts w:ascii="Arial" w:cs="Arial" w:eastAsia="Arial" w:hAnsi="Arial"/>
          <w:sz w:val="16"/>
          <w:szCs w:val="16"/>
          <w:color w:val="auto"/>
        </w:rPr>
        <w:t>NO [ X ]</w:t>
      </w:r>
    </w:p>
    <w:p>
      <w:pPr>
        <w:spacing w:after="0" w:line="50" w:lineRule="exact"/>
        <w:rPr>
          <w:sz w:val="24"/>
          <w:szCs w:val="24"/>
          <w:color w:val="auto"/>
        </w:rPr>
      </w:pPr>
    </w:p>
    <w:p>
      <w:pPr>
        <w:ind w:right="440"/>
        <w:spacing w:after="0" w:line="238" w:lineRule="auto"/>
        <w:rPr>
          <w:sz w:val="20"/>
          <w:szCs w:val="20"/>
          <w:color w:val="auto"/>
        </w:rPr>
      </w:pPr>
      <w:r>
        <w:rPr>
          <w:rFonts w:ascii="Arial" w:cs="Arial" w:eastAsia="Arial" w:hAnsi="Arial"/>
          <w:sz w:val="18"/>
          <w:szCs w:val="18"/>
          <w:color w:val="auto"/>
        </w:rPr>
        <w:t>The aggregate market value of the voting common stock held by non-affiliates of the registrant on July 29, 2017, the last business day of the registrant’s most recently completed second fiscal quarter, was $44,235,895,555 based on the closing sale price as reported on the New York Stock Exchange.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There were 627,072,378 shares of the registrant’s common stock, $1.00 par value, outstanding as of March 3, 2018.</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50"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Portions of the Proxy Statement to be filed with the Securities and Exchange Commission in connection with the Annual Meeting of Stockholders to be held on June 5, 2018 (Part III).</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Form 10-K and our 2017 Annual Report to Shareholders contain “forward-looking statements” intended to qualify for the safe harbor from liability established by the Private Securities Litigation Reform Act of 1995, including some of the statements in this Form 10-K under Item 1, “Business,” Item 7, “Management’s Discussion and Analysis of Financial Condition and Results of Operations,” and Item 8, “Financial Statements and Supplementary Data,” and in our 2017 Annual Report to Shareholders under our letter to shareholders and our performance graphs. Forward-looking statements are inherently subject to risks, uncertainties and potentially inaccurate assumptions. Such statements give our current expectations or forecasts of future events; they do not relate strictly to historical or current facts. We have generally identified such statements by using words indicative of the future such as “anticipate,” “believe,” “could,” “estimate,” “expect,” “forecast,” “intend,” “looking forward,” “may,” “plan,” “potential,” “project,” “should,” “target,” “will” and “would” or any variations of these words or other words with similar meanings.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or the Exchange Act. These “forward-looking statements” may relate to such matters as our future actions, future performance or results of current and anticipated sales, expenses, interest rates, foreign exchange rates and results and the outcome of contingencies such as legal proceedings.</w:t>
      </w:r>
    </w:p>
    <w:p>
      <w:pPr>
        <w:spacing w:after="0" w:line="13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this Form 10-K describe major risks to our business.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our underlying assumptions prove inaccurate, actual results could differ materially from past results and those anticipated, estimated or projected in the forward-looking statements. You should bear this in mind as you consider forward-looking statements.</w:t>
      </w:r>
    </w:p>
    <w:p>
      <w:pPr>
        <w:spacing w:after="0" w:line="156" w:lineRule="exact"/>
        <w:rPr>
          <w:sz w:val="20"/>
          <w:szCs w:val="20"/>
          <w:color w:val="auto"/>
        </w:rPr>
      </w:pPr>
    </w:p>
    <w:p>
      <w:pPr>
        <w:jc w:val="both"/>
        <w:ind w:right="620"/>
        <w:spacing w:after="0" w:line="281" w:lineRule="auto"/>
        <w:rPr>
          <w:sz w:val="20"/>
          <w:szCs w:val="20"/>
          <w:color w:val="auto"/>
        </w:rPr>
      </w:pPr>
      <w:r>
        <w:rPr>
          <w:rFonts w:ascii="Arial" w:cs="Arial" w:eastAsia="Arial" w:hAnsi="Arial"/>
          <w:sz w:val="16"/>
          <w:szCs w:val="16"/>
          <w:color w:val="auto"/>
        </w:rPr>
        <w:t>Our forward-looking statements speak only as of the dates on which they are made, and we do not undertake any obligation to update any forward-looking statement, whether to reflect new information, future events or otherwise. You are advised, however, to consult any further disclosures we may make in our future reports to the Securities and Exchange Commission (SEC), on our website, or otherwise.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69" w:right="299" w:bottom="1440" w:gutter="0" w:footer="0" w:header="0"/>
        </w:sectPr>
      </w:pPr>
    </w:p>
    <w:bookmarkStart w:id="2" w:name="page3"/>
    <w:bookmarkEnd w:id="2"/>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77" w:lineRule="exact"/>
        <w:rPr>
          <w:sz w:val="20"/>
          <w:szCs w:val="20"/>
          <w:color w:val="auto"/>
        </w:rPr>
      </w:pPr>
    </w:p>
    <w:p>
      <w:pPr>
        <w:ind w:right="100" w:firstLine="342"/>
        <w:spacing w:after="0" w:line="281" w:lineRule="auto"/>
        <w:rPr>
          <w:sz w:val="20"/>
          <w:szCs w:val="20"/>
          <w:color w:val="auto"/>
        </w:rPr>
      </w:pPr>
      <w:r>
        <w:rPr>
          <w:rFonts w:ascii="Arial" w:cs="Arial" w:eastAsia="Arial" w:hAnsi="Arial"/>
          <w:sz w:val="16"/>
          <w:szCs w:val="16"/>
          <w:color w:val="auto"/>
        </w:rPr>
        <w:t>The TJX Companies, Inc. (TJX) is the leading off-price apparel and home fashions retailer in the United States and worldwide. We have over 4,000 stores that offer a rapidly changing assortment of quality, fashionable, brand name and designer merchandise at prices generally 20% to 60% below full-price retailers’ (including department, specialty, and major online retailers) regular prices on comparable merchandise, every day.</w:t>
      </w:r>
    </w:p>
    <w:p>
      <w:pPr>
        <w:spacing w:after="0" w:line="43" w:lineRule="exact"/>
        <w:rPr>
          <w:sz w:val="20"/>
          <w:szCs w:val="20"/>
          <w:color w:val="auto"/>
        </w:rPr>
      </w:pPr>
    </w:p>
    <w:p>
      <w:pPr>
        <w:ind w:right="140" w:firstLine="342"/>
        <w:spacing w:after="0" w:line="270" w:lineRule="auto"/>
        <w:rPr>
          <w:sz w:val="20"/>
          <w:szCs w:val="20"/>
          <w:color w:val="auto"/>
        </w:rPr>
      </w:pPr>
      <w:r>
        <w:rPr>
          <w:rFonts w:ascii="Arial" w:cs="Arial" w:eastAsia="Arial" w:hAnsi="Arial"/>
          <w:sz w:val="16"/>
          <w:szCs w:val="16"/>
          <w:color w:val="auto"/>
        </w:rPr>
        <w:t>Our stores are known for our value proposition of brand, fashion, price and quality. Our opportunistic buying strategies and flexible business model differentiate us from traditional retailers. We offer a treasure hunt shopping experience and a rapid turn of inventories relative to traditional retailers. Our goal is to create a sense of excitement and urgency for our customers and encourage frequent customer visits. We acquire merchandise in a variety of ways to support that goal. We reach a broad range of customers across many income levels and across other demographic groups with our value proposition. Our strategies and operations are synergistic across our retail chains. As a result, we are able to leverage our expertise throughout our business, sharing information, best practices, initiatives and new ideas, and to develop talent across our Company. We also leverage the substantial buying power of our businesses in our global relationships with vendors.</w:t>
      </w:r>
    </w:p>
    <w:p>
      <w:pPr>
        <w:spacing w:after="0" w:line="30" w:lineRule="exact"/>
        <w:rPr>
          <w:sz w:val="20"/>
          <w:szCs w:val="20"/>
          <w:color w:val="auto"/>
        </w:rPr>
      </w:pPr>
    </w:p>
    <w:p>
      <w:pPr>
        <w:ind w:right="580" w:firstLine="342"/>
        <w:spacing w:after="0" w:line="262" w:lineRule="auto"/>
        <w:rPr>
          <w:sz w:val="20"/>
          <w:szCs w:val="20"/>
          <w:color w:val="auto"/>
        </w:rPr>
      </w:pPr>
      <w:r>
        <w:rPr>
          <w:rFonts w:ascii="Arial" w:cs="Arial" w:eastAsia="Arial" w:hAnsi="Arial"/>
          <w:sz w:val="18"/>
          <w:szCs w:val="18"/>
          <w:b w:val="1"/>
          <w:bCs w:val="1"/>
          <w:i w:val="1"/>
          <w:iCs w:val="1"/>
          <w:color w:val="auto"/>
        </w:rPr>
        <w:t xml:space="preserve">Our Businesses. </w:t>
      </w:r>
      <w:r>
        <w:rPr>
          <w:rFonts w:ascii="Arial" w:cs="Arial" w:eastAsia="Arial" w:hAnsi="Arial"/>
          <w:sz w:val="18"/>
          <w:szCs w:val="18"/>
          <w:color w:val="auto"/>
        </w:rPr>
        <w:t>We operate our business in four main segments: Marmaxx and HomeGoods, both in the U.S., TJX Canada and TJX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MARMAXX:</w:t>
      </w:r>
    </w:p>
    <w:p>
      <w:pPr>
        <w:spacing w:after="0" w:line="97"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 xml:space="preserve">Our T.J. Maxx and Marshalls chains in the United States (“Marmaxx”) are collectively the largest off-price retailer in the United States with a total of 2,285 stores. We founded T.J. Maxx in 1976 and acquired Marshalls in 1995. Both chains sell family apparel (including footwear and accessories), home fashions (including home basics, accent furniture, lamps, rugs, wall décor, decorative accessories and giftware) and other merchandise. We primarily differentiate T.J. Maxx and Marshalls through different product assortment, including an expanded assortment of fine jewelry and accessories and a designer section called The Runway at T.J. Maxx and a full line of footwear, a broader men’s offering and a juniors’ department called The Cube at Marshalls, as well as varying in-store initiatives. This differentiated shopping experience at T.J. Maxx and Marshalls encourages our customers to shop both chains. Our e-commerce website, </w:t>
      </w:r>
      <w:r>
        <w:rPr>
          <w:rFonts w:ascii="Arial" w:cs="Arial" w:eastAsia="Arial" w:hAnsi="Arial"/>
          <w:sz w:val="18"/>
          <w:szCs w:val="18"/>
          <w:u w:val="single" w:color="auto"/>
          <w:color w:val="auto"/>
        </w:rPr>
        <w:t>tjmaxx.com</w:t>
      </w:r>
      <w:r>
        <w:rPr>
          <w:rFonts w:ascii="Arial" w:cs="Arial" w:eastAsia="Arial" w:hAnsi="Arial"/>
          <w:sz w:val="18"/>
          <w:szCs w:val="18"/>
          <w:color w:val="auto"/>
        </w:rPr>
        <w:t>, was launched in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HOMEGOODS:</w:t>
      </w:r>
    </w:p>
    <w:p>
      <w:pPr>
        <w:spacing w:after="0" w:line="97" w:lineRule="exact"/>
        <w:rPr>
          <w:sz w:val="20"/>
          <w:szCs w:val="20"/>
          <w:color w:val="auto"/>
        </w:rPr>
      </w:pPr>
    </w:p>
    <w:p>
      <w:pPr>
        <w:ind w:left="460" w:right="140"/>
        <w:spacing w:after="0" w:line="236" w:lineRule="auto"/>
        <w:rPr>
          <w:sz w:val="20"/>
          <w:szCs w:val="20"/>
          <w:color w:val="auto"/>
        </w:rPr>
      </w:pPr>
      <w:r>
        <w:rPr>
          <w:rFonts w:ascii="Arial" w:cs="Arial" w:eastAsia="Arial" w:hAnsi="Arial"/>
          <w:sz w:val="18"/>
          <w:szCs w:val="18"/>
          <w:color w:val="auto"/>
        </w:rPr>
        <w:t>Our HomeGoods segment, introduced in 1992, is the leading off-price retailer of home fashions in the U.S. Through its 667 stores, HomeGoods offers an eclectic assortment of home fashions, including furniture, rugs, lighting, soft home, decorative accessories, tabletop and cookware as well as expanded pet, kids and gourmet food departments. In 2017, we launched Homesense in the U.S. with 4 stores. Homesense complements HomeGoods, offering a differentiated mix and expanded departments, such as large-scale furniture, lighting and rugs, as well as new departments, such as a general store and an entertaining marketplace.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TJX CANADA:</w:t>
      </w:r>
    </w:p>
    <w:p>
      <w:pPr>
        <w:spacing w:after="0" w:line="97" w:lineRule="exact"/>
        <w:rPr>
          <w:sz w:val="20"/>
          <w:szCs w:val="20"/>
          <w:color w:val="auto"/>
        </w:rPr>
      </w:pPr>
    </w:p>
    <w:p>
      <w:pPr>
        <w:ind w:left="460" w:right="140"/>
        <w:spacing w:after="0" w:line="275" w:lineRule="auto"/>
        <w:rPr>
          <w:sz w:val="20"/>
          <w:szCs w:val="20"/>
          <w:color w:val="auto"/>
        </w:rPr>
      </w:pPr>
      <w:r>
        <w:rPr>
          <w:rFonts w:ascii="Arial" w:cs="Arial" w:eastAsia="Arial" w:hAnsi="Arial"/>
          <w:sz w:val="16"/>
          <w:szCs w:val="16"/>
          <w:color w:val="auto"/>
        </w:rPr>
        <w:t>Our TJX Canada segment operates the Winners, HomeSense and Marshalls chains in Canada. Acquired in 1990, Winners is the leading off-price apparel and home fashions retailer in Canada. The merchandise offering at its 264 stores across Canada is comparable to T.J. Maxx, with select stores offering fine jewelry, and The Runway, a designer section. We opened our HomeSense chain in 2001, bringing the home fashions off-price concept to Canada. HomeSense has 117 stores with a merchandise mix of home fashions similar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92" w:right="299" w:bottom="1440" w:gutter="0" w:footer="0" w:header="0"/>
        </w:sectPr>
      </w:pPr>
    </w:p>
    <w:bookmarkStart w:id="3" w:name="page4"/>
    <w:bookmarkEnd w:id="3"/>
    <w:p>
      <w:pPr>
        <w:jc w:val="both"/>
        <w:ind w:left="460" w:right="3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HomeGoods in the U.S. We brought Marshalls to Canada in 2011 and operate 73 Marshalls stores in Canada. As with Marshalls in the U.S., our Canadian Marshalls stores offer an expanded footwear department and The Cube juniors’ department, differentiating them from Winners stores.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TJX INTERNATIONAL:</w:t>
      </w:r>
    </w:p>
    <w:p>
      <w:pPr>
        <w:spacing w:after="0" w:line="97" w:lineRule="exact"/>
        <w:rPr>
          <w:sz w:val="20"/>
          <w:szCs w:val="20"/>
          <w:color w:val="auto"/>
        </w:rPr>
      </w:pPr>
    </w:p>
    <w:p>
      <w:pPr>
        <w:ind w:left="460" w:right="60"/>
        <w:spacing w:after="0" w:line="236" w:lineRule="auto"/>
        <w:rPr>
          <w:sz w:val="20"/>
          <w:szCs w:val="20"/>
          <w:color w:val="auto"/>
        </w:rPr>
      </w:pPr>
      <w:r>
        <w:rPr>
          <w:rFonts w:ascii="Arial" w:cs="Arial" w:eastAsia="Arial" w:hAnsi="Arial"/>
          <w:sz w:val="18"/>
          <w:szCs w:val="18"/>
          <w:color w:val="auto"/>
        </w:rPr>
        <w:t>Our TJX International segment operates the T.K. Maxx and Homesense chains in Europe and starting in late 2015, the T.K. Maxx chain in Australia. Launched in 1994, T.K. Maxx introduced off-price retail to Europe and remains Europe’s only major brick-and-mortar off-price retailer of apparel and home fashions. With 540 stores, T.K. Maxx operates in the U.K., Ireland, Germany, Poland, Austria and the Netherlands. Through its stores and its e-commerce website for the U.K., tkmaxx.com, T.K. Maxx offers a merchandise mix similar to T.J. Maxx. We brought the off-price home fashions concept to Europe, opening Homesense in the U.K. in 2008. In fiscal 2018, we opened 2 Homesense stores in Ireland. Its 55 stores offer a merchandise mix of home fashions similar to that of HomeGoods in the U.S. and HomeSense in Canada. We acquired Trade Secret in Australia in fiscal 2016 and re-branded it under the T.K. Maxx name during fiscal 2018. The merchandise offering at its 38 stores is comparable to T.J. Maxx.</w:t>
      </w:r>
    </w:p>
    <w:p>
      <w:pPr>
        <w:spacing w:after="0" w:line="73" w:lineRule="exact"/>
        <w:rPr>
          <w:sz w:val="20"/>
          <w:szCs w:val="20"/>
          <w:color w:val="auto"/>
        </w:rPr>
      </w:pPr>
    </w:p>
    <w:p>
      <w:pPr>
        <w:jc w:val="both"/>
        <w:ind w:right="80" w:firstLine="342"/>
        <w:spacing w:after="0" w:line="238" w:lineRule="auto"/>
        <w:rPr>
          <w:sz w:val="20"/>
          <w:szCs w:val="20"/>
          <w:color w:val="auto"/>
        </w:rPr>
      </w:pPr>
      <w:r>
        <w:rPr>
          <w:rFonts w:ascii="Arial" w:cs="Arial" w:eastAsia="Arial" w:hAnsi="Arial"/>
          <w:sz w:val="18"/>
          <w:szCs w:val="18"/>
          <w:color w:val="auto"/>
        </w:rPr>
        <w:t>In addition to our four main segments, we operate Sierra Trading Post (“STP”), an off-price Internet retailer of brand name and quality outdoor gear, family apparel and footwear, sporting goods and home fashions. Sierra Trading Post launched its e-commerce site, sierratradingpost.com, in 1998 and operates 27 retail stores in the U.S.</w:t>
      </w:r>
    </w:p>
    <w:p>
      <w:pPr>
        <w:spacing w:after="0" w:line="134"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b w:val="1"/>
          <w:bCs w:val="1"/>
          <w:i w:val="1"/>
          <w:iCs w:val="1"/>
          <w:color w:val="auto"/>
        </w:rPr>
        <w:t xml:space="preserve">Flexible Business Model. </w:t>
      </w:r>
      <w:r>
        <w:rPr>
          <w:rFonts w:ascii="Arial" w:cs="Arial" w:eastAsia="Arial" w:hAnsi="Arial"/>
          <w:sz w:val="18"/>
          <w:szCs w:val="18"/>
          <w:color w:val="auto"/>
        </w:rPr>
        <w:t>Our flexible off-price business model, including our opportunistic buying, inventory management, logistics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store layouts, is designed to deliver our customers a compelling value proposition of fashionable, quality, brand name and designer merchandise at excellent values every day. Our buying and inventory management strategies give us flexibility to adjust our merchandise assortments more frequently than traditional retailers, and the design and operation of our stores and distribution centers support this flexibility. Our buyers have more visibility into consumer, fashion and market trends and pricing when we buy closer to need, which can help us “buy smarter” and reduce our markdown exposure. Our selling floor space is flexible, without walls between departments and largely free of permanent fixtures, so we can easily expand and contract departments to accommodate the merchandise we purchase. Our logistics and distribution operations are designed to support our global buying strategies and to facilitate quick, efficient and differentiated delivery of merchandise to our stores, with a goal of getting the right merchandise to the right stores at the right time.</w:t>
      </w:r>
    </w:p>
    <w:p>
      <w:pPr>
        <w:spacing w:after="0" w:line="57"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b w:val="1"/>
          <w:bCs w:val="1"/>
          <w:i w:val="1"/>
          <w:iCs w:val="1"/>
          <w:color w:val="auto"/>
        </w:rPr>
        <w:t xml:space="preserve">Opportunistic Buying. </w:t>
      </w:r>
      <w:r>
        <w:rPr>
          <w:rFonts w:ascii="Arial" w:cs="Arial" w:eastAsia="Arial" w:hAnsi="Arial"/>
          <w:sz w:val="18"/>
          <w:szCs w:val="18"/>
          <w:color w:val="auto"/>
        </w:rPr>
        <w:t>As an off-price retailer, our buying practices, which we refer to as opportunistic buying, differentiate us from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retailers. Our overall global buying strategy is to acquire merchandise on an ongoing basis that will enable us to offer a desirable and rapidly changing mix of branded, designer and other quality merchandise in our stores at prices below regular prices for comparable merchandise at full-price retailers, including department, specialty, and major online retailers. We seek out and select merchandise from the broad range of opportunities in the marketplace to achieve this end. Our global buying organization, which numbers more than 1,000 Associates in 16 buying offices in 12 countries, executes this opportunistic buying strategy, buying merchandise from more than 100 countries in a variety of ways, depending on market conditions and other factors.</w:t>
      </w:r>
    </w:p>
    <w:p>
      <w:pPr>
        <w:spacing w:after="0" w:line="76"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We take advantage of opportunities to acquire merchandise at substantial discounts that regularly arise from the production and flow of inventory in the apparel and home fashions marketplace. These opportunities include, among others, order cancellations, manufacturer overruns, closeouts from brands, manufacturers and other retailers and special production direct from brands and factories. Our global buying strategies are intentionally flexible to allow us to react to frequently changing opportunities and trends in the market and to adjust how and what we source as well as when we source it. Our goal is to operate with lean inventory levels compared to conventional retailers to give us the flexibility to seek out and to take advantage of these opportunities as they arise. In contrast to traditional retailers, which tend to order most of their goods far in advance of the time the product appears on the selling floor, our merchants generally remain in the marketplace for goods throughout the year, frequently looking for opportunities to buy merchandise. We buy much of our merchandise for the current or immediately upcoming selling season. We also buy some merchandise that is available in the market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intention of storing it for sale, typically in future selling seasons. We generally make these purchases, referred to as packaway, in response to opportunities in the marketplace to buy merchandise that we believe has the right combination of brand, fashion, price and quality to supplement the product we expect to be available to purchase later for those future seasons. We also acquire some merchandise that we offer under in-house brands or brands that are licensed to us. We develop some of this merchandise ourselves in order to supplement the depth of, or fill gaps in, our expected merchandise assortment.</w:t>
      </w:r>
    </w:p>
    <w:p>
      <w:pPr>
        <w:spacing w:after="0" w:line="76" w:lineRule="exact"/>
        <w:rPr>
          <w:sz w:val="20"/>
          <w:szCs w:val="20"/>
          <w:color w:val="auto"/>
        </w:rPr>
      </w:pPr>
    </w:p>
    <w:p>
      <w:pPr>
        <w:ind w:right="20" w:firstLine="342"/>
        <w:spacing w:after="0" w:line="269" w:lineRule="auto"/>
        <w:rPr>
          <w:sz w:val="20"/>
          <w:szCs w:val="20"/>
          <w:color w:val="auto"/>
        </w:rPr>
      </w:pPr>
      <w:r>
        <w:rPr>
          <w:rFonts w:ascii="Arial" w:cs="Arial" w:eastAsia="Arial" w:hAnsi="Arial"/>
          <w:sz w:val="16"/>
          <w:szCs w:val="16"/>
          <w:color w:val="auto"/>
        </w:rPr>
        <w:t>Our expansive vendor universe, which is in excess of 20,000, consists primarily of manufacturers as well as retailers and other vendors, and provides us substantial and diversified access to merchandise. We have not experienced difficulty in obtaining sufficient quality merchandise for our business in either favorable or difficult retail environments and expect this will continue as we continue to grow. We believe a number of factors provide us excellent access on an ongoing basis to leading branded merchandise and make us an attractive channel for many vendors in the market. We are typically willing to purchase less-than-full assortments of items, styles and sizes as well as quantities ranging from small to very large; we are able to disperse merchandise across our geographically diverse network of stores and to target specific markets; we pay promptly; we generally do not ask for typical retail concessions (such as advertising, promotional and markdown allowances), delivery concessions (such as drop shipments to stores or delayed deliveries) or return privileges; and we have financial strength and an excellent credit rating.</w:t>
      </w:r>
    </w:p>
    <w:p>
      <w:pPr>
        <w:spacing w:after="0" w:line="32"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b w:val="1"/>
          <w:bCs w:val="1"/>
          <w:i w:val="1"/>
          <w:iCs w:val="1"/>
          <w:color w:val="auto"/>
        </w:rPr>
        <w:t xml:space="preserve">Inventory Management. </w:t>
      </w:r>
      <w:r>
        <w:rPr>
          <w:rFonts w:ascii="Arial" w:cs="Arial" w:eastAsia="Arial" w:hAnsi="Arial"/>
          <w:sz w:val="18"/>
          <w:szCs w:val="18"/>
          <w:color w:val="auto"/>
        </w:rPr>
        <w:t>We offer our customers a rapidly changing selection of merchandise to create a treasure hunt experience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stores and to spur frequent customer visits. To achieve this, we seek to turn the inventory in our stores rapidly, regularly offering fresh selections of apparel and home fashions at excellent values. Our specialized inventory planning, purchasing, monitoring and markdown systems, coupled with distribution center storage, processing, handling and shipping systems, enable us to tailor the merchandise in our stores to local preferences and demographics, achieve rapid in-store inventory turnover on a vast array of products and generally sell within the period we planned. We make pricing and markdown decisions and store inventory replenishment determinations centrally, using information provided by specialized computer systems designed to move inventory through our stores in a timely and disciplined manner. We continue to invest in our supply chain with the goal of continuing to operate with low inventory levels, to ship more efficiently and quickly, and to more precisely and effectively allocate merchandise to each store.</w:t>
      </w:r>
    </w:p>
    <w:p>
      <w:pPr>
        <w:spacing w:after="0" w:line="57"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mission is to offer quality, fashionable, brand name and designer merchandise in our stores with retail prices that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 to 60% below full-price retailers’ (including department, specialty, and major online retailers) regular prices on comparable merchandise, every day. We do not generally engage in promotional pricing activity such as sales or coupons. We have generally been able to react to price fluctuations in the wholesale market to maintain our pricing gap relative to prices offered by traditional retailers as well as our merchandise margins through various economic cycles.</w:t>
      </w:r>
    </w:p>
    <w:p>
      <w:pPr>
        <w:spacing w:after="0" w:line="55" w:lineRule="exact"/>
        <w:rPr>
          <w:sz w:val="20"/>
          <w:szCs w:val="20"/>
          <w:color w:val="auto"/>
        </w:rPr>
      </w:pPr>
    </w:p>
    <w:p>
      <w:pPr>
        <w:ind w:right="280" w:firstLine="342"/>
        <w:spacing w:after="0" w:line="241" w:lineRule="auto"/>
        <w:rPr>
          <w:sz w:val="20"/>
          <w:szCs w:val="20"/>
          <w:color w:val="auto"/>
        </w:rPr>
      </w:pPr>
      <w:r>
        <w:rPr>
          <w:rFonts w:ascii="Arial" w:cs="Arial" w:eastAsia="Arial" w:hAnsi="Arial"/>
          <w:sz w:val="18"/>
          <w:szCs w:val="18"/>
          <w:b w:val="1"/>
          <w:bCs w:val="1"/>
          <w:i w:val="1"/>
          <w:iCs w:val="1"/>
          <w:color w:val="auto"/>
        </w:rPr>
        <w:t xml:space="preserve">Low Cost Operations. </w:t>
      </w:r>
      <w:r>
        <w:rPr>
          <w:rFonts w:ascii="Arial" w:cs="Arial" w:eastAsia="Arial" w:hAnsi="Arial"/>
          <w:sz w:val="18"/>
          <w:szCs w:val="18"/>
          <w:color w:val="auto"/>
        </w:rPr>
        <w:t>We operate with a low cost structure compared to many traditional retailers. We focus aggressively on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our business. Our advertising is generally focused on promoting our retail banners rather than individual products, including at times promoting multiple banners together, which contributes to our advertising budget (as a percentage of sales) remaining low compared to many traditional retailers. We design our stores to provide a pleasant, convenient shopping environment but, relative to other retailers, do not spend heavily on store fixtures. Additionally, our distribution network is designed to run cost effectively.</w:t>
      </w:r>
    </w:p>
    <w:p>
      <w:pPr>
        <w:spacing w:after="0" w:line="55"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b w:val="1"/>
          <w:bCs w:val="1"/>
          <w:i w:val="1"/>
          <w:iCs w:val="1"/>
          <w:color w:val="auto"/>
        </w:rPr>
        <w:t xml:space="preserve">Customer Service/Shopping Experience. </w:t>
      </w:r>
      <w:r>
        <w:rPr>
          <w:rFonts w:ascii="Arial" w:cs="Arial" w:eastAsia="Arial" w:hAnsi="Arial"/>
          <w:sz w:val="18"/>
          <w:szCs w:val="18"/>
          <w:color w:val="auto"/>
        </w:rPr>
        <w:t>We continue to renovate and upgrade our stores across our retail banners to enhance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shopping experience and help drive sales. Although we offer a self-service format, we train our store Associates to provide friendly and helpful customer service and seek to staff our stores to deliver a positive shopping experience. We typically offer customer-friendly return policies. We accept a variety of payment methods including cash, credit cards and debit cards. We also offer TJX-branded credit cards in the U.S. through a bank, but do not own the customer receivables.</w:t>
      </w:r>
    </w:p>
    <w:p>
      <w:pPr>
        <w:spacing w:after="0" w:line="55" w:lineRule="exact"/>
        <w:rPr>
          <w:sz w:val="20"/>
          <w:szCs w:val="20"/>
          <w:color w:val="auto"/>
        </w:rPr>
      </w:pPr>
    </w:p>
    <w:p>
      <w:pPr>
        <w:ind w:right="360" w:firstLine="342"/>
        <w:spacing w:after="0" w:line="262" w:lineRule="auto"/>
        <w:rPr>
          <w:sz w:val="20"/>
          <w:szCs w:val="20"/>
          <w:color w:val="auto"/>
        </w:rPr>
      </w:pPr>
      <w:r>
        <w:rPr>
          <w:rFonts w:ascii="Arial" w:cs="Arial" w:eastAsia="Arial" w:hAnsi="Arial"/>
          <w:sz w:val="18"/>
          <w:szCs w:val="18"/>
          <w:b w:val="1"/>
          <w:bCs w:val="1"/>
          <w:i w:val="1"/>
          <w:iCs w:val="1"/>
          <w:color w:val="auto"/>
        </w:rPr>
        <w:t xml:space="preserve">Distribution. </w:t>
      </w:r>
      <w:r>
        <w:rPr>
          <w:rFonts w:ascii="Arial" w:cs="Arial" w:eastAsia="Arial" w:hAnsi="Arial"/>
          <w:sz w:val="18"/>
          <w:szCs w:val="18"/>
          <w:color w:val="auto"/>
        </w:rPr>
        <w:t>We operate distribution centers encompassing approximately 17.5 million square feet in six countries, including a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operated distribution center in Australia. These centers are generally large,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91" w:right="259" w:bottom="1440" w:gutter="0" w:footer="0" w:header="0"/>
        </w:sectPr>
      </w:pPr>
    </w:p>
    <w:bookmarkStart w:id="5" w:name="page6"/>
    <w:bookmarkEnd w:id="5"/>
    <w:p>
      <w:pPr>
        <w:ind w:right="2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highly automated and built to suit our specific, off-price business model. We ship substantially all of our merchandise to our stores through these distribution centers as well as warehouses and shipping centers operated by third parties.</w:t>
      </w:r>
    </w:p>
    <w:p>
      <w:pPr>
        <w:spacing w:after="0" w:line="54" w:lineRule="exact"/>
        <w:rPr>
          <w:sz w:val="20"/>
          <w:szCs w:val="20"/>
          <w:color w:val="auto"/>
        </w:rPr>
      </w:pPr>
    </w:p>
    <w:p>
      <w:pPr>
        <w:jc w:val="both"/>
        <w:ind w:right="140" w:firstLine="342"/>
        <w:spacing w:after="0" w:line="248" w:lineRule="auto"/>
        <w:rPr>
          <w:sz w:val="20"/>
          <w:szCs w:val="20"/>
          <w:color w:val="auto"/>
        </w:rPr>
      </w:pPr>
      <w:r>
        <w:rPr>
          <w:rFonts w:ascii="Arial" w:cs="Arial" w:eastAsia="Arial" w:hAnsi="Arial"/>
          <w:sz w:val="18"/>
          <w:szCs w:val="18"/>
          <w:b w:val="1"/>
          <w:bCs w:val="1"/>
          <w:i w:val="1"/>
          <w:iCs w:val="1"/>
          <w:color w:val="auto"/>
        </w:rPr>
        <w:t xml:space="preserve">Store Growth. </w:t>
      </w:r>
      <w:r>
        <w:rPr>
          <w:rFonts w:ascii="Arial" w:cs="Arial" w:eastAsia="Arial" w:hAnsi="Arial"/>
          <w:sz w:val="18"/>
          <w:szCs w:val="18"/>
          <w:color w:val="auto"/>
        </w:rPr>
        <w:t>Expansion of our business through the addition of new stores continues to be an important part of our global growth strategy.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provides information on the store growth of our four major segments in the last two fiscal years, our growth estimates for fiscal 2019 and our estimates of the long-term store growth potential of these segments in their current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40" w:type="dxa"/>
            <w:vAlign w:val="bottom"/>
            <w:gridSpan w:val="2"/>
          </w:tcPr>
          <w:p>
            <w:pPr>
              <w:jc w:val="center"/>
              <w:ind w:left="997"/>
              <w:spacing w:after="0"/>
              <w:rPr>
                <w:sz w:val="20"/>
                <w:szCs w:val="20"/>
                <w:color w:val="auto"/>
              </w:rPr>
            </w:pPr>
            <w:r>
              <w:rPr>
                <w:rFonts w:ascii="Arial" w:cs="Arial" w:eastAsia="Arial" w:hAnsi="Arial"/>
                <w:sz w:val="14"/>
                <w:szCs w:val="14"/>
                <w:color w:val="auto"/>
                <w:w w:val="96"/>
              </w:rPr>
              <w:t>Approximate</w:t>
            </w:r>
          </w:p>
        </w:tc>
        <w:tc>
          <w:tcPr>
            <w:tcW w:w="1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Number of Stores at Year End</w:t>
            </w:r>
          </w:p>
        </w:tc>
        <w:tc>
          <w:tcPr>
            <w:tcW w:w="1100" w:type="dxa"/>
            <w:vAlign w:val="bottom"/>
            <w:tcBorders>
              <w:bottom w:val="single" w:sz="8" w:color="auto"/>
            </w:tcBorders>
          </w:tcPr>
          <w:p>
            <w:pPr>
              <w:spacing w:after="0"/>
              <w:rPr>
                <w:sz w:val="14"/>
                <w:szCs w:val="14"/>
                <w:color w:val="auto"/>
              </w:rPr>
            </w:pPr>
          </w:p>
        </w:tc>
        <w:tc>
          <w:tcPr>
            <w:tcW w:w="1800" w:type="dxa"/>
            <w:vAlign w:val="bottom"/>
            <w:gridSpan w:val="2"/>
          </w:tcPr>
          <w:p>
            <w:pPr>
              <w:jc w:val="center"/>
              <w:ind w:left="105"/>
              <w:spacing w:after="0"/>
              <w:rPr>
                <w:sz w:val="20"/>
                <w:szCs w:val="20"/>
                <w:color w:val="auto"/>
              </w:rPr>
            </w:pPr>
            <w:r>
              <w:rPr>
                <w:rFonts w:ascii="Arial" w:cs="Arial" w:eastAsia="Arial" w:hAnsi="Arial"/>
                <w:sz w:val="14"/>
                <w:szCs w:val="14"/>
                <w:color w:val="auto"/>
                <w:w w:val="98"/>
              </w:rPr>
              <w:t>Estimated Store</w:t>
            </w:r>
          </w:p>
        </w:tc>
      </w:tr>
      <w:tr>
        <w:trPr>
          <w:trHeight w:val="129"/>
        </w:trPr>
        <w:tc>
          <w:tcPr>
            <w:tcW w:w="3040" w:type="dxa"/>
            <w:vAlign w:val="bottom"/>
          </w:tcPr>
          <w:p>
            <w:pPr>
              <w:spacing w:after="0"/>
              <w:rPr>
                <w:sz w:val="11"/>
                <w:szCs w:val="11"/>
                <w:color w:val="auto"/>
              </w:rPr>
            </w:pPr>
          </w:p>
        </w:tc>
        <w:tc>
          <w:tcPr>
            <w:tcW w:w="2240" w:type="dxa"/>
            <w:vAlign w:val="bottom"/>
            <w:gridSpan w:val="2"/>
          </w:tcPr>
          <w:p>
            <w:pPr>
              <w:jc w:val="center"/>
              <w:ind w:left="1017"/>
              <w:spacing w:after="0" w:line="129" w:lineRule="exact"/>
              <w:rPr>
                <w:sz w:val="20"/>
                <w:szCs w:val="20"/>
                <w:color w:val="auto"/>
              </w:rPr>
            </w:pPr>
            <w:r>
              <w:rPr>
                <w:rFonts w:ascii="Arial" w:cs="Arial" w:eastAsia="Arial" w:hAnsi="Arial"/>
                <w:sz w:val="14"/>
                <w:szCs w:val="14"/>
                <w:color w:val="auto"/>
                <w:w w:val="96"/>
              </w:rPr>
              <w:t>Average Store</w:t>
            </w:r>
          </w:p>
        </w:tc>
        <w:tc>
          <w:tcPr>
            <w:tcW w:w="13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0" w:type="dxa"/>
            <w:vAlign w:val="bottom"/>
          </w:tcPr>
          <w:p>
            <w:pPr>
              <w:jc w:val="right"/>
              <w:ind w:right="264"/>
              <w:spacing w:after="0" w:line="129" w:lineRule="exact"/>
              <w:rPr>
                <w:sz w:val="20"/>
                <w:szCs w:val="20"/>
                <w:color w:val="auto"/>
              </w:rPr>
            </w:pPr>
            <w:r>
              <w:rPr>
                <w:rFonts w:ascii="Arial" w:cs="Arial" w:eastAsia="Arial" w:hAnsi="Arial"/>
                <w:sz w:val="14"/>
                <w:szCs w:val="14"/>
                <w:color w:val="auto"/>
              </w:rPr>
              <w:t>Fiscal 2019</w:t>
            </w:r>
          </w:p>
        </w:tc>
        <w:tc>
          <w:tcPr>
            <w:tcW w:w="1800" w:type="dxa"/>
            <w:vAlign w:val="bottom"/>
            <w:gridSpan w:val="2"/>
          </w:tcPr>
          <w:p>
            <w:pPr>
              <w:jc w:val="center"/>
              <w:ind w:left="105"/>
              <w:spacing w:after="0" w:line="129" w:lineRule="exact"/>
              <w:rPr>
                <w:sz w:val="20"/>
                <w:szCs w:val="20"/>
                <w:color w:val="auto"/>
              </w:rPr>
            </w:pPr>
            <w:r>
              <w:rPr>
                <w:rFonts w:ascii="Arial" w:cs="Arial" w:eastAsia="Arial" w:hAnsi="Arial"/>
                <w:sz w:val="14"/>
                <w:szCs w:val="14"/>
                <w:color w:val="auto"/>
                <w:w w:val="92"/>
              </w:rPr>
              <w:t>Growth</w:t>
            </w:r>
          </w:p>
        </w:tc>
      </w:tr>
      <w:tr>
        <w:trPr>
          <w:trHeight w:val="163"/>
        </w:trPr>
        <w:tc>
          <w:tcPr>
            <w:tcW w:w="3040" w:type="dxa"/>
            <w:vAlign w:val="bottom"/>
          </w:tcPr>
          <w:p>
            <w:pPr>
              <w:spacing w:after="0"/>
              <w:rPr>
                <w:sz w:val="14"/>
                <w:szCs w:val="14"/>
                <w:color w:val="auto"/>
              </w:rPr>
            </w:pPr>
          </w:p>
        </w:tc>
        <w:tc>
          <w:tcPr>
            <w:tcW w:w="2240" w:type="dxa"/>
            <w:vAlign w:val="bottom"/>
            <w:gridSpan w:val="2"/>
          </w:tcPr>
          <w:p>
            <w:pPr>
              <w:jc w:val="right"/>
              <w:ind w:right="40"/>
              <w:spacing w:after="0"/>
              <w:rPr>
                <w:sz w:val="20"/>
                <w:szCs w:val="20"/>
                <w:color w:val="auto"/>
              </w:rPr>
            </w:pPr>
            <w:r>
              <w:rPr>
                <w:rFonts w:ascii="Arial" w:cs="Arial" w:eastAsia="Arial" w:hAnsi="Arial"/>
                <w:sz w:val="14"/>
                <w:szCs w:val="14"/>
                <w:color w:val="auto"/>
              </w:rPr>
              <w:t>Size (square feet)</w:t>
            </w:r>
          </w:p>
        </w:tc>
        <w:tc>
          <w:tcPr>
            <w:tcW w:w="1360" w:type="dxa"/>
            <w:vAlign w:val="bottom"/>
          </w:tcPr>
          <w:p>
            <w:pPr>
              <w:jc w:val="right"/>
              <w:ind w:right="53"/>
              <w:spacing w:after="0"/>
              <w:rPr>
                <w:sz w:val="20"/>
                <w:szCs w:val="20"/>
                <w:color w:val="auto"/>
              </w:rPr>
            </w:pPr>
            <w:r>
              <w:rPr>
                <w:rFonts w:ascii="Arial" w:cs="Arial" w:eastAsia="Arial" w:hAnsi="Arial"/>
                <w:sz w:val="14"/>
                <w:szCs w:val="14"/>
                <w:color w:val="auto"/>
              </w:rPr>
              <w:t>Fiscal 2017</w:t>
            </w:r>
          </w:p>
        </w:tc>
        <w:tc>
          <w:tcPr>
            <w:tcW w:w="1880" w:type="dxa"/>
            <w:vAlign w:val="bottom"/>
          </w:tcPr>
          <w:p>
            <w:pPr>
              <w:jc w:val="right"/>
              <w:ind w:right="535"/>
              <w:spacing w:after="0"/>
              <w:rPr>
                <w:sz w:val="20"/>
                <w:szCs w:val="20"/>
                <w:color w:val="auto"/>
              </w:rPr>
            </w:pPr>
            <w:r>
              <w:rPr>
                <w:rFonts w:ascii="Arial" w:cs="Arial" w:eastAsia="Arial" w:hAnsi="Arial"/>
                <w:sz w:val="14"/>
                <w:szCs w:val="14"/>
                <w:color w:val="auto"/>
              </w:rPr>
              <w:t>Fiscal 2018</w:t>
            </w:r>
          </w:p>
        </w:tc>
        <w:tc>
          <w:tcPr>
            <w:tcW w:w="1100" w:type="dxa"/>
            <w:vAlign w:val="bottom"/>
          </w:tcPr>
          <w:p>
            <w:pPr>
              <w:jc w:val="right"/>
              <w:ind w:right="264"/>
              <w:spacing w:after="0"/>
              <w:rPr>
                <w:sz w:val="20"/>
                <w:szCs w:val="20"/>
                <w:color w:val="auto"/>
              </w:rPr>
            </w:pPr>
            <w:r>
              <w:rPr>
                <w:rFonts w:ascii="Arial" w:cs="Arial" w:eastAsia="Arial" w:hAnsi="Arial"/>
                <w:sz w:val="14"/>
                <w:szCs w:val="14"/>
                <w:color w:val="auto"/>
              </w:rPr>
              <w:t>(estimated)</w:t>
            </w:r>
          </w:p>
        </w:tc>
        <w:tc>
          <w:tcPr>
            <w:tcW w:w="1800" w:type="dxa"/>
            <w:vAlign w:val="bottom"/>
            <w:gridSpan w:val="2"/>
          </w:tcPr>
          <w:p>
            <w:pPr>
              <w:jc w:val="center"/>
              <w:ind w:left="105"/>
              <w:spacing w:after="0"/>
              <w:rPr>
                <w:sz w:val="20"/>
                <w:szCs w:val="20"/>
                <w:color w:val="auto"/>
              </w:rPr>
            </w:pPr>
            <w:r>
              <w:rPr>
                <w:rFonts w:ascii="Arial" w:cs="Arial" w:eastAsia="Arial" w:hAnsi="Arial"/>
                <w:sz w:val="14"/>
                <w:szCs w:val="14"/>
                <w:color w:val="auto"/>
                <w:w w:val="99"/>
              </w:rPr>
              <w:t>Potential</w:t>
            </w:r>
          </w:p>
        </w:tc>
      </w:tr>
      <w:tr>
        <w:trPr>
          <w:trHeight w:val="196"/>
        </w:trPr>
        <w:tc>
          <w:tcPr>
            <w:tcW w:w="3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Marmaxx</w:t>
            </w:r>
          </w:p>
        </w:tc>
        <w:tc>
          <w:tcPr>
            <w:tcW w:w="2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T.J. Maxx</w:t>
            </w:r>
          </w:p>
        </w:tc>
        <w:tc>
          <w:tcPr>
            <w:tcW w:w="2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28,000</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1,186</w:t>
            </w:r>
          </w:p>
        </w:tc>
        <w:tc>
          <w:tcPr>
            <w:tcW w:w="1880" w:type="dxa"/>
            <w:vAlign w:val="bottom"/>
          </w:tcPr>
          <w:p>
            <w:pPr>
              <w:jc w:val="right"/>
              <w:ind w:right="535"/>
              <w:spacing w:after="0" w:line="202" w:lineRule="exact"/>
              <w:rPr>
                <w:sz w:val="20"/>
                <w:szCs w:val="20"/>
                <w:color w:val="auto"/>
              </w:rPr>
            </w:pPr>
            <w:r>
              <w:rPr>
                <w:rFonts w:ascii="Arial" w:cs="Arial" w:eastAsia="Arial" w:hAnsi="Arial"/>
                <w:sz w:val="18"/>
                <w:szCs w:val="18"/>
                <w:color w:val="auto"/>
              </w:rPr>
              <w:t>1,223</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Marshalls</w:t>
            </w:r>
          </w:p>
        </w:tc>
        <w:tc>
          <w:tcPr>
            <w:tcW w:w="22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29,000</w:t>
            </w:r>
          </w:p>
        </w:tc>
        <w:tc>
          <w:tcPr>
            <w:tcW w:w="13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1,035</w:t>
            </w:r>
          </w:p>
        </w:tc>
        <w:tc>
          <w:tcPr>
            <w:tcW w:w="1880" w:type="dxa"/>
            <w:vAlign w:val="bottom"/>
            <w:tcBorders>
              <w:bottom w:val="single" w:sz="8" w:color="auto"/>
            </w:tcBorders>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rPr>
              <w:t>1,062</w:t>
            </w:r>
          </w:p>
        </w:tc>
        <w:tc>
          <w:tcPr>
            <w:tcW w:w="1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2,221</w:t>
            </w:r>
          </w:p>
        </w:tc>
        <w:tc>
          <w:tcPr>
            <w:tcW w:w="1880" w:type="dxa"/>
            <w:vAlign w:val="bottom"/>
            <w:tcBorders>
              <w:bottom w:val="single" w:sz="8" w:color="auto"/>
            </w:tcBorders>
          </w:tcPr>
          <w:p>
            <w:pPr>
              <w:jc w:val="right"/>
              <w:ind w:right="535"/>
              <w:spacing w:after="0" w:line="196" w:lineRule="exact"/>
              <w:rPr>
                <w:sz w:val="20"/>
                <w:szCs w:val="20"/>
                <w:color w:val="auto"/>
              </w:rPr>
            </w:pPr>
            <w:r>
              <w:rPr>
                <w:rFonts w:ascii="Arial" w:cs="Arial" w:eastAsia="Arial" w:hAnsi="Arial"/>
                <w:sz w:val="18"/>
                <w:szCs w:val="18"/>
                <w:color w:val="auto"/>
              </w:rPr>
              <w:t>2,285</w:t>
            </w:r>
          </w:p>
        </w:tc>
        <w:tc>
          <w:tcPr>
            <w:tcW w:w="1100" w:type="dxa"/>
            <w:vAlign w:val="bottom"/>
            <w:tcBorders>
              <w:bottom w:val="single" w:sz="8" w:color="auto"/>
            </w:tcBorders>
          </w:tcPr>
          <w:p>
            <w:pPr>
              <w:jc w:val="right"/>
              <w:ind w:right="264"/>
              <w:spacing w:after="0" w:line="196" w:lineRule="exact"/>
              <w:rPr>
                <w:sz w:val="20"/>
                <w:szCs w:val="20"/>
                <w:color w:val="auto"/>
              </w:rPr>
            </w:pPr>
            <w:r>
              <w:rPr>
                <w:rFonts w:ascii="Arial" w:cs="Arial" w:eastAsia="Arial" w:hAnsi="Arial"/>
                <w:sz w:val="18"/>
                <w:szCs w:val="18"/>
                <w:color w:val="auto"/>
              </w:rPr>
              <w:t>2,350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w:t>
            </w:r>
          </w:p>
        </w:tc>
        <w:tc>
          <w:tcPr>
            <w:tcW w:w="320" w:type="dxa"/>
            <w:vAlign w:val="bottom"/>
            <w:tcBorders>
              <w:bottom w:val="single" w:sz="8" w:color="auto"/>
            </w:tcBorders>
          </w:tcPr>
          <w:p>
            <w:pPr>
              <w:spacing w:after="0"/>
              <w:rPr>
                <w:sz w:val="17"/>
                <w:szCs w:val="17"/>
                <w:color w:val="auto"/>
              </w:rPr>
            </w:pP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HomeGoods</w:t>
            </w:r>
          </w:p>
        </w:tc>
        <w:tc>
          <w:tcPr>
            <w:tcW w:w="2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3040" w:type="dxa"/>
            <w:vAlign w:val="bottom"/>
          </w:tcPr>
          <w:p>
            <w:pPr>
              <w:ind w:left="220"/>
              <w:spacing w:after="0" w:line="203" w:lineRule="exact"/>
              <w:rPr>
                <w:sz w:val="20"/>
                <w:szCs w:val="20"/>
                <w:color w:val="auto"/>
              </w:rPr>
            </w:pPr>
            <w:r>
              <w:rPr>
                <w:rFonts w:ascii="Arial" w:cs="Arial" w:eastAsia="Arial" w:hAnsi="Arial"/>
                <w:sz w:val="18"/>
                <w:szCs w:val="18"/>
                <w:color w:val="auto"/>
              </w:rPr>
              <w:t>HomeGoods</w:t>
            </w:r>
            <w:r>
              <w:rPr>
                <w:rFonts w:ascii="Arial" w:cs="Arial" w:eastAsia="Arial" w:hAnsi="Arial"/>
                <w:sz w:val="22"/>
                <w:szCs w:val="22"/>
                <w:color w:val="auto"/>
                <w:vertAlign w:val="superscript"/>
              </w:rPr>
              <w:t>(3)</w:t>
            </w:r>
          </w:p>
        </w:tc>
        <w:tc>
          <w:tcPr>
            <w:tcW w:w="2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24,000</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579</w:t>
            </w:r>
          </w:p>
        </w:tc>
        <w:tc>
          <w:tcPr>
            <w:tcW w:w="1880" w:type="dxa"/>
            <w:vAlign w:val="bottom"/>
          </w:tcPr>
          <w:p>
            <w:pPr>
              <w:jc w:val="right"/>
              <w:ind w:right="535"/>
              <w:spacing w:after="0" w:line="202" w:lineRule="exact"/>
              <w:rPr>
                <w:sz w:val="20"/>
                <w:szCs w:val="20"/>
                <w:color w:val="auto"/>
              </w:rPr>
            </w:pPr>
            <w:r>
              <w:rPr>
                <w:rFonts w:ascii="Arial" w:cs="Arial" w:eastAsia="Arial" w:hAnsi="Arial"/>
                <w:sz w:val="18"/>
                <w:szCs w:val="18"/>
                <w:color w:val="auto"/>
              </w:rPr>
              <w:t>667</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22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25,000</w:t>
            </w:r>
          </w:p>
        </w:tc>
        <w:tc>
          <w:tcPr>
            <w:tcW w:w="13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rPr>
              <w:t>4</w:t>
            </w:r>
          </w:p>
        </w:tc>
        <w:tc>
          <w:tcPr>
            <w:tcW w:w="1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579</w:t>
            </w:r>
          </w:p>
        </w:tc>
        <w:tc>
          <w:tcPr>
            <w:tcW w:w="1880" w:type="dxa"/>
            <w:vAlign w:val="bottom"/>
            <w:tcBorders>
              <w:bottom w:val="single" w:sz="8" w:color="auto"/>
            </w:tcBorders>
          </w:tcPr>
          <w:p>
            <w:pPr>
              <w:jc w:val="right"/>
              <w:ind w:right="535"/>
              <w:spacing w:after="0" w:line="196" w:lineRule="exact"/>
              <w:rPr>
                <w:sz w:val="20"/>
                <w:szCs w:val="20"/>
                <w:color w:val="auto"/>
              </w:rPr>
            </w:pPr>
            <w:r>
              <w:rPr>
                <w:rFonts w:ascii="Arial" w:cs="Arial" w:eastAsia="Arial" w:hAnsi="Arial"/>
                <w:sz w:val="18"/>
                <w:szCs w:val="18"/>
                <w:color w:val="auto"/>
              </w:rPr>
              <w:t>671</w:t>
            </w:r>
          </w:p>
        </w:tc>
        <w:tc>
          <w:tcPr>
            <w:tcW w:w="1100" w:type="dxa"/>
            <w:vAlign w:val="bottom"/>
            <w:tcBorders>
              <w:bottom w:val="single" w:sz="8" w:color="auto"/>
            </w:tcBorders>
          </w:tcPr>
          <w:p>
            <w:pPr>
              <w:jc w:val="right"/>
              <w:ind w:right="264"/>
              <w:spacing w:after="0" w:line="196" w:lineRule="exact"/>
              <w:rPr>
                <w:sz w:val="20"/>
                <w:szCs w:val="20"/>
                <w:color w:val="auto"/>
              </w:rPr>
            </w:pPr>
            <w:r>
              <w:rPr>
                <w:rFonts w:ascii="Arial" w:cs="Arial" w:eastAsia="Arial" w:hAnsi="Arial"/>
                <w:sz w:val="18"/>
                <w:szCs w:val="18"/>
                <w:color w:val="auto"/>
              </w:rPr>
              <w:t>771</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1,400</w:t>
            </w:r>
          </w:p>
        </w:tc>
        <w:tc>
          <w:tcPr>
            <w:tcW w:w="320" w:type="dxa"/>
            <w:vAlign w:val="bottom"/>
            <w:tcBorders>
              <w:bottom w:val="single" w:sz="8" w:color="auto"/>
            </w:tcBorders>
          </w:tcPr>
          <w:p>
            <w:pPr>
              <w:spacing w:after="0"/>
              <w:rPr>
                <w:sz w:val="17"/>
                <w:szCs w:val="17"/>
                <w:color w:val="auto"/>
              </w:rPr>
            </w:pP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TJX Canada</w:t>
            </w:r>
          </w:p>
        </w:tc>
        <w:tc>
          <w:tcPr>
            <w:tcW w:w="2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Winners</w:t>
            </w:r>
          </w:p>
        </w:tc>
        <w:tc>
          <w:tcPr>
            <w:tcW w:w="2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28,000</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255</w:t>
            </w:r>
          </w:p>
        </w:tc>
        <w:tc>
          <w:tcPr>
            <w:tcW w:w="1880" w:type="dxa"/>
            <w:vAlign w:val="bottom"/>
          </w:tcPr>
          <w:p>
            <w:pPr>
              <w:jc w:val="right"/>
              <w:ind w:right="535"/>
              <w:spacing w:after="0" w:line="202" w:lineRule="exact"/>
              <w:rPr>
                <w:sz w:val="20"/>
                <w:szCs w:val="20"/>
                <w:color w:val="auto"/>
              </w:rPr>
            </w:pPr>
            <w:r>
              <w:rPr>
                <w:rFonts w:ascii="Arial" w:cs="Arial" w:eastAsia="Arial" w:hAnsi="Arial"/>
                <w:sz w:val="18"/>
                <w:szCs w:val="18"/>
                <w:color w:val="auto"/>
              </w:rPr>
              <w:t>264</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2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23,000</w:t>
            </w:r>
          </w:p>
        </w:tc>
        <w:tc>
          <w:tcPr>
            <w:tcW w:w="13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106</w:t>
            </w:r>
          </w:p>
        </w:tc>
        <w:tc>
          <w:tcPr>
            <w:tcW w:w="1880" w:type="dxa"/>
            <w:vAlign w:val="bottom"/>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rPr>
              <w:t>117</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30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Marshalls</w:t>
            </w:r>
          </w:p>
        </w:tc>
        <w:tc>
          <w:tcPr>
            <w:tcW w:w="22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28,000</w:t>
            </w:r>
          </w:p>
        </w:tc>
        <w:tc>
          <w:tcPr>
            <w:tcW w:w="136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57</w:t>
            </w:r>
          </w:p>
        </w:tc>
        <w:tc>
          <w:tcPr>
            <w:tcW w:w="1880" w:type="dxa"/>
            <w:vAlign w:val="bottom"/>
            <w:tcBorders>
              <w:bottom w:val="single" w:sz="8" w:color="auto"/>
            </w:tcBorders>
          </w:tcPr>
          <w:p>
            <w:pPr>
              <w:jc w:val="right"/>
              <w:ind w:right="535"/>
              <w:spacing w:after="0" w:line="202" w:lineRule="exact"/>
              <w:rPr>
                <w:sz w:val="20"/>
                <w:szCs w:val="20"/>
                <w:color w:val="auto"/>
              </w:rPr>
            </w:pPr>
            <w:r>
              <w:rPr>
                <w:rFonts w:ascii="Arial" w:cs="Arial" w:eastAsia="Arial" w:hAnsi="Arial"/>
                <w:sz w:val="18"/>
                <w:szCs w:val="18"/>
                <w:color w:val="auto"/>
              </w:rPr>
              <w:t>73</w:t>
            </w:r>
          </w:p>
        </w:tc>
        <w:tc>
          <w:tcPr>
            <w:tcW w:w="1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196"/>
        </w:trPr>
        <w:tc>
          <w:tcPr>
            <w:tcW w:w="30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418</w:t>
            </w:r>
          </w:p>
        </w:tc>
        <w:tc>
          <w:tcPr>
            <w:tcW w:w="1880" w:type="dxa"/>
            <w:vAlign w:val="bottom"/>
            <w:tcBorders>
              <w:bottom w:val="single" w:sz="8" w:color="auto"/>
            </w:tcBorders>
            <w:shd w:val="clear" w:color="auto" w:fill="CCEEFF"/>
          </w:tcPr>
          <w:p>
            <w:pPr>
              <w:jc w:val="right"/>
              <w:ind w:right="535"/>
              <w:spacing w:after="0" w:line="196" w:lineRule="exact"/>
              <w:rPr>
                <w:sz w:val="20"/>
                <w:szCs w:val="20"/>
                <w:color w:val="auto"/>
              </w:rPr>
            </w:pPr>
            <w:r>
              <w:rPr>
                <w:rFonts w:ascii="Arial" w:cs="Arial" w:eastAsia="Arial" w:hAnsi="Arial"/>
                <w:sz w:val="18"/>
                <w:szCs w:val="18"/>
                <w:color w:val="auto"/>
              </w:rPr>
              <w:t>454</w:t>
            </w:r>
          </w:p>
        </w:tc>
        <w:tc>
          <w:tcPr>
            <w:tcW w:w="1100" w:type="dxa"/>
            <w:vAlign w:val="bottom"/>
            <w:tcBorders>
              <w:bottom w:val="single" w:sz="8" w:color="auto"/>
            </w:tcBorders>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484</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320" w:type="dxa"/>
            <w:vAlign w:val="bottom"/>
            <w:tcBorders>
              <w:bottom w:val="single" w:sz="8" w:color="auto"/>
            </w:tcBorders>
            <w:shd w:val="clear" w:color="auto" w:fill="CCEEFF"/>
          </w:tcPr>
          <w:p>
            <w:pPr>
              <w:spacing w:after="0"/>
              <w:rPr>
                <w:sz w:val="17"/>
                <w:szCs w:val="17"/>
                <w:color w:val="auto"/>
              </w:rPr>
            </w:pPr>
          </w:p>
        </w:tc>
      </w:tr>
      <w:tr>
        <w:trPr>
          <w:trHeight w:val="196"/>
        </w:trPr>
        <w:tc>
          <w:tcPr>
            <w:tcW w:w="3040" w:type="dxa"/>
            <w:vAlign w:val="bottom"/>
          </w:tcPr>
          <w:p>
            <w:pPr>
              <w:spacing w:after="0" w:line="196" w:lineRule="exact"/>
              <w:rPr>
                <w:sz w:val="20"/>
                <w:szCs w:val="20"/>
                <w:color w:val="auto"/>
              </w:rPr>
            </w:pPr>
            <w:r>
              <w:rPr>
                <w:rFonts w:ascii="Arial" w:cs="Arial" w:eastAsia="Arial" w:hAnsi="Arial"/>
                <w:sz w:val="18"/>
                <w:szCs w:val="18"/>
                <w:b w:val="1"/>
                <w:bCs w:val="1"/>
                <w:color w:val="auto"/>
              </w:rPr>
              <w:t>TJX International</w:t>
            </w: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T.K. Maxx (Europe)</w:t>
            </w:r>
          </w:p>
        </w:tc>
        <w:tc>
          <w:tcPr>
            <w:tcW w:w="2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29,000</w:t>
            </w:r>
          </w:p>
        </w:tc>
        <w:tc>
          <w:tcPr>
            <w:tcW w:w="13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503</w:t>
            </w:r>
          </w:p>
        </w:tc>
        <w:tc>
          <w:tcPr>
            <w:tcW w:w="1880" w:type="dxa"/>
            <w:vAlign w:val="bottom"/>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rPr>
              <w:t>540</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Homesense (Europe)</w:t>
            </w:r>
          </w:p>
        </w:tc>
        <w:tc>
          <w:tcPr>
            <w:tcW w:w="2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20,000</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44</w:t>
            </w:r>
          </w:p>
        </w:tc>
        <w:tc>
          <w:tcPr>
            <w:tcW w:w="1880" w:type="dxa"/>
            <w:vAlign w:val="bottom"/>
          </w:tcPr>
          <w:p>
            <w:pPr>
              <w:jc w:val="right"/>
              <w:ind w:right="535"/>
              <w:spacing w:after="0" w:line="202" w:lineRule="exact"/>
              <w:rPr>
                <w:sz w:val="20"/>
                <w:szCs w:val="20"/>
                <w:color w:val="auto"/>
              </w:rPr>
            </w:pPr>
            <w:r>
              <w:rPr>
                <w:rFonts w:ascii="Arial" w:cs="Arial" w:eastAsia="Arial" w:hAnsi="Arial"/>
                <w:sz w:val="18"/>
                <w:szCs w:val="18"/>
                <w:color w:val="auto"/>
              </w:rPr>
              <w:t>55</w:t>
            </w: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T.K. Maxx (Australia)</w:t>
            </w:r>
          </w:p>
        </w:tc>
        <w:tc>
          <w:tcPr>
            <w:tcW w:w="22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22,000</w:t>
            </w:r>
          </w:p>
        </w:tc>
        <w:tc>
          <w:tcPr>
            <w:tcW w:w="13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1880" w:type="dxa"/>
            <w:vAlign w:val="bottom"/>
            <w:tcBorders>
              <w:bottom w:val="single" w:sz="8" w:color="auto"/>
            </w:tcBorders>
            <w:shd w:val="clear" w:color="auto" w:fill="CCEEFF"/>
          </w:tcPr>
          <w:p>
            <w:pPr>
              <w:jc w:val="right"/>
              <w:ind w:right="535"/>
              <w:spacing w:after="0" w:line="202" w:lineRule="exact"/>
              <w:rPr>
                <w:sz w:val="20"/>
                <w:szCs w:val="20"/>
                <w:color w:val="auto"/>
              </w:rPr>
            </w:pPr>
            <w:r>
              <w:rPr>
                <w:rFonts w:ascii="Arial" w:cs="Arial" w:eastAsia="Arial" w:hAnsi="Arial"/>
                <w:sz w:val="18"/>
                <w:szCs w:val="18"/>
                <w:color w:val="auto"/>
              </w:rPr>
              <w:t>38</w:t>
            </w:r>
          </w:p>
        </w:tc>
        <w:tc>
          <w:tcPr>
            <w:tcW w:w="1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582</w:t>
            </w:r>
          </w:p>
        </w:tc>
        <w:tc>
          <w:tcPr>
            <w:tcW w:w="1880" w:type="dxa"/>
            <w:vAlign w:val="bottom"/>
            <w:tcBorders>
              <w:bottom w:val="single" w:sz="8" w:color="auto"/>
            </w:tcBorders>
          </w:tcPr>
          <w:p>
            <w:pPr>
              <w:jc w:val="right"/>
              <w:ind w:right="535"/>
              <w:spacing w:after="0" w:line="196" w:lineRule="exact"/>
              <w:rPr>
                <w:sz w:val="20"/>
                <w:szCs w:val="20"/>
                <w:color w:val="auto"/>
              </w:rPr>
            </w:pPr>
            <w:r>
              <w:rPr>
                <w:rFonts w:ascii="Arial" w:cs="Arial" w:eastAsia="Arial" w:hAnsi="Arial"/>
                <w:sz w:val="18"/>
                <w:szCs w:val="18"/>
                <w:color w:val="auto"/>
              </w:rPr>
              <w:t>633</w:t>
            </w:r>
          </w:p>
        </w:tc>
        <w:tc>
          <w:tcPr>
            <w:tcW w:w="1100" w:type="dxa"/>
            <w:vAlign w:val="bottom"/>
            <w:tcBorders>
              <w:bottom w:val="single" w:sz="8" w:color="auto"/>
            </w:tcBorders>
          </w:tcPr>
          <w:p>
            <w:pPr>
              <w:jc w:val="right"/>
              <w:ind w:right="264"/>
              <w:spacing w:after="0" w:line="196" w:lineRule="exact"/>
              <w:rPr>
                <w:sz w:val="20"/>
                <w:szCs w:val="20"/>
                <w:color w:val="auto"/>
              </w:rPr>
            </w:pPr>
            <w:r>
              <w:rPr>
                <w:rFonts w:ascii="Arial" w:cs="Arial" w:eastAsia="Arial" w:hAnsi="Arial"/>
                <w:sz w:val="18"/>
                <w:szCs w:val="18"/>
                <w:color w:val="auto"/>
              </w:rPr>
              <w:t>668</w:t>
            </w:r>
          </w:p>
        </w:tc>
        <w:tc>
          <w:tcPr>
            <w:tcW w:w="1800" w:type="dxa"/>
            <w:vAlign w:val="bottom"/>
            <w:tcBorders>
              <w:bottom w:val="single" w:sz="8" w:color="auto"/>
            </w:tcBorders>
            <w:gridSpan w:val="2"/>
          </w:tcPr>
          <w:p>
            <w:pPr>
              <w:jc w:val="right"/>
              <w:ind w:right="180"/>
              <w:spacing w:after="0" w:line="197" w:lineRule="exact"/>
              <w:rPr>
                <w:sz w:val="20"/>
                <w:szCs w:val="20"/>
                <w:color w:val="auto"/>
              </w:rPr>
            </w:pPr>
            <w:r>
              <w:rPr>
                <w:rFonts w:ascii="Arial" w:cs="Arial" w:eastAsia="Arial" w:hAnsi="Arial"/>
                <w:sz w:val="18"/>
                <w:szCs w:val="18"/>
                <w:color w:val="auto"/>
              </w:rPr>
              <w:t>1,100</w:t>
            </w:r>
            <w:r>
              <w:rPr>
                <w:rFonts w:ascii="Arial" w:cs="Arial" w:eastAsia="Arial" w:hAnsi="Arial"/>
                <w:sz w:val="22"/>
                <w:szCs w:val="22"/>
                <w:color w:val="auto"/>
                <w:vertAlign w:val="superscript"/>
              </w:rPr>
              <w:t>(1)</w:t>
            </w:r>
          </w:p>
        </w:tc>
      </w:tr>
      <w:tr>
        <w:trPr>
          <w:trHeight w:val="196"/>
        </w:trPr>
        <w:tc>
          <w:tcPr>
            <w:tcW w:w="3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TJX Total</w:t>
            </w:r>
          </w:p>
        </w:tc>
        <w:tc>
          <w:tcPr>
            <w:tcW w:w="2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3,812</w:t>
            </w:r>
            <w:r>
              <w:rPr>
                <w:rFonts w:ascii="Arial" w:cs="Arial" w:eastAsia="Arial" w:hAnsi="Arial"/>
                <w:sz w:val="22"/>
                <w:szCs w:val="22"/>
                <w:color w:val="auto"/>
                <w:vertAlign w:val="superscript"/>
              </w:rPr>
              <w:t>(2)</w:t>
            </w:r>
          </w:p>
        </w:tc>
        <w:tc>
          <w:tcPr>
            <w:tcW w:w="1880" w:type="dxa"/>
            <w:vAlign w:val="bottom"/>
            <w:tcBorders>
              <w:bottom w:val="single" w:sz="8" w:color="auto"/>
            </w:tcBorders>
            <w:shd w:val="clear" w:color="auto" w:fill="CCEEFF"/>
          </w:tcPr>
          <w:p>
            <w:pPr>
              <w:jc w:val="right"/>
              <w:ind w:right="395"/>
              <w:spacing w:after="0" w:line="197" w:lineRule="exact"/>
              <w:rPr>
                <w:sz w:val="20"/>
                <w:szCs w:val="20"/>
                <w:color w:val="auto"/>
              </w:rPr>
            </w:pPr>
            <w:r>
              <w:rPr>
                <w:rFonts w:ascii="Arial" w:cs="Arial" w:eastAsia="Arial" w:hAnsi="Arial"/>
                <w:sz w:val="18"/>
                <w:szCs w:val="18"/>
                <w:color w:val="auto"/>
              </w:rPr>
              <w:t>4,070</w:t>
            </w:r>
            <w:r>
              <w:rPr>
                <w:rFonts w:ascii="Arial" w:cs="Arial" w:eastAsia="Arial" w:hAnsi="Arial"/>
                <w:sz w:val="22"/>
                <w:szCs w:val="22"/>
                <w:color w:val="auto"/>
                <w:vertAlign w:val="superscript"/>
              </w:rPr>
              <w:t>(2)</w:t>
            </w:r>
          </w:p>
        </w:tc>
        <w:tc>
          <w:tcPr>
            <w:tcW w:w="110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22"/>
                <w:szCs w:val="22"/>
                <w:color w:val="auto"/>
                <w:vertAlign w:val="subscript"/>
              </w:rPr>
              <w:t>4,308</w:t>
            </w:r>
            <w:r>
              <w:rPr>
                <w:rFonts w:ascii="Arial" w:cs="Arial" w:eastAsia="Arial" w:hAnsi="Arial"/>
                <w:sz w:val="9"/>
                <w:szCs w:val="9"/>
                <w:color w:val="auto"/>
              </w:rPr>
              <w:t>(2)(3)</w:t>
            </w:r>
          </w:p>
        </w:tc>
        <w:tc>
          <w:tcPr>
            <w:tcW w:w="1800" w:type="dxa"/>
            <w:vAlign w:val="bottom"/>
            <w:tcBorders>
              <w:bottom w:val="single" w:sz="8" w:color="auto"/>
            </w:tcBorders>
            <w:gridSpan w:val="2"/>
            <w:shd w:val="clear" w:color="auto" w:fill="CCEEFF"/>
          </w:tcPr>
          <w:p>
            <w:pPr>
              <w:jc w:val="right"/>
              <w:ind w:right="40"/>
              <w:spacing w:after="0" w:line="197" w:lineRule="exact"/>
              <w:rPr>
                <w:sz w:val="20"/>
                <w:szCs w:val="20"/>
                <w:color w:val="auto"/>
              </w:rPr>
            </w:pPr>
            <w:r>
              <w:rPr>
                <w:rFonts w:ascii="Arial" w:cs="Arial" w:eastAsia="Arial" w:hAnsi="Arial"/>
                <w:sz w:val="22"/>
                <w:szCs w:val="22"/>
                <w:color w:val="auto"/>
                <w:vertAlign w:val="subscript"/>
              </w:rPr>
              <w:t>6,100</w:t>
            </w:r>
            <w:r>
              <w:rPr>
                <w:rFonts w:ascii="Arial" w:cs="Arial" w:eastAsia="Arial" w:hAnsi="Arial"/>
                <w:sz w:val="9"/>
                <w:szCs w:val="9"/>
                <w:color w:val="auto"/>
              </w:rPr>
              <w:t>(2)(3)</w:t>
            </w:r>
          </w:p>
        </w:tc>
      </w:tr>
    </w:tbl>
    <w:p>
      <w:pPr>
        <w:spacing w:after="0" w:line="6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store growth potential for T.K. Maxx in current geographies and for Homesense in the United Kingdom and Ireland.</w:t>
      </w:r>
    </w:p>
    <w:p>
      <w:pPr>
        <w:ind w:left="220" w:right="20" w:hanging="212"/>
        <w:spacing w:after="0" w:line="22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TJX total includes 12 Sierra Trading Post stores in fiscal 2017, 27 Sierra Trading Post stores for fiscal 2018, and 35 Sierra Trading Post stores estimated for fiscal 2019. Sierra Trading Post stores are not included in estimated store growth potential.</w:t>
      </w: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HomeGoods and TJX total includes 15 new Homesense stores in the U.S. for fiscal 2019 and store growth potential includes 400 Homesense stores.</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Some of our home fashion stores are co-located with one of our apparel stores in a combo or superstore format. We count each of the stores in the combo or superstore format as a separate store.</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Revenue Information. </w:t>
      </w:r>
      <w:r>
        <w:rPr>
          <w:rFonts w:ascii="Arial" w:cs="Arial" w:eastAsia="Arial" w:hAnsi="Arial"/>
          <w:sz w:val="18"/>
          <w:szCs w:val="18"/>
          <w:color w:val="auto"/>
        </w:rPr>
        <w:t>The percentages of our consolidated revenues by geography for the last three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Fiscal 2018</w:t>
            </w:r>
          </w:p>
        </w:tc>
        <w:tc>
          <w:tcPr>
            <w:tcW w:w="16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Fiscal 2017</w:t>
            </w: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Fiscal 2016</w:t>
            </w: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6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Northeast</w:t>
            </w:r>
          </w:p>
        </w:tc>
        <w:tc>
          <w:tcPr>
            <w:tcW w:w="36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24%</w:t>
            </w:r>
          </w:p>
        </w:tc>
        <w:tc>
          <w:tcPr>
            <w:tcW w:w="16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Midwest</w:t>
            </w:r>
          </w:p>
        </w:tc>
        <w:tc>
          <w:tcPr>
            <w:tcW w:w="362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b w:val="1"/>
                <w:bCs w:val="1"/>
                <w:color w:val="auto"/>
              </w:rPr>
              <w:t>12</w:t>
            </w:r>
          </w:p>
        </w:tc>
        <w:tc>
          <w:tcPr>
            <w:tcW w:w="164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12</w:t>
            </w:r>
          </w:p>
        </w:tc>
        <w:tc>
          <w:tcPr>
            <w:tcW w:w="13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12</w:t>
            </w:r>
          </w:p>
        </w:tc>
      </w:tr>
      <w:tr>
        <w:trPr>
          <w:trHeight w:val="203"/>
        </w:trPr>
        <w:tc>
          <w:tcPr>
            <w:tcW w:w="4860" w:type="dxa"/>
            <w:vAlign w:val="bottom"/>
          </w:tcPr>
          <w:p>
            <w:pPr>
              <w:ind w:left="220"/>
              <w:spacing w:after="0" w:line="202" w:lineRule="exact"/>
              <w:rPr>
                <w:sz w:val="20"/>
                <w:szCs w:val="20"/>
                <w:color w:val="auto"/>
              </w:rPr>
            </w:pPr>
            <w:r>
              <w:rPr>
                <w:rFonts w:ascii="Arial" w:cs="Arial" w:eastAsia="Arial" w:hAnsi="Arial"/>
                <w:sz w:val="18"/>
                <w:szCs w:val="18"/>
                <w:color w:val="auto"/>
              </w:rPr>
              <w:t>South (including Puerto Rico)</w:t>
            </w:r>
          </w:p>
        </w:tc>
        <w:tc>
          <w:tcPr>
            <w:tcW w:w="3620" w:type="dxa"/>
            <w:vAlign w:val="bottom"/>
          </w:tcPr>
          <w:p>
            <w:pPr>
              <w:jc w:val="right"/>
              <w:ind w:right="454"/>
              <w:spacing w:after="0" w:line="202" w:lineRule="exact"/>
              <w:rPr>
                <w:sz w:val="20"/>
                <w:szCs w:val="20"/>
                <w:color w:val="auto"/>
              </w:rPr>
            </w:pPr>
            <w:r>
              <w:rPr>
                <w:rFonts w:ascii="Arial" w:cs="Arial" w:eastAsia="Arial" w:hAnsi="Arial"/>
                <w:sz w:val="18"/>
                <w:szCs w:val="18"/>
                <w:b w:val="1"/>
                <w:bCs w:val="1"/>
                <w:color w:val="auto"/>
              </w:rPr>
              <w:t>25</w:t>
            </w:r>
          </w:p>
        </w:tc>
        <w:tc>
          <w:tcPr>
            <w:tcW w:w="164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25</w:t>
            </w: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25</w:t>
            </w:r>
          </w:p>
        </w:tc>
      </w:tr>
      <w:tr>
        <w:trPr>
          <w:trHeight w:val="203"/>
        </w:trPr>
        <w:tc>
          <w:tcPr>
            <w:tcW w:w="48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West</w:t>
            </w:r>
          </w:p>
        </w:tc>
        <w:tc>
          <w:tcPr>
            <w:tcW w:w="362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b w:val="1"/>
                <w:bCs w:val="1"/>
                <w:color w:val="auto"/>
              </w:rPr>
              <w:t>15</w:t>
            </w:r>
          </w:p>
        </w:tc>
        <w:tc>
          <w:tcPr>
            <w:tcW w:w="164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16</w:t>
            </w:r>
          </w:p>
        </w:tc>
        <w:tc>
          <w:tcPr>
            <w:tcW w:w="130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16</w:t>
            </w:r>
          </w:p>
        </w:tc>
      </w:tr>
      <w:tr>
        <w:trPr>
          <w:trHeight w:val="196"/>
        </w:trPr>
        <w:tc>
          <w:tcPr>
            <w:tcW w:w="4860" w:type="dxa"/>
            <w:vAlign w:val="bottom"/>
          </w:tcPr>
          <w:p>
            <w:pPr>
              <w:ind w:left="440"/>
              <w:spacing w:after="0" w:line="196" w:lineRule="exact"/>
              <w:rPr>
                <w:sz w:val="20"/>
                <w:szCs w:val="20"/>
                <w:color w:val="auto"/>
              </w:rPr>
            </w:pPr>
            <w:r>
              <w:rPr>
                <w:rFonts w:ascii="Arial" w:cs="Arial" w:eastAsia="Arial" w:hAnsi="Arial"/>
                <w:sz w:val="18"/>
                <w:szCs w:val="18"/>
                <w:color w:val="auto"/>
              </w:rPr>
              <w:t>Subtotal</w:t>
            </w:r>
          </w:p>
        </w:tc>
        <w:tc>
          <w:tcPr>
            <w:tcW w:w="3620" w:type="dxa"/>
            <w:vAlign w:val="bottom"/>
          </w:tcPr>
          <w:p>
            <w:pPr>
              <w:jc w:val="right"/>
              <w:ind w:right="454"/>
              <w:spacing w:after="0" w:line="196" w:lineRule="exact"/>
              <w:rPr>
                <w:sz w:val="20"/>
                <w:szCs w:val="20"/>
                <w:color w:val="auto"/>
              </w:rPr>
            </w:pPr>
            <w:r>
              <w:rPr>
                <w:rFonts w:ascii="Arial" w:cs="Arial" w:eastAsia="Arial" w:hAnsi="Arial"/>
                <w:sz w:val="18"/>
                <w:szCs w:val="18"/>
                <w:b w:val="1"/>
                <w:bCs w:val="1"/>
                <w:color w:val="auto"/>
              </w:rPr>
              <w:t>76</w:t>
            </w:r>
          </w:p>
        </w:tc>
        <w:tc>
          <w:tcPr>
            <w:tcW w:w="1640" w:type="dxa"/>
            <w:vAlign w:val="bottom"/>
          </w:tcPr>
          <w:p>
            <w:pPr>
              <w:jc w:val="right"/>
              <w:ind w:right="474"/>
              <w:spacing w:after="0" w:line="196" w:lineRule="exact"/>
              <w:rPr>
                <w:sz w:val="20"/>
                <w:szCs w:val="20"/>
                <w:color w:val="auto"/>
              </w:rPr>
            </w:pPr>
            <w:r>
              <w:rPr>
                <w:rFonts w:ascii="Arial" w:cs="Arial" w:eastAsia="Arial" w:hAnsi="Arial"/>
                <w:sz w:val="18"/>
                <w:szCs w:val="18"/>
                <w:color w:val="auto"/>
              </w:rPr>
              <w:t>77</w:t>
            </w:r>
          </w:p>
        </w:tc>
        <w:tc>
          <w:tcPr>
            <w:tcW w:w="130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77</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362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b w:val="1"/>
                <w:bCs w:val="1"/>
                <w:color w:val="auto"/>
              </w:rPr>
              <w:t>10</w:t>
            </w:r>
          </w:p>
        </w:tc>
        <w:tc>
          <w:tcPr>
            <w:tcW w:w="164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3620" w:type="dxa"/>
            <w:vAlign w:val="bottom"/>
          </w:tcPr>
          <w:p>
            <w:pPr>
              <w:jc w:val="right"/>
              <w:ind w:right="454"/>
              <w:spacing w:after="0" w:line="202" w:lineRule="exact"/>
              <w:rPr>
                <w:sz w:val="20"/>
                <w:szCs w:val="20"/>
                <w:color w:val="auto"/>
              </w:rPr>
            </w:pPr>
            <w:r>
              <w:rPr>
                <w:rFonts w:ascii="Arial" w:cs="Arial" w:eastAsia="Arial" w:hAnsi="Arial"/>
                <w:sz w:val="18"/>
                <w:szCs w:val="18"/>
                <w:b w:val="1"/>
                <w:bCs w:val="1"/>
                <w:color w:val="auto"/>
              </w:rPr>
              <w:t>13</w:t>
            </w:r>
          </w:p>
        </w:tc>
        <w:tc>
          <w:tcPr>
            <w:tcW w:w="164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13</w:t>
            </w: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Australia</w:t>
            </w:r>
          </w:p>
        </w:tc>
        <w:tc>
          <w:tcPr>
            <w:tcW w:w="362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b w:val="1"/>
                <w:bCs w:val="1"/>
                <w:color w:val="auto"/>
              </w:rPr>
              <w:t>1</w:t>
            </w:r>
          </w:p>
        </w:tc>
        <w:tc>
          <w:tcPr>
            <w:tcW w:w="1640" w:type="dxa"/>
            <w:vAlign w:val="bottom"/>
            <w:tcBorders>
              <w:bottom w:val="single" w:sz="8" w:color="auto"/>
            </w:tcBorders>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r>
      <w:tr>
        <w:trPr>
          <w:trHeight w:val="196"/>
        </w:trPr>
        <w:tc>
          <w:tcPr>
            <w:tcW w:w="486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tcPr>
          <w:p>
            <w:pPr>
              <w:jc w:val="right"/>
              <w:ind w:right="294"/>
              <w:spacing w:after="0" w:line="196" w:lineRule="exact"/>
              <w:rPr>
                <w:sz w:val="20"/>
                <w:szCs w:val="20"/>
                <w:color w:val="auto"/>
              </w:rPr>
            </w:pPr>
            <w:r>
              <w:rPr>
                <w:rFonts w:ascii="Arial" w:cs="Arial" w:eastAsia="Arial" w:hAnsi="Arial"/>
                <w:sz w:val="18"/>
                <w:szCs w:val="18"/>
                <w:b w:val="1"/>
                <w:bCs w:val="1"/>
                <w:color w:val="auto"/>
              </w:rPr>
              <w:t>100%</w:t>
            </w:r>
          </w:p>
        </w:tc>
        <w:tc>
          <w:tcPr>
            <w:tcW w:w="1640" w:type="dxa"/>
            <w:vAlign w:val="bottom"/>
            <w:tcBorders>
              <w:bottom w:val="single" w:sz="8" w:color="auto"/>
            </w:tcBorders>
          </w:tcPr>
          <w:p>
            <w:pPr>
              <w:jc w:val="right"/>
              <w:ind w:right="314"/>
              <w:spacing w:after="0" w:line="196" w:lineRule="exact"/>
              <w:rPr>
                <w:sz w:val="20"/>
                <w:szCs w:val="20"/>
                <w:color w:val="auto"/>
              </w:rPr>
            </w:pPr>
            <w:r>
              <w:rPr>
                <w:rFonts w:ascii="Arial" w:cs="Arial" w:eastAsia="Arial" w:hAnsi="Arial"/>
                <w:sz w:val="18"/>
                <w:szCs w:val="18"/>
                <w:color w:val="auto"/>
              </w:rPr>
              <w:t>100%</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r>
    </w:tbl>
    <w:p>
      <w:pPr>
        <w:spacing w:after="0" w:line="84" w:lineRule="exact"/>
        <w:rPr>
          <w:sz w:val="20"/>
          <w:szCs w:val="20"/>
          <w:color w:val="auto"/>
        </w:rPr>
      </w:pPr>
    </w:p>
    <w:p>
      <w:pPr>
        <w:ind w:left="5660" w:right="4320" w:hanging="5310"/>
        <w:spacing w:after="0" w:line="411" w:lineRule="auto"/>
        <w:tabs>
          <w:tab w:leader="none" w:pos="46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Australia was less than one percent during fiscal 2017 and fiscal 2016. 6</w:t>
      </w:r>
    </w:p>
    <w:p>
      <w:pPr>
        <w:sectPr>
          <w:pgSz w:w="11900" w:h="16838" w:orient="portrait"/>
          <w:cols w:equalWidth="0" w:num="1">
            <w:col w:w="11420"/>
          </w:cols>
          <w:pgMar w:left="240" w:top="291" w:right="239" w:bottom="1440" w:gutter="0" w:footer="0" w:header="0"/>
        </w:sectPr>
      </w:pPr>
    </w:p>
    <w:bookmarkStart w:id="6" w:name="page7"/>
    <w:bookmarkEnd w:id="6"/>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percentages of our consolidated revenues by major product category for the last three fiscal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Fiscal 2018</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Fiscal 2017</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Fiscal 2016</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Apparel</w:t>
            </w:r>
          </w:p>
        </w:tc>
        <w:tc>
          <w:tcPr>
            <w:tcW w:w="2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Clothing including footwear</w:t>
            </w:r>
          </w:p>
        </w:tc>
        <w:tc>
          <w:tcPr>
            <w:tcW w:w="2420" w:type="dxa"/>
            <w:vAlign w:val="bottom"/>
          </w:tcPr>
          <w:p>
            <w:pPr>
              <w:spacing w:after="0"/>
              <w:rPr>
                <w:sz w:val="17"/>
                <w:szCs w:val="17"/>
                <w:color w:val="auto"/>
              </w:rPr>
            </w:pPr>
          </w:p>
        </w:tc>
        <w:tc>
          <w:tcPr>
            <w:tcW w:w="132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52%</w:t>
            </w:r>
          </w:p>
        </w:tc>
        <w:tc>
          <w:tcPr>
            <w:tcW w:w="440" w:type="dxa"/>
            <w:vAlign w:val="bottom"/>
          </w:tcPr>
          <w:p>
            <w:pPr>
              <w:spacing w:after="0"/>
              <w:rPr>
                <w:sz w:val="17"/>
                <w:szCs w:val="17"/>
                <w:color w:val="auto"/>
              </w:rPr>
            </w:pPr>
          </w:p>
        </w:tc>
        <w:tc>
          <w:tcPr>
            <w:tcW w:w="12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54%</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Jewelry and accessories</w:t>
            </w:r>
          </w:p>
        </w:tc>
        <w:tc>
          <w:tcPr>
            <w:tcW w:w="2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15</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4"/>
              <w:spacing w:after="0" w:line="202" w:lineRule="exact"/>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15</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Home fashions</w:t>
            </w:r>
          </w:p>
        </w:tc>
        <w:tc>
          <w:tcPr>
            <w:tcW w:w="2420" w:type="dxa"/>
            <w:vAlign w:val="bottom"/>
          </w:tcPr>
          <w:p>
            <w:pPr>
              <w:spacing w:after="0"/>
              <w:rPr>
                <w:sz w:val="17"/>
                <w:szCs w:val="17"/>
                <w:color w:val="auto"/>
              </w:rPr>
            </w:pPr>
          </w:p>
        </w:tc>
        <w:tc>
          <w:tcPr>
            <w:tcW w:w="13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33</w:t>
            </w:r>
          </w:p>
        </w:tc>
        <w:tc>
          <w:tcPr>
            <w:tcW w:w="440" w:type="dxa"/>
            <w:vAlign w:val="bottom"/>
          </w:tcPr>
          <w:p>
            <w:pPr>
              <w:spacing w:after="0"/>
              <w:rPr>
                <w:sz w:val="17"/>
                <w:szCs w:val="17"/>
                <w:color w:val="auto"/>
              </w:rPr>
            </w:pPr>
          </w:p>
        </w:tc>
        <w:tc>
          <w:tcPr>
            <w:tcW w:w="1260" w:type="dxa"/>
            <w:vAlign w:val="bottom"/>
          </w:tcPr>
          <w:p>
            <w:pPr>
              <w:jc w:val="right"/>
              <w:ind w:right="374"/>
              <w:spacing w:after="0" w:line="202"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30</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bottom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Total</w:t>
            </w:r>
          </w:p>
        </w:tc>
        <w:tc>
          <w:tcPr>
            <w:tcW w:w="242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b w:val="1"/>
                <w:bCs w:val="1"/>
                <w:color w:val="auto"/>
              </w:rPr>
              <w:t>100%</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100%</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89"/>
        </w:trPr>
        <w:tc>
          <w:tcPr>
            <w:tcW w:w="20" w:type="dxa"/>
            <w:vAlign w:val="bottom"/>
          </w:tcPr>
          <w:p>
            <w:pPr>
              <w:spacing w:after="0"/>
              <w:rPr>
                <w:sz w:val="24"/>
                <w:szCs w:val="24"/>
                <w:color w:val="auto"/>
              </w:rPr>
            </w:pPr>
          </w:p>
        </w:tc>
        <w:tc>
          <w:tcPr>
            <w:tcW w:w="8300" w:type="dxa"/>
            <w:vAlign w:val="bottom"/>
            <w:gridSpan w:val="3"/>
          </w:tcPr>
          <w:p>
            <w:pPr>
              <w:jc w:val="right"/>
              <w:ind w:right="334"/>
              <w:spacing w:after="0"/>
              <w:rPr>
                <w:sz w:val="20"/>
                <w:szCs w:val="20"/>
                <w:color w:val="auto"/>
              </w:rPr>
            </w:pPr>
            <w:r>
              <w:rPr>
                <w:rFonts w:ascii="Arial" w:cs="Arial" w:eastAsia="Arial" w:hAnsi="Arial"/>
                <w:sz w:val="18"/>
                <w:szCs w:val="18"/>
                <w:color w:val="auto"/>
              </w:rPr>
              <w:t>Information about our long-lived assets by geography for the last three fiscal years are as follows: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color w:val="auto"/>
              </w:rPr>
              <w:t>Fiscal Year Ended</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Dollars in thousands</w:t>
            </w:r>
          </w:p>
        </w:tc>
        <w:tc>
          <w:tcPr>
            <w:tcW w:w="3740" w:type="dxa"/>
            <w:vAlign w:val="bottom"/>
            <w:tcBorders>
              <w:bottom w:val="single" w:sz="8" w:color="auto"/>
            </w:tcBorders>
            <w:gridSpan w:val="2"/>
          </w:tcPr>
          <w:p>
            <w:pPr>
              <w:ind w:left="2240"/>
              <w:spacing w:after="0" w:line="142" w:lineRule="exact"/>
              <w:rPr>
                <w:sz w:val="20"/>
                <w:szCs w:val="20"/>
                <w:color w:val="auto"/>
              </w:rPr>
            </w:pPr>
            <w:r>
              <w:rPr>
                <w:rFonts w:ascii="Arial" w:cs="Arial" w:eastAsia="Arial" w:hAnsi="Arial"/>
                <w:sz w:val="14"/>
                <w:szCs w:val="14"/>
                <w:b w:val="1"/>
                <w:bCs w:val="1"/>
                <w:color w:val="auto"/>
              </w:rPr>
              <w:t>February 3, 2018</w:t>
            </w:r>
          </w:p>
        </w:tc>
        <w:tc>
          <w:tcPr>
            <w:tcW w:w="170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January 28, 2017</w:t>
            </w:r>
          </w:p>
        </w:tc>
        <w:tc>
          <w:tcPr>
            <w:tcW w:w="14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w w:val="99"/>
              </w:rPr>
              <w:t>January 30, 2016</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420" w:type="dxa"/>
            <w:vAlign w:val="bottom"/>
            <w:shd w:val="clear" w:color="auto" w:fill="CCEEFF"/>
          </w:tcPr>
          <w:p>
            <w:pPr>
              <w:ind w:left="224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b w:val="1"/>
                <w:bCs w:val="1"/>
                <w:color w:val="auto"/>
              </w:rPr>
              <w:t>3,514,628</w:t>
            </w:r>
          </w:p>
        </w:tc>
        <w:tc>
          <w:tcPr>
            <w:tcW w:w="44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3,312,210</w:t>
            </w:r>
          </w:p>
        </w:tc>
        <w:tc>
          <w:tcPr>
            <w:tcW w:w="4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3,101,846</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2420" w:type="dxa"/>
            <w:vAlign w:val="bottom"/>
          </w:tcPr>
          <w:p>
            <w:pPr>
              <w:spacing w:after="0"/>
              <w:rPr>
                <w:sz w:val="17"/>
                <w:szCs w:val="17"/>
                <w:color w:val="auto"/>
              </w:rPr>
            </w:pPr>
          </w:p>
        </w:tc>
        <w:tc>
          <w:tcPr>
            <w:tcW w:w="1320" w:type="dxa"/>
            <w:vAlign w:val="bottom"/>
          </w:tcPr>
          <w:p>
            <w:pPr>
              <w:jc w:val="right"/>
              <w:ind w:right="354"/>
              <w:spacing w:after="0" w:line="202" w:lineRule="exact"/>
              <w:rPr>
                <w:sz w:val="20"/>
                <w:szCs w:val="20"/>
                <w:color w:val="auto"/>
              </w:rPr>
            </w:pPr>
            <w:r>
              <w:rPr>
                <w:rFonts w:ascii="Arial" w:cs="Arial" w:eastAsia="Arial" w:hAnsi="Arial"/>
                <w:sz w:val="18"/>
                <w:szCs w:val="18"/>
                <w:b w:val="1"/>
                <w:bCs w:val="1"/>
                <w:color w:val="auto"/>
              </w:rPr>
              <w:t>308,259</w:t>
            </w:r>
          </w:p>
        </w:tc>
        <w:tc>
          <w:tcPr>
            <w:tcW w:w="440" w:type="dxa"/>
            <w:vAlign w:val="bottom"/>
          </w:tcPr>
          <w:p>
            <w:pPr>
              <w:spacing w:after="0"/>
              <w:rPr>
                <w:sz w:val="17"/>
                <w:szCs w:val="17"/>
                <w:color w:val="auto"/>
              </w:rPr>
            </w:pPr>
          </w:p>
        </w:tc>
        <w:tc>
          <w:tcPr>
            <w:tcW w:w="126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283,688</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242,705</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2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b w:val="1"/>
                <w:bCs w:val="1"/>
                <w:color w:val="auto"/>
              </w:rPr>
              <w:t>1,151,972</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920,710</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782,970</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Australia</w:t>
            </w:r>
          </w:p>
        </w:tc>
        <w:tc>
          <w:tcPr>
            <w:tcW w:w="2420" w:type="dxa"/>
            <w:vAlign w:val="bottom"/>
          </w:tcPr>
          <w:p>
            <w:pPr>
              <w:spacing w:after="0"/>
              <w:rPr>
                <w:sz w:val="17"/>
                <w:szCs w:val="17"/>
                <w:color w:val="auto"/>
              </w:rPr>
            </w:pPr>
          </w:p>
        </w:tc>
        <w:tc>
          <w:tcPr>
            <w:tcW w:w="1320" w:type="dxa"/>
            <w:vAlign w:val="bottom"/>
          </w:tcPr>
          <w:p>
            <w:pPr>
              <w:jc w:val="right"/>
              <w:ind w:right="354"/>
              <w:spacing w:after="0" w:line="202" w:lineRule="exact"/>
              <w:rPr>
                <w:sz w:val="20"/>
                <w:szCs w:val="20"/>
                <w:color w:val="auto"/>
              </w:rPr>
            </w:pPr>
            <w:r>
              <w:rPr>
                <w:rFonts w:ascii="Arial" w:cs="Arial" w:eastAsia="Arial" w:hAnsi="Arial"/>
                <w:sz w:val="18"/>
                <w:szCs w:val="18"/>
                <w:b w:val="1"/>
                <w:bCs w:val="1"/>
                <w:color w:val="auto"/>
              </w:rPr>
              <w:t>31,194</w:t>
            </w:r>
          </w:p>
        </w:tc>
        <w:tc>
          <w:tcPr>
            <w:tcW w:w="440" w:type="dxa"/>
            <w:vAlign w:val="bottom"/>
          </w:tcPr>
          <w:p>
            <w:pPr>
              <w:spacing w:after="0"/>
              <w:rPr>
                <w:sz w:val="17"/>
                <w:szCs w:val="17"/>
                <w:color w:val="auto"/>
              </w:rPr>
            </w:pPr>
          </w:p>
        </w:tc>
        <w:tc>
          <w:tcPr>
            <w:tcW w:w="126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16,286</w:t>
            </w: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10,054</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long-lived assets</w:t>
            </w:r>
          </w:p>
        </w:tc>
        <w:tc>
          <w:tcPr>
            <w:tcW w:w="2420" w:type="dxa"/>
            <w:vAlign w:val="bottom"/>
            <w:tcBorders>
              <w:top w:val="single" w:sz="8" w:color="auto"/>
              <w:bottom w:val="single" w:sz="8" w:color="auto"/>
            </w:tcBorders>
            <w:shd w:val="clear" w:color="auto" w:fill="CCEEFF"/>
          </w:tcPr>
          <w:p>
            <w:pPr>
              <w:ind w:left="224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ind w:right="354"/>
              <w:spacing w:after="0" w:line="196" w:lineRule="exact"/>
              <w:rPr>
                <w:sz w:val="20"/>
                <w:szCs w:val="20"/>
                <w:color w:val="auto"/>
              </w:rPr>
            </w:pPr>
            <w:r>
              <w:rPr>
                <w:rFonts w:ascii="Arial" w:cs="Arial" w:eastAsia="Arial" w:hAnsi="Arial"/>
                <w:sz w:val="18"/>
                <w:szCs w:val="18"/>
                <w:b w:val="1"/>
                <w:bCs w:val="1"/>
                <w:color w:val="auto"/>
              </w:rPr>
              <w:t>5,006,053</w:t>
            </w:r>
          </w:p>
        </w:tc>
        <w:tc>
          <w:tcPr>
            <w:tcW w:w="440" w:type="dxa"/>
            <w:vAlign w:val="bottom"/>
            <w:tcBorders>
              <w:top w:val="single" w:sz="8" w:color="auto"/>
              <w:bottom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4,532,894</w:t>
            </w:r>
          </w:p>
        </w:tc>
        <w:tc>
          <w:tcPr>
            <w:tcW w:w="440" w:type="dxa"/>
            <w:vAlign w:val="bottom"/>
            <w:tcBorders>
              <w:top w:val="single" w:sz="8" w:color="auto"/>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4,137,575</w:t>
            </w:r>
          </w:p>
        </w:tc>
      </w:tr>
    </w:tbl>
    <w:p>
      <w:pPr>
        <w:spacing w:after="0" w:line="64"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b w:val="1"/>
          <w:bCs w:val="1"/>
          <w:i w:val="1"/>
          <w:iCs w:val="1"/>
          <w:color w:val="auto"/>
        </w:rPr>
        <w:t xml:space="preserve">Segment Overview. </w:t>
      </w:r>
      <w:r>
        <w:rPr>
          <w:rFonts w:ascii="Arial" w:cs="Arial" w:eastAsia="Arial" w:hAnsi="Arial"/>
          <w:sz w:val="18"/>
          <w:szCs w:val="18"/>
          <w:color w:val="auto"/>
        </w:rPr>
        <w:t>We report our results in four business segments. The Marmaxx segment (T.J. Maxx, Marshalls and tjmaxx.com)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HomeGoods segment (HomeGoods and Homesense) both operate in the United States. Our TJX Canada segment operates Winners, HomeSense and Marshalls in Canada, and our TJX International segment operates T.K. Maxx, Homesense and tkmaxx.com in Europe and T.K. Maxx in Australia. We also operate STP, an off-price Internet retailer that operates sierratradingpost.com and retail stores in the U.S. The results of STP are reported in our Marmaxx segment. Each of our segments has its own management, administrative, buying and merchandising organization and distribution network. More detailed information about our segments, including financial information for each of the last three fiscal years, can be found in Note G- Segment Information of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91" w:right="239" w:bottom="1440" w:gutter="0" w:footer="0" w:header="0"/>
        </w:sectPr>
      </w:pPr>
    </w:p>
    <w:bookmarkStart w:id="7" w:name="page8"/>
    <w:bookmarkEnd w:id="7"/>
    <w:p>
      <w:pPr>
        <w:ind w:right="420" w:firstLine="342"/>
        <w:spacing w:after="0" w:line="262"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Store Locations. </w:t>
      </w:r>
      <w:r>
        <w:rPr>
          <w:rFonts w:ascii="Arial" w:cs="Arial" w:eastAsia="Arial" w:hAnsi="Arial"/>
          <w:sz w:val="18"/>
          <w:szCs w:val="18"/>
          <w:color w:val="auto"/>
        </w:rPr>
        <w:t>Our chains operated stores in the following locations at the end of fiscal 2018; store counts below include both banners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 combo or a superstore: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T.J. Maxx</w:t>
            </w: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Marshalls</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HomeGoods</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Homesense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Sierra Trading Post</w:t>
            </w: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Alabama</w:t>
            </w:r>
          </w:p>
        </w:tc>
        <w:tc>
          <w:tcPr>
            <w:tcW w:w="2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50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6</w:t>
            </w:r>
          </w:p>
        </w:tc>
        <w:tc>
          <w:tcPr>
            <w:tcW w:w="140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Arizona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12</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Arkansas</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California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143</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78</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Colorado</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Connecticut</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16</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Delaware</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District of Columbia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Florida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92</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61</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Georgia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34</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22</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Hawaii</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Idaho</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Illinois</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47</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28</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Indiana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14</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Iowa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Kansas</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Kentucky</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Louisiana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Maine</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Maryland</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29</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19</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Massachusetts</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58</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33</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Michigan</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17</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Minnesota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15</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Mississippi</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Missouri</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16</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Montana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Nebraska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Nevada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Hampshire</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9</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New Jersey</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38</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Mexico</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New York</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79</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47</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Carolina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26</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18</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North Dakota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Ohio</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34</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20</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Oklahoma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Oregon</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Pennsylvania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38</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30</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Puerto Rico</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Rhode Island</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6</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South Carolina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11</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South Dakota</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Tennessee</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18</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Texas</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85</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43</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Utah</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Vermont</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Virginia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29</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21</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Washington</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20</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11</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West Virginia</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5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Wisconsin</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5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9</w:t>
            </w:r>
          </w:p>
        </w:tc>
        <w:tc>
          <w:tcPr>
            <w:tcW w:w="13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3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Wyoming</w:t>
            </w:r>
          </w:p>
        </w:tc>
        <w:tc>
          <w:tcPr>
            <w:tcW w:w="2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32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 Stores</w:t>
            </w:r>
          </w:p>
        </w:tc>
        <w:tc>
          <w:tcPr>
            <w:tcW w:w="2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1,223</w:t>
            </w:r>
          </w:p>
        </w:tc>
        <w:tc>
          <w:tcPr>
            <w:tcW w:w="15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1,062</w:t>
            </w:r>
          </w:p>
        </w:tc>
        <w:tc>
          <w:tcPr>
            <w:tcW w:w="14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667</w:t>
            </w:r>
          </w:p>
        </w:tc>
        <w:tc>
          <w:tcPr>
            <w:tcW w:w="136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4</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56"/>
        </w:trPr>
        <w:tc>
          <w:tcPr>
            <w:tcW w:w="3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00" w:type="dxa"/>
            <w:vAlign w:val="bottom"/>
          </w:tcPr>
          <w:p>
            <w:pPr>
              <w:jc w:val="right"/>
              <w:ind w:right="1273"/>
              <w:spacing w:after="0"/>
              <w:rPr>
                <w:sz w:val="20"/>
                <w:szCs w:val="20"/>
                <w:color w:val="auto"/>
              </w:rPr>
            </w:pPr>
            <w:r>
              <w:rPr>
                <w:rFonts w:ascii="Arial" w:cs="Arial" w:eastAsia="Arial" w:hAnsi="Arial"/>
                <w:sz w:val="18"/>
                <w:szCs w:val="18"/>
                <w:color w:val="auto"/>
              </w:rPr>
              <w:t>8</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Winners</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HomeSense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Marshalls</w:t>
            </w: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Alberta</w:t>
            </w:r>
          </w:p>
        </w:tc>
        <w:tc>
          <w:tcPr>
            <w:tcW w:w="3840" w:type="dxa"/>
            <w:vAlign w:val="bottom"/>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34</w:t>
            </w:r>
          </w:p>
        </w:tc>
        <w:tc>
          <w:tcPr>
            <w:tcW w:w="1400" w:type="dxa"/>
            <w:vAlign w:val="bottom"/>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19</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British Columbia</w:t>
            </w:r>
          </w:p>
        </w:tc>
        <w:tc>
          <w:tcPr>
            <w:tcW w:w="3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35</w:t>
            </w:r>
          </w:p>
        </w:tc>
        <w:tc>
          <w:tcPr>
            <w:tcW w:w="14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Manitoba</w:t>
            </w:r>
          </w:p>
        </w:tc>
        <w:tc>
          <w:tcPr>
            <w:tcW w:w="3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9</w:t>
            </w:r>
          </w:p>
        </w:tc>
        <w:tc>
          <w:tcPr>
            <w:tcW w:w="140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New Brunswick</w:t>
            </w:r>
          </w:p>
        </w:tc>
        <w:tc>
          <w:tcPr>
            <w:tcW w:w="3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w:t>
            </w:r>
          </w:p>
        </w:tc>
        <w:tc>
          <w:tcPr>
            <w:tcW w:w="14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Newfoundland</w:t>
            </w:r>
          </w:p>
        </w:tc>
        <w:tc>
          <w:tcPr>
            <w:tcW w:w="3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3</w:t>
            </w:r>
          </w:p>
        </w:tc>
        <w:tc>
          <w:tcPr>
            <w:tcW w:w="140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Nova Scotia</w:t>
            </w:r>
          </w:p>
        </w:tc>
        <w:tc>
          <w:tcPr>
            <w:tcW w:w="3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11</w:t>
            </w:r>
          </w:p>
        </w:tc>
        <w:tc>
          <w:tcPr>
            <w:tcW w:w="14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Ontario</w:t>
            </w:r>
          </w:p>
        </w:tc>
        <w:tc>
          <w:tcPr>
            <w:tcW w:w="3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114</w:t>
            </w:r>
          </w:p>
        </w:tc>
        <w:tc>
          <w:tcPr>
            <w:tcW w:w="140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52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Prince Edward Island</w:t>
            </w:r>
          </w:p>
        </w:tc>
        <w:tc>
          <w:tcPr>
            <w:tcW w:w="38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w:t>
            </w:r>
          </w:p>
        </w:tc>
        <w:tc>
          <w:tcPr>
            <w:tcW w:w="14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Quebec</w:t>
            </w:r>
          </w:p>
        </w:tc>
        <w:tc>
          <w:tcPr>
            <w:tcW w:w="38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47</w:t>
            </w:r>
          </w:p>
        </w:tc>
        <w:tc>
          <w:tcPr>
            <w:tcW w:w="140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5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Saskatchewan</w:t>
            </w:r>
          </w:p>
        </w:tc>
        <w:tc>
          <w:tcPr>
            <w:tcW w:w="38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6</w:t>
            </w:r>
          </w:p>
        </w:tc>
        <w:tc>
          <w:tcPr>
            <w:tcW w:w="1400" w:type="dxa"/>
            <w:vAlign w:val="bottom"/>
            <w:tcBorders>
              <w:bottom w:val="single" w:sz="8" w:color="auto"/>
            </w:tcBorders>
          </w:tcPr>
          <w:p>
            <w:pPr>
              <w:jc w:val="right"/>
              <w:ind w:right="174"/>
              <w:spacing w:after="0" w:line="202" w:lineRule="exact"/>
              <w:rPr>
                <w:sz w:val="20"/>
                <w:szCs w:val="20"/>
                <w:color w:val="auto"/>
              </w:rPr>
            </w:pPr>
            <w:r>
              <w:rPr>
                <w:rFonts w:ascii="Arial" w:cs="Arial" w:eastAsia="Arial" w:hAnsi="Arial"/>
                <w:sz w:val="18"/>
                <w:szCs w:val="18"/>
                <w:color w:val="auto"/>
              </w:rPr>
              <w:t>3</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51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w:t>
            </w:r>
          </w:p>
        </w:tc>
        <w:tc>
          <w:tcPr>
            <w:tcW w:w="3840" w:type="dxa"/>
            <w:vAlign w:val="bottom"/>
            <w:tcBorders>
              <w:bottom w:val="single" w:sz="8" w:color="auto"/>
            </w:tcBorders>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264</w:t>
            </w:r>
          </w:p>
        </w:tc>
        <w:tc>
          <w:tcPr>
            <w:tcW w:w="1400" w:type="dxa"/>
            <w:vAlign w:val="bottom"/>
            <w:tcBorders>
              <w:bottom w:val="single" w:sz="8" w:color="auto"/>
            </w:tcBorders>
            <w:shd w:val="clear" w:color="auto" w:fill="CCEEFF"/>
          </w:tcPr>
          <w:p>
            <w:pPr>
              <w:jc w:val="right"/>
              <w:ind w:right="174"/>
              <w:spacing w:after="0" w:line="196" w:lineRule="exact"/>
              <w:rPr>
                <w:sz w:val="20"/>
                <w:szCs w:val="20"/>
                <w:color w:val="auto"/>
              </w:rPr>
            </w:pPr>
            <w:r>
              <w:rPr>
                <w:rFonts w:ascii="Arial" w:cs="Arial" w:eastAsia="Arial" w:hAnsi="Arial"/>
                <w:sz w:val="18"/>
                <w:szCs w:val="18"/>
                <w:color w:val="auto"/>
              </w:rPr>
              <w:t>117</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r>
      <w:tr>
        <w:trPr>
          <w:trHeight w:val="451"/>
        </w:trPr>
        <w:tc>
          <w:tcPr>
            <w:tcW w:w="51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37"/>
        </w:trPr>
        <w:tc>
          <w:tcPr>
            <w:tcW w:w="51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T.K. Maxx</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Homesense</w:t>
            </w: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Kingdom</w:t>
            </w:r>
          </w:p>
        </w:tc>
        <w:tc>
          <w:tcPr>
            <w:tcW w:w="3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54"/>
              <w:spacing w:after="0" w:line="196" w:lineRule="exact"/>
              <w:rPr>
                <w:sz w:val="20"/>
                <w:szCs w:val="20"/>
                <w:color w:val="auto"/>
              </w:rPr>
            </w:pPr>
            <w:r>
              <w:rPr>
                <w:rFonts w:ascii="Arial" w:cs="Arial" w:eastAsia="Arial" w:hAnsi="Arial"/>
                <w:sz w:val="18"/>
                <w:szCs w:val="18"/>
                <w:color w:val="auto"/>
              </w:rPr>
              <w:t>337</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Republic of Ireland</w:t>
            </w:r>
          </w:p>
        </w:tc>
        <w:tc>
          <w:tcPr>
            <w:tcW w:w="3840" w:type="dxa"/>
            <w:vAlign w:val="bottom"/>
          </w:tcPr>
          <w:p>
            <w:pPr>
              <w:spacing w:after="0"/>
              <w:rPr>
                <w:sz w:val="17"/>
                <w:szCs w:val="17"/>
                <w:color w:val="auto"/>
              </w:rPr>
            </w:pPr>
          </w:p>
        </w:tc>
        <w:tc>
          <w:tcPr>
            <w:tcW w:w="140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26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Germany</w:t>
            </w:r>
          </w:p>
        </w:tc>
        <w:tc>
          <w:tcPr>
            <w:tcW w:w="3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120</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Poland</w:t>
            </w:r>
          </w:p>
        </w:tc>
        <w:tc>
          <w:tcPr>
            <w:tcW w:w="3840" w:type="dxa"/>
            <w:vAlign w:val="bottom"/>
          </w:tcPr>
          <w:p>
            <w:pPr>
              <w:spacing w:after="0"/>
              <w:rPr>
                <w:sz w:val="17"/>
                <w:szCs w:val="17"/>
                <w:color w:val="auto"/>
              </w:rPr>
            </w:pPr>
          </w:p>
        </w:tc>
        <w:tc>
          <w:tcPr>
            <w:tcW w:w="140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39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Austria</w:t>
            </w:r>
          </w:p>
        </w:tc>
        <w:tc>
          <w:tcPr>
            <w:tcW w:w="38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 Netherlands</w:t>
            </w:r>
          </w:p>
        </w:tc>
        <w:tc>
          <w:tcPr>
            <w:tcW w:w="3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54"/>
              <w:spacing w:after="0" w:line="202" w:lineRule="exact"/>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w:t>
            </w:r>
          </w:p>
        </w:tc>
        <w:tc>
          <w:tcPr>
            <w:tcW w:w="38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454"/>
              <w:spacing w:after="0" w:line="196" w:lineRule="exact"/>
              <w:rPr>
                <w:sz w:val="20"/>
                <w:szCs w:val="20"/>
                <w:color w:val="auto"/>
              </w:rPr>
            </w:pPr>
            <w:r>
              <w:rPr>
                <w:rFonts w:ascii="Arial" w:cs="Arial" w:eastAsia="Arial" w:hAnsi="Arial"/>
                <w:sz w:val="18"/>
                <w:szCs w:val="18"/>
                <w:color w:val="auto"/>
              </w:rPr>
              <w:t>540</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51"/>
        </w:trPr>
        <w:tc>
          <w:tcPr>
            <w:tcW w:w="5140" w:type="dxa"/>
            <w:vAlign w:val="bottom"/>
          </w:tcPr>
          <w:p>
            <w:pPr>
              <w:spacing w:after="0"/>
              <w:rPr>
                <w:sz w:val="20"/>
                <w:szCs w:val="20"/>
                <w:color w:val="auto"/>
              </w:rPr>
            </w:pPr>
            <w:r>
              <w:rPr>
                <w:rFonts w:ascii="Arial" w:cs="Arial" w:eastAsia="Arial" w:hAnsi="Arial"/>
                <w:sz w:val="18"/>
                <w:szCs w:val="18"/>
                <w:b w:val="1"/>
                <w:bCs w:val="1"/>
                <w:color w:val="auto"/>
              </w:rPr>
              <w:t>Australia:</w:t>
            </w:r>
          </w:p>
        </w:tc>
        <w:tc>
          <w:tcPr>
            <w:tcW w:w="3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37"/>
        </w:trPr>
        <w:tc>
          <w:tcPr>
            <w:tcW w:w="51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T.K. Maxx</w:t>
            </w: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Australian Capital Territory</w:t>
            </w:r>
          </w:p>
        </w:tc>
        <w:tc>
          <w:tcPr>
            <w:tcW w:w="3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New South Wales</w:t>
            </w:r>
          </w:p>
        </w:tc>
        <w:tc>
          <w:tcPr>
            <w:tcW w:w="3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Queensland</w:t>
            </w:r>
          </w:p>
        </w:tc>
        <w:tc>
          <w:tcPr>
            <w:tcW w:w="3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5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Victoria</w:t>
            </w:r>
          </w:p>
        </w:tc>
        <w:tc>
          <w:tcPr>
            <w:tcW w:w="3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6"/>
        </w:trPr>
        <w:tc>
          <w:tcPr>
            <w:tcW w:w="51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w:t>
            </w:r>
          </w:p>
        </w:tc>
        <w:tc>
          <w:tcPr>
            <w:tcW w:w="38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r>
    </w:tbl>
    <w:p>
      <w:pPr>
        <w:spacing w:after="0" w:line="64" w:lineRule="exact"/>
        <w:rPr>
          <w:sz w:val="20"/>
          <w:szCs w:val="20"/>
          <w:color w:val="auto"/>
        </w:rPr>
      </w:pPr>
    </w:p>
    <w:p>
      <w:pPr>
        <w:ind w:right="360" w:firstLine="342"/>
        <w:spacing w:after="0" w:line="241"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The retail apparel and home fashion business is highly competitive. We compete on the basis of numerous factors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fashion, price, quality, selection and freshness; in-store and on-line service and shopping experience; reputation and store location. We compete with local, regional, national and international department, specialty, off-price, discount, warehouse and outlet stores as well as other retailers that sell apparel, home fashions and other merchandise that we sell, whether in stores, on-line, through catalogues, or other media channels.</w:t>
      </w:r>
    </w:p>
    <w:p>
      <w:pPr>
        <w:spacing w:after="0" w:line="55" w:lineRule="exact"/>
        <w:rPr>
          <w:sz w:val="20"/>
          <w:szCs w:val="20"/>
          <w:color w:val="auto"/>
        </w:rPr>
      </w:pPr>
    </w:p>
    <w:p>
      <w:pPr>
        <w:ind w:right="200" w:firstLine="342"/>
        <w:spacing w:after="0" w:line="244" w:lineRule="auto"/>
        <w:rPr>
          <w:sz w:val="20"/>
          <w:szCs w:val="20"/>
          <w:color w:val="auto"/>
        </w:rPr>
      </w:pPr>
      <w:r>
        <w:rPr>
          <w:rFonts w:ascii="Arial" w:cs="Arial" w:eastAsia="Arial" w:hAnsi="Arial"/>
          <w:sz w:val="18"/>
          <w:szCs w:val="18"/>
          <w:b w:val="1"/>
          <w:bCs w:val="1"/>
          <w:i w:val="1"/>
          <w:iCs w:val="1"/>
          <w:color w:val="auto"/>
        </w:rPr>
        <w:t xml:space="preserve">Employees. </w:t>
      </w:r>
      <w:r>
        <w:rPr>
          <w:rFonts w:ascii="Arial" w:cs="Arial" w:eastAsia="Arial" w:hAnsi="Arial"/>
          <w:sz w:val="18"/>
          <w:szCs w:val="18"/>
          <w:color w:val="auto"/>
        </w:rPr>
        <w:t>At February 3, 2018, we had approximately 249,000 employees, many of whom work less than 40 hours per week. In addition,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hire temporary employees, particularly during the peak back-to-school and holiday seasons. Our full-time, part-time, temporary, and seasonal workforce supports the execution of our flexible off-price business model, including the timing and frequency of store deliveries and the management of a rapidly changing mix of store inventory in over 4,000 retail stores in nine countries.</w:t>
      </w:r>
    </w:p>
    <w:p>
      <w:pPr>
        <w:spacing w:after="0" w:line="50" w:lineRule="exact"/>
        <w:rPr>
          <w:sz w:val="20"/>
          <w:szCs w:val="20"/>
          <w:color w:val="auto"/>
        </w:rPr>
      </w:pPr>
    </w:p>
    <w:p>
      <w:pPr>
        <w:jc w:val="both"/>
        <w:ind w:right="280" w:firstLine="342"/>
        <w:spacing w:after="0" w:line="248" w:lineRule="auto"/>
        <w:rPr>
          <w:sz w:val="20"/>
          <w:szCs w:val="20"/>
          <w:color w:val="auto"/>
        </w:rPr>
      </w:pPr>
      <w:r>
        <w:rPr>
          <w:rFonts w:ascii="Arial" w:cs="Arial" w:eastAsia="Arial" w:hAnsi="Arial"/>
          <w:sz w:val="18"/>
          <w:szCs w:val="18"/>
          <w:b w:val="1"/>
          <w:bCs w:val="1"/>
          <w:i w:val="1"/>
          <w:iCs w:val="1"/>
          <w:color w:val="auto"/>
        </w:rPr>
        <w:t xml:space="preserve">Trademarks. </w:t>
      </w:r>
      <w:r>
        <w:rPr>
          <w:rFonts w:ascii="Arial" w:cs="Arial" w:eastAsia="Arial" w:hAnsi="Arial"/>
          <w:sz w:val="18"/>
          <w:szCs w:val="18"/>
          <w:color w:val="auto"/>
        </w:rPr>
        <w:t>We have the right to use our principal trademarks and service marks, which are T.J. Maxx, Marshalls, HomeGoods, Winners,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Homesense/HomeSense, T.K. Maxx, Sierra Trading Post and Trade Secret, in relevant countries. We expect our rights in these trademarks and service marks to endure in locations where we use them for as long as we continue to do so.</w:t>
      </w:r>
    </w:p>
    <w:p>
      <w:pPr>
        <w:spacing w:after="0" w:line="47" w:lineRule="exact"/>
        <w:rPr>
          <w:sz w:val="20"/>
          <w:szCs w:val="20"/>
          <w:color w:val="auto"/>
        </w:rPr>
      </w:pPr>
    </w:p>
    <w:p>
      <w:pPr>
        <w:ind w:right="240" w:firstLine="342"/>
        <w:spacing w:after="0" w:line="262"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Our business is subject to seasonal influences. In the second half of the year, which includes the back-to-school and year-end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holiday seasons, we generally realize higher levels of sales and income.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9" w:right="239" w:bottom="1440" w:gutter="0" w:footer="0" w:header="0"/>
        </w:sectPr>
      </w:pPr>
    </w:p>
    <w:bookmarkStart w:id="9" w:name="page10"/>
    <w:bookmarkEnd w:id="9"/>
    <w:p>
      <w:pPr>
        <w:ind w:right="180" w:firstLine="342"/>
        <w:spacing w:after="0" w:line="23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 Filings and Certifications. </w:t>
      </w:r>
      <w:r>
        <w:rPr>
          <w:rFonts w:ascii="Arial" w:cs="Arial" w:eastAsia="Arial" w:hAnsi="Arial"/>
          <w:sz w:val="18"/>
          <w:szCs w:val="18"/>
          <w:color w:val="auto"/>
        </w:rPr>
        <w:t>Copies of our annual reports on Form 10-K, proxy statements, quarterly reports on Form 10-Q and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on Form 8-K filed with or furnished to the SEC, and any amendments to those documents, are available free of charge on our website, tjx.com, under “SEC Filings,” as soon as reasonably practicable after they are electronically filed with, or furnished to, the SEC. They are also available free of charge from TJX Global Communications, 770 Cochituate Road, Framingham, Massachusetts 01701. The public can read and copy materials at the SEC’s Public Reference Room at 100 F Street, NE, Washington, DC 20549 and obtain information on the operation of the reference room by calling the SEC at 1-800-SEC-0330. The SEC maintains a website containing all reports, proxies, information statements, and all other information regarding issuers that file electronically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appearing on tjx.com is not a part of, and is not incorporated by reference in, this Form 10-K.</w:t>
      </w:r>
    </w:p>
    <w:p>
      <w:pPr>
        <w:spacing w:after="0" w:line="77" w:lineRule="exact"/>
        <w:rPr>
          <w:sz w:val="20"/>
          <w:szCs w:val="20"/>
          <w:color w:val="auto"/>
        </w:rPr>
      </w:pPr>
    </w:p>
    <w:p>
      <w:pPr>
        <w:ind w:right="40" w:firstLine="342"/>
        <w:spacing w:after="0" w:line="275" w:lineRule="auto"/>
        <w:rPr>
          <w:sz w:val="20"/>
          <w:szCs w:val="20"/>
          <w:color w:val="auto"/>
        </w:rPr>
      </w:pPr>
      <w:r>
        <w:rPr>
          <w:rFonts w:ascii="Arial" w:cs="Arial" w:eastAsia="Arial" w:hAnsi="Arial"/>
          <w:sz w:val="16"/>
          <w:szCs w:val="16"/>
          <w:color w:val="auto"/>
        </w:rPr>
        <w:t>In this report, fiscal 2016 means the fiscal year ended January 30, 2016; fiscal 2017 means the fiscal year ended January 28, 2017; fiscal 2018 means the fiscal year ended February 3, 2018 and fiscal 2019 means the fiscal year ending February 2, 2019. Unless otherwise indicated, all store information in this Item 1 is as of February 3, 2018, and references to store square footage are to gross square feet. Unless otherwise stated or the context otherwise requires, references in this Form 10-K to “TJX” and “we,” refer to The TJX Companies, Inc. and its subsidiaries.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the executive officers of TJX as of April 4,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Age</w:t>
            </w:r>
          </w:p>
        </w:tc>
        <w:tc>
          <w:tcPr>
            <w:tcW w:w="8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Office and Business Experience</w:t>
            </w:r>
          </w:p>
        </w:tc>
      </w:tr>
      <w:tr>
        <w:trPr>
          <w:trHeight w:val="199"/>
        </w:trPr>
        <w:tc>
          <w:tcPr>
            <w:tcW w:w="1900" w:type="dxa"/>
            <w:vAlign w:val="bottom"/>
          </w:tcPr>
          <w:p>
            <w:pPr>
              <w:spacing w:after="0" w:line="200" w:lineRule="exact"/>
              <w:rPr>
                <w:sz w:val="20"/>
                <w:szCs w:val="20"/>
                <w:color w:val="auto"/>
              </w:rPr>
            </w:pPr>
            <w:r>
              <w:rPr>
                <w:rFonts w:ascii="Arial" w:cs="Arial" w:eastAsia="Arial" w:hAnsi="Arial"/>
                <w:sz w:val="18"/>
                <w:szCs w:val="18"/>
                <w:color w:val="auto"/>
              </w:rPr>
              <w:t>Kenneth Canestrari</w:t>
            </w:r>
          </w:p>
        </w:tc>
        <w:tc>
          <w:tcPr>
            <w:tcW w:w="680" w:type="dxa"/>
            <w:vAlign w:val="bottom"/>
          </w:tcPr>
          <w:p>
            <w:pPr>
              <w:ind w:left="380"/>
              <w:spacing w:after="0" w:line="200" w:lineRule="exact"/>
              <w:rPr>
                <w:sz w:val="20"/>
                <w:szCs w:val="20"/>
                <w:color w:val="auto"/>
              </w:rPr>
            </w:pPr>
            <w:r>
              <w:rPr>
                <w:rFonts w:ascii="Arial" w:cs="Arial" w:eastAsia="Arial" w:hAnsi="Arial"/>
                <w:sz w:val="18"/>
                <w:szCs w:val="18"/>
                <w:color w:val="auto"/>
              </w:rPr>
              <w:t>56</w:t>
            </w:r>
          </w:p>
        </w:tc>
        <w:tc>
          <w:tcPr>
            <w:tcW w:w="8840" w:type="dxa"/>
            <w:vAlign w:val="bottom"/>
          </w:tcPr>
          <w:p>
            <w:pPr>
              <w:ind w:left="60"/>
              <w:spacing w:after="0" w:line="200" w:lineRule="exact"/>
              <w:rPr>
                <w:sz w:val="20"/>
                <w:szCs w:val="20"/>
                <w:color w:val="auto"/>
              </w:rPr>
            </w:pPr>
            <w:r>
              <w:rPr>
                <w:rFonts w:ascii="Arial" w:cs="Arial" w:eastAsia="Arial" w:hAnsi="Arial"/>
                <w:sz w:val="18"/>
                <w:szCs w:val="18"/>
                <w:color w:val="auto"/>
                <w:w w:val="98"/>
              </w:rPr>
              <w:t>Senior Executive Vice President, Group President since September 2014. President, HomeGoods from 2012 to</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8"/>
              </w:rPr>
              <w:t>September 2014. Executive Vice President, Chief Operating Officer, HomeGoods from 2008 until 2012. Various</w:t>
            </w:r>
          </w:p>
        </w:tc>
      </w:tr>
      <w:tr>
        <w:trPr>
          <w:trHeight w:val="211"/>
        </w:trPr>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rPr>
              <w:t>financial positions with TJX from 1988 to 2008.</w:t>
            </w: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Scott Goldenberg</w:t>
            </w:r>
          </w:p>
        </w:tc>
        <w:tc>
          <w:tcPr>
            <w:tcW w:w="680" w:type="dxa"/>
            <w:vAlign w:val="bottom"/>
          </w:tcPr>
          <w:p>
            <w:pPr>
              <w:ind w:left="380"/>
              <w:spacing w:after="0"/>
              <w:rPr>
                <w:sz w:val="20"/>
                <w:szCs w:val="20"/>
                <w:color w:val="auto"/>
              </w:rPr>
            </w:pPr>
            <w:r>
              <w:rPr>
                <w:rFonts w:ascii="Arial" w:cs="Arial" w:eastAsia="Arial" w:hAnsi="Arial"/>
                <w:sz w:val="18"/>
                <w:szCs w:val="18"/>
                <w:color w:val="auto"/>
              </w:rPr>
              <w:t>64</w:t>
            </w:r>
          </w:p>
        </w:tc>
        <w:tc>
          <w:tcPr>
            <w:tcW w:w="8840" w:type="dxa"/>
            <w:vAlign w:val="bottom"/>
          </w:tcPr>
          <w:p>
            <w:pPr>
              <w:ind w:left="60"/>
              <w:spacing w:after="0"/>
              <w:rPr>
                <w:sz w:val="20"/>
                <w:szCs w:val="20"/>
                <w:color w:val="auto"/>
              </w:rPr>
            </w:pPr>
            <w:r>
              <w:rPr>
                <w:rFonts w:ascii="Arial" w:cs="Arial" w:eastAsia="Arial" w:hAnsi="Arial"/>
                <w:sz w:val="18"/>
                <w:szCs w:val="18"/>
                <w:color w:val="auto"/>
                <w:w w:val="97"/>
              </w:rPr>
              <w:t>Senior Executive Vice President and Chief Financial Officer since April 2014; Executive Vice President and Chief</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8"/>
              </w:rPr>
              <w:t>Financial Officer from January 2012 to April 2014. Executive Vice President, Finance from June 2009 to January</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2012. Senior Vice President, Corporate Controller from 2007 to 2009 and Senior Vice President, Director of</w:t>
            </w:r>
          </w:p>
        </w:tc>
      </w:tr>
      <w:tr>
        <w:trPr>
          <w:trHeight w:val="211"/>
        </w:trPr>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w w:val="97"/>
              </w:rPr>
              <w:t>Finance, Marmaxx, from 2000 to 2007. Various financial positions with TJX from 1983 to 1988 and 1997 to 2000.</w:t>
            </w: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Ernie Herrman</w:t>
            </w:r>
          </w:p>
        </w:tc>
        <w:tc>
          <w:tcPr>
            <w:tcW w:w="680" w:type="dxa"/>
            <w:vAlign w:val="bottom"/>
          </w:tcPr>
          <w:p>
            <w:pPr>
              <w:ind w:left="380"/>
              <w:spacing w:after="0"/>
              <w:rPr>
                <w:sz w:val="20"/>
                <w:szCs w:val="20"/>
                <w:color w:val="auto"/>
              </w:rPr>
            </w:pPr>
            <w:r>
              <w:rPr>
                <w:rFonts w:ascii="Arial" w:cs="Arial" w:eastAsia="Arial" w:hAnsi="Arial"/>
                <w:sz w:val="18"/>
                <w:szCs w:val="18"/>
                <w:color w:val="auto"/>
              </w:rPr>
              <w:t>57</w:t>
            </w:r>
          </w:p>
        </w:tc>
        <w:tc>
          <w:tcPr>
            <w:tcW w:w="8840" w:type="dxa"/>
            <w:vAlign w:val="bottom"/>
          </w:tcPr>
          <w:p>
            <w:pPr>
              <w:ind w:left="60"/>
              <w:spacing w:after="0"/>
              <w:rPr>
                <w:sz w:val="20"/>
                <w:szCs w:val="20"/>
                <w:color w:val="auto"/>
              </w:rPr>
            </w:pPr>
            <w:r>
              <w:rPr>
                <w:rFonts w:ascii="Arial" w:cs="Arial" w:eastAsia="Arial" w:hAnsi="Arial"/>
                <w:sz w:val="18"/>
                <w:szCs w:val="18"/>
                <w:color w:val="auto"/>
                <w:w w:val="98"/>
              </w:rPr>
              <w:t>Chief Executive Officer since January 2016. Director since October 2015. President since January 2011. Senior</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7"/>
              </w:rPr>
              <w:t>Executive Vice President, Group President from August 2008 to January 2011. President, Marmaxx from 2005 to</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2008. Senior Executive Vice President, Chief Operating Officer, Marmaxx from 2004 to 2005. Executive Vice</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8"/>
              </w:rPr>
              <w:t>President, Merchandising, Marmaxx from 2001 to 2004. Various merchandising positions with TJX since joining</w:t>
            </w:r>
          </w:p>
        </w:tc>
      </w:tr>
      <w:tr>
        <w:trPr>
          <w:trHeight w:val="211"/>
        </w:trPr>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rPr>
              <w:t>in 1989.</w:t>
            </w: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Michael MacMillan</w:t>
            </w:r>
          </w:p>
        </w:tc>
        <w:tc>
          <w:tcPr>
            <w:tcW w:w="680" w:type="dxa"/>
            <w:vAlign w:val="bottom"/>
          </w:tcPr>
          <w:p>
            <w:pPr>
              <w:ind w:left="380"/>
              <w:spacing w:after="0"/>
              <w:rPr>
                <w:sz w:val="20"/>
                <w:szCs w:val="20"/>
                <w:color w:val="auto"/>
              </w:rPr>
            </w:pPr>
            <w:r>
              <w:rPr>
                <w:rFonts w:ascii="Arial" w:cs="Arial" w:eastAsia="Arial" w:hAnsi="Arial"/>
                <w:sz w:val="18"/>
                <w:szCs w:val="18"/>
                <w:color w:val="auto"/>
              </w:rPr>
              <w:t>61</w:t>
            </w:r>
          </w:p>
        </w:tc>
        <w:tc>
          <w:tcPr>
            <w:tcW w:w="8840" w:type="dxa"/>
            <w:vAlign w:val="bottom"/>
          </w:tcPr>
          <w:p>
            <w:pPr>
              <w:ind w:left="60"/>
              <w:spacing w:after="0"/>
              <w:rPr>
                <w:sz w:val="20"/>
                <w:szCs w:val="20"/>
                <w:color w:val="auto"/>
              </w:rPr>
            </w:pPr>
            <w:r>
              <w:rPr>
                <w:rFonts w:ascii="Arial" w:cs="Arial" w:eastAsia="Arial" w:hAnsi="Arial"/>
                <w:sz w:val="18"/>
                <w:szCs w:val="18"/>
                <w:color w:val="auto"/>
              </w:rPr>
              <w:t>Senior Executive Vice President, Group President since 2011. President, Marmaxx from 2008 to 2011.</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8"/>
              </w:rPr>
              <w:t>President, Winners Merchants International (WMI) from 2003 to 2008. Executive Vice President, WMI from 2000</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to 2003. Various finance positions with TJX from 1985 to 2000. Mr. MacMillan is retiring from TJX, with a</w:t>
            </w:r>
          </w:p>
        </w:tc>
      </w:tr>
      <w:tr>
        <w:trPr>
          <w:trHeight w:val="211"/>
        </w:trPr>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rPr>
              <w:t>scheduled retirement date in April 2018.</w:t>
            </w:r>
          </w:p>
        </w:tc>
      </w:tr>
      <w:tr>
        <w:trPr>
          <w:trHeight w:val="262"/>
        </w:trPr>
        <w:tc>
          <w:tcPr>
            <w:tcW w:w="1900" w:type="dxa"/>
            <w:vAlign w:val="bottom"/>
          </w:tcPr>
          <w:p>
            <w:pPr>
              <w:spacing w:after="0"/>
              <w:rPr>
                <w:sz w:val="20"/>
                <w:szCs w:val="20"/>
                <w:color w:val="auto"/>
              </w:rPr>
            </w:pPr>
            <w:r>
              <w:rPr>
                <w:rFonts w:ascii="Arial" w:cs="Arial" w:eastAsia="Arial" w:hAnsi="Arial"/>
                <w:sz w:val="18"/>
                <w:szCs w:val="18"/>
                <w:color w:val="auto"/>
              </w:rPr>
              <w:t>Carol Meyrowitz</w:t>
            </w:r>
          </w:p>
        </w:tc>
        <w:tc>
          <w:tcPr>
            <w:tcW w:w="680" w:type="dxa"/>
            <w:vAlign w:val="bottom"/>
          </w:tcPr>
          <w:p>
            <w:pPr>
              <w:ind w:left="380"/>
              <w:spacing w:after="0"/>
              <w:rPr>
                <w:sz w:val="20"/>
                <w:szCs w:val="20"/>
                <w:color w:val="auto"/>
              </w:rPr>
            </w:pPr>
            <w:r>
              <w:rPr>
                <w:rFonts w:ascii="Arial" w:cs="Arial" w:eastAsia="Arial" w:hAnsi="Arial"/>
                <w:sz w:val="18"/>
                <w:szCs w:val="18"/>
                <w:color w:val="auto"/>
              </w:rPr>
              <w:t>64</w:t>
            </w:r>
          </w:p>
        </w:tc>
        <w:tc>
          <w:tcPr>
            <w:tcW w:w="8840" w:type="dxa"/>
            <w:vAlign w:val="bottom"/>
          </w:tcPr>
          <w:p>
            <w:pPr>
              <w:ind w:left="60"/>
              <w:spacing w:after="0"/>
              <w:rPr>
                <w:sz w:val="20"/>
                <w:szCs w:val="20"/>
                <w:color w:val="auto"/>
              </w:rPr>
            </w:pPr>
            <w:r>
              <w:rPr>
                <w:rFonts w:ascii="Arial" w:cs="Arial" w:eastAsia="Arial" w:hAnsi="Arial"/>
                <w:sz w:val="18"/>
                <w:szCs w:val="18"/>
                <w:color w:val="auto"/>
                <w:w w:val="98"/>
              </w:rPr>
              <w:t>Executive Chairman of the Board since January 2016. Chairman of the Board from June 2015 to January 2016.</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Chief Executive Officer from January 2007 to January 2016. Director since 2006 and President from 2005 to</w:t>
            </w:r>
          </w:p>
        </w:tc>
      </w:tr>
      <w:tr>
        <w:trPr>
          <w:trHeight w:val="203"/>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January 2011. Consultant to TJX from January 2005 to October 2005. Senior Executive Vice President from</w:t>
            </w:r>
          </w:p>
        </w:tc>
      </w:tr>
    </w:tbl>
    <w:p>
      <w:pPr>
        <w:ind w:left="2640" w:right="40"/>
        <w:spacing w:after="0" w:line="238" w:lineRule="auto"/>
        <w:rPr>
          <w:sz w:val="20"/>
          <w:szCs w:val="20"/>
          <w:color w:val="auto"/>
        </w:rPr>
      </w:pPr>
      <w:r>
        <w:rPr>
          <w:rFonts w:ascii="Arial" w:cs="Arial" w:eastAsia="Arial" w:hAnsi="Arial"/>
          <w:sz w:val="18"/>
          <w:szCs w:val="18"/>
          <w:color w:val="auto"/>
        </w:rPr>
        <w:t>March 2004 to January 2005. President, Marmaxx from 2001 to January 2005. Executive Vice President of TJX from 2001 to 2004. Various senior management and merchandising positions with Marmaxx and with Chadwick’s of Boston and Hit or Miss, former divisions of TJX, from 1983 to 2001.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Age</w:t>
            </w:r>
          </w:p>
        </w:tc>
        <w:tc>
          <w:tcPr>
            <w:tcW w:w="8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Office and Business Experience</w:t>
            </w:r>
          </w:p>
        </w:tc>
      </w:tr>
      <w:tr>
        <w:trPr>
          <w:trHeight w:val="199"/>
        </w:trPr>
        <w:tc>
          <w:tcPr>
            <w:tcW w:w="1680" w:type="dxa"/>
            <w:vAlign w:val="bottom"/>
          </w:tcPr>
          <w:p>
            <w:pPr>
              <w:spacing w:after="0" w:line="200" w:lineRule="exact"/>
              <w:rPr>
                <w:sz w:val="20"/>
                <w:szCs w:val="20"/>
                <w:color w:val="auto"/>
              </w:rPr>
            </w:pPr>
            <w:r>
              <w:rPr>
                <w:rFonts w:ascii="Arial" w:cs="Arial" w:eastAsia="Arial" w:hAnsi="Arial"/>
                <w:sz w:val="18"/>
                <w:szCs w:val="18"/>
                <w:color w:val="auto"/>
              </w:rPr>
              <w:t>Doug Mizzi</w:t>
            </w:r>
          </w:p>
        </w:tc>
        <w:tc>
          <w:tcPr>
            <w:tcW w:w="900" w:type="dxa"/>
            <w:vAlign w:val="bottom"/>
          </w:tcPr>
          <w:p>
            <w:pPr>
              <w:ind w:left="600"/>
              <w:spacing w:after="0" w:line="200" w:lineRule="exact"/>
              <w:rPr>
                <w:sz w:val="20"/>
                <w:szCs w:val="20"/>
                <w:color w:val="auto"/>
              </w:rPr>
            </w:pPr>
            <w:r>
              <w:rPr>
                <w:rFonts w:ascii="Arial" w:cs="Arial" w:eastAsia="Arial" w:hAnsi="Arial"/>
                <w:sz w:val="18"/>
                <w:szCs w:val="18"/>
                <w:color w:val="auto"/>
              </w:rPr>
              <w:t>58</w:t>
            </w:r>
          </w:p>
        </w:tc>
        <w:tc>
          <w:tcPr>
            <w:tcW w:w="8840" w:type="dxa"/>
            <w:vAlign w:val="bottom"/>
          </w:tcPr>
          <w:p>
            <w:pPr>
              <w:ind w:left="60"/>
              <w:spacing w:after="0" w:line="200" w:lineRule="exact"/>
              <w:rPr>
                <w:sz w:val="20"/>
                <w:szCs w:val="20"/>
                <w:color w:val="auto"/>
              </w:rPr>
            </w:pPr>
            <w:r>
              <w:rPr>
                <w:rFonts w:ascii="Arial" w:cs="Arial" w:eastAsia="Arial" w:hAnsi="Arial"/>
                <w:sz w:val="18"/>
                <w:szCs w:val="18"/>
                <w:color w:val="auto"/>
              </w:rPr>
              <w:t>Senior Executive Vice President, Group President since February 2018. President, TJX Canada from October</w:t>
            </w:r>
          </w:p>
        </w:tc>
      </w:tr>
      <w:tr>
        <w:trPr>
          <w:trHeight w:val="203"/>
        </w:trPr>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2011 to February 2018. Managing Director T.K. Maxx, UK from April 2010 to October 2011. Executive Vice</w:t>
            </w:r>
          </w:p>
        </w:tc>
      </w:tr>
      <w:tr>
        <w:trPr>
          <w:trHeight w:val="203"/>
        </w:trPr>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rPr>
              <w:t>President, Chief Operating Officer, WMI from February 2006 to April 2010. Senior Vice President, Director of</w:t>
            </w:r>
          </w:p>
        </w:tc>
      </w:tr>
      <w:tr>
        <w:trPr>
          <w:trHeight w:val="211"/>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rPr>
              <w:t>Store Operations, WMI from 2004 to 2006. Various store operations positions with TJX from 1988 to 2004.</w:t>
            </w:r>
          </w:p>
        </w:tc>
      </w:tr>
      <w:tr>
        <w:trPr>
          <w:trHeight w:val="262"/>
        </w:trPr>
        <w:tc>
          <w:tcPr>
            <w:tcW w:w="1680" w:type="dxa"/>
            <w:vAlign w:val="bottom"/>
          </w:tcPr>
          <w:p>
            <w:pPr>
              <w:spacing w:after="0"/>
              <w:rPr>
                <w:sz w:val="20"/>
                <w:szCs w:val="20"/>
                <w:color w:val="auto"/>
              </w:rPr>
            </w:pPr>
            <w:r>
              <w:rPr>
                <w:rFonts w:ascii="Arial" w:cs="Arial" w:eastAsia="Arial" w:hAnsi="Arial"/>
                <w:sz w:val="18"/>
                <w:szCs w:val="18"/>
                <w:color w:val="auto"/>
              </w:rPr>
              <w:t>Richard Sherr</w:t>
            </w:r>
          </w:p>
        </w:tc>
        <w:tc>
          <w:tcPr>
            <w:tcW w:w="900" w:type="dxa"/>
            <w:vAlign w:val="bottom"/>
          </w:tcPr>
          <w:p>
            <w:pPr>
              <w:ind w:left="600"/>
              <w:spacing w:after="0"/>
              <w:rPr>
                <w:sz w:val="20"/>
                <w:szCs w:val="20"/>
                <w:color w:val="auto"/>
              </w:rPr>
            </w:pPr>
            <w:r>
              <w:rPr>
                <w:rFonts w:ascii="Arial" w:cs="Arial" w:eastAsia="Arial" w:hAnsi="Arial"/>
                <w:sz w:val="18"/>
                <w:szCs w:val="18"/>
                <w:color w:val="auto"/>
              </w:rPr>
              <w:t>61</w:t>
            </w:r>
          </w:p>
        </w:tc>
        <w:tc>
          <w:tcPr>
            <w:tcW w:w="8840" w:type="dxa"/>
            <w:vAlign w:val="bottom"/>
          </w:tcPr>
          <w:p>
            <w:pPr>
              <w:ind w:left="60"/>
              <w:spacing w:after="0"/>
              <w:rPr>
                <w:sz w:val="20"/>
                <w:szCs w:val="20"/>
                <w:color w:val="auto"/>
              </w:rPr>
            </w:pPr>
            <w:r>
              <w:rPr>
                <w:rFonts w:ascii="Arial" w:cs="Arial" w:eastAsia="Arial" w:hAnsi="Arial"/>
                <w:sz w:val="18"/>
                <w:szCs w:val="18"/>
                <w:color w:val="auto"/>
              </w:rPr>
              <w:t>Senior Executive Vice President, Group President since January 2012. President, HomeGoods from 2010 to</w:t>
            </w:r>
          </w:p>
        </w:tc>
      </w:tr>
      <w:tr>
        <w:trPr>
          <w:trHeight w:val="203"/>
        </w:trPr>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40" w:type="dxa"/>
            <w:vAlign w:val="bottom"/>
          </w:tcPr>
          <w:p>
            <w:pPr>
              <w:ind w:left="60"/>
              <w:spacing w:after="0" w:line="202" w:lineRule="exact"/>
              <w:rPr>
                <w:sz w:val="20"/>
                <w:szCs w:val="20"/>
                <w:color w:val="auto"/>
              </w:rPr>
            </w:pPr>
            <w:r>
              <w:rPr>
                <w:rFonts w:ascii="Arial" w:cs="Arial" w:eastAsia="Arial" w:hAnsi="Arial"/>
                <w:sz w:val="18"/>
                <w:szCs w:val="18"/>
                <w:color w:val="auto"/>
                <w:w w:val="97"/>
              </w:rPr>
              <w:t>2012. Chief Operating Officer, Marmaxx from 2007 until 2010. Various merchandising positions at TJX from 1992</w:t>
            </w:r>
          </w:p>
        </w:tc>
      </w:tr>
      <w:tr>
        <w:trPr>
          <w:trHeight w:val="211"/>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40" w:type="dxa"/>
            <w:vAlign w:val="bottom"/>
          </w:tcPr>
          <w:p>
            <w:pPr>
              <w:ind w:left="60"/>
              <w:spacing w:after="0"/>
              <w:rPr>
                <w:sz w:val="20"/>
                <w:szCs w:val="20"/>
                <w:color w:val="auto"/>
              </w:rPr>
            </w:pPr>
            <w:r>
              <w:rPr>
                <w:rFonts w:ascii="Arial" w:cs="Arial" w:eastAsia="Arial" w:hAnsi="Arial"/>
                <w:sz w:val="18"/>
                <w:szCs w:val="18"/>
                <w:color w:val="auto"/>
              </w:rPr>
              <w:t>to 2007.</w:t>
            </w: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The executive officers hold office until the next annual meeting of the Board in June 2018 and until their successors are elected and qualified.</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9" w:lineRule="exact"/>
        <w:rPr>
          <w:sz w:val="20"/>
          <w:szCs w:val="20"/>
          <w:color w:val="auto"/>
        </w:rPr>
      </w:pPr>
    </w:p>
    <w:p>
      <w:pPr>
        <w:jc w:val="both"/>
        <w:ind w:right="180" w:firstLine="342"/>
        <w:spacing w:after="0" w:line="238" w:lineRule="auto"/>
        <w:rPr>
          <w:sz w:val="20"/>
          <w:szCs w:val="20"/>
          <w:color w:val="auto"/>
        </w:rPr>
      </w:pPr>
      <w:r>
        <w:rPr>
          <w:rFonts w:ascii="Arial" w:cs="Arial" w:eastAsia="Arial" w:hAnsi="Arial"/>
          <w:sz w:val="18"/>
          <w:szCs w:val="18"/>
          <w:color w:val="auto"/>
        </w:rPr>
        <w:t>The statements in this section describe the major risks to our business and should be considered carefully, in connection with all of the other information set forth in this annual report on Form 10-K. The risks that follow are those that we think, individually or in the aggregate, could cause our actual results to differ materially from those stated or implied in forward-looking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execute our opportunistic buying strategy and inventory management could adversely affect our results.</w:t>
      </w:r>
    </w:p>
    <w:p>
      <w:pPr>
        <w:spacing w:after="0" w:line="9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While opportunistic buying, operating with lean inventory levels and frequent inventory turns are key elements of our off-price business strategy, they subject us to risks related to the pricing, quantity, mix, nature and timing of inventory flowing to our stores. Our merchants are in the marketplace frequently, as much of our merchandise is purchased for the current or immediately upcoming season, and our opportunistic buying places considerable discretion with them. Our business model expects them to react to frequently changing opportunities and trends in the market, assess the desirability and value of merchandise and generally make determinations of how and what we source as well as when we source it. If we do not obtain the right merchandise at the right times, in the right quantities, at the right prices and in the right mix, our customer traffic, as well as our sales and margins, could be adversely affected.</w:t>
      </w:r>
    </w:p>
    <w:p>
      <w:pPr>
        <w:spacing w:after="0" w:line="74" w:lineRule="exact"/>
        <w:rPr>
          <w:sz w:val="20"/>
          <w:szCs w:val="20"/>
          <w:color w:val="auto"/>
        </w:rPr>
      </w:pPr>
    </w:p>
    <w:p>
      <w:pPr>
        <w:ind w:right="20" w:firstLine="342"/>
        <w:spacing w:after="0" w:line="281" w:lineRule="auto"/>
        <w:rPr>
          <w:sz w:val="20"/>
          <w:szCs w:val="20"/>
          <w:color w:val="auto"/>
        </w:rPr>
      </w:pPr>
      <w:r>
        <w:rPr>
          <w:rFonts w:ascii="Arial" w:cs="Arial" w:eastAsia="Arial" w:hAnsi="Arial"/>
          <w:sz w:val="16"/>
          <w:szCs w:val="16"/>
          <w:color w:val="auto"/>
        </w:rPr>
        <w:t>We base our purchases of inventory, in part, on our sales forecasts. If our sales forecasts do not match customer demand, we may experience higher inventory levels and need to take markdowns on excess or slow-moving inventory, leading to decreased profit margins, or we may have insufficient inventory to meet customer demand, leading to lost sales, either of which could adversely affect our financial performance.</w:t>
      </w:r>
    </w:p>
    <w:p>
      <w:pPr>
        <w:spacing w:after="0" w:line="43" w:lineRule="exact"/>
        <w:rPr>
          <w:sz w:val="20"/>
          <w:szCs w:val="20"/>
          <w:color w:val="auto"/>
        </w:rPr>
      </w:pPr>
    </w:p>
    <w:p>
      <w:pPr>
        <w:ind w:right="400" w:firstLine="342"/>
        <w:spacing w:after="0" w:line="237" w:lineRule="auto"/>
        <w:rPr>
          <w:sz w:val="20"/>
          <w:szCs w:val="20"/>
          <w:color w:val="auto"/>
        </w:rPr>
      </w:pPr>
      <w:r>
        <w:rPr>
          <w:rFonts w:ascii="Arial" w:cs="Arial" w:eastAsia="Arial" w:hAnsi="Arial"/>
          <w:sz w:val="18"/>
          <w:szCs w:val="18"/>
          <w:color w:val="auto"/>
        </w:rPr>
        <w:t>If we are unable to generally purchase inventory at prices sufficiently below prices paid by conventional retailers, we may not be able to maintain an overall pricing differential to full-price retailers, including department, specialty, and major online retailers, and our ability to attract customers or sustain our margins may be adversely affected. We may not achieve this pricing differential at various times or in some reporting segments, chains or geographies, which could adversely affect our results.</w:t>
      </w:r>
    </w:p>
    <w:p>
      <w:pPr>
        <w:spacing w:after="0" w:line="74"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Similarly, we must also properly execute our inventory management strategy of distributing the right merchandise to the right stores in the right quantities at the right time. To respond to customer demand and effectively manage pricing and markdowns, we need to appropriately allocate and deliver merchandise to our stores, maintain an appropriate mix and level of inventory in each store, and appropriately change the allocation of floor space at our stores among product categories. If we are not able to do so, our ability to attract and retain customers and our results could be adversely affected.</w:t>
      </w:r>
    </w:p>
    <w:p>
      <w:pPr>
        <w:spacing w:after="0" w:line="13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Failure to continue to expand our business and operations successfully or to manage our substantial size and scale effectively could adversely affect our financial results.</w:t>
      </w:r>
    </w:p>
    <w:p>
      <w:pPr>
        <w:spacing w:after="0" w:line="56"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Our growth strategy includes successfully expanding our off-price model within our current markets and into new geographic regions, product lines, and channels and, as appropriate, adding new businesses, whether by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6" w:right="239" w:bottom="1440" w:gutter="0" w:footer="0" w:header="0"/>
        </w:sectPr>
      </w:pPr>
    </w:p>
    <w:bookmarkStart w:id="11" w:name="page12"/>
    <w:bookmarkEnd w:id="11"/>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investment or acquisition. There are significant risks associated with our ability to continue to expand successfully and managing the implementation of this growth effectively. If any aspect of our expansion strategy does not achieve the success we expect, in whole or in part, we may fail to meet our financial performance expectations, be required to increase our investment, slow our planned growth or close stores or operations. For example, if we are not able to find and lease appropriate real estate on attractive terms in the locations where we seek to open stores, we may need to slow our planned growth in those areas. Similarly, new stores may not achieve the same sales or profit levels as our existing stores, whether in current or new markets, and adding stores or banners to existing markets may otherwise adversely affect our sales and profitability.</w:t>
      </w:r>
    </w:p>
    <w:p>
      <w:pPr>
        <w:spacing w:after="0" w:line="74"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Further, our substantial size can make it challenging to manage our complex operations effectively and to maintain appropriate internal resources and third party providers to support our business effectively. These challenges may increase as we grow our business, adding pressure to management and to various functions across our business, including administration, systems, merchandising, store operations, distribution, logistics, and compliance, as well as putting pressure on appropriately staffing and training Associates in these areas as we grow and/or managing appropriate third party providers to support these areas. The large size and scale of our operations, our multiple banners and locations across the U.S., Canada, Europe and Australia and the autonomy afforded to the banners in some aspects of the business also increases the risk that our systems, controls, practices and policies may not be implemented effectively or consistently throughout our Company and that information may not be appropriately shared across our operations. These risks may increase as we continue to grow, particularly if we expand into additional countries. If business information is not shared effectively, or if we are otherwise unable to manage our size or growth effectively, our business may be adversely affected or we may need to reduce our rate of expansion of one or more operations or otherwise curtail growth in one or more markets, which may adversely affect our success in executing our business goals and adversely impact our sales and results.</w:t>
      </w:r>
    </w:p>
    <w:p>
      <w:pPr>
        <w:spacing w:after="0" w:line="31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Failure to identify consumer trends and preferences to meet customer demand in new or existing markets or channels could negatively impact our performance.</w:t>
      </w:r>
    </w:p>
    <w:p>
      <w:pPr>
        <w:spacing w:after="0" w:line="56"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As our success depends on our ability to meet customer demand and expectations, we work to identify consumer trends and preferences on an ongoing basis and to offer inventory and a shopping experience that meets those trends and preferences. However, doing so effectively and on a timely basis across our diverse merchandise categories and in each of the many markets in the U.S., Canada, Europe and Australia in which we do business is challenging. Trends and preferences in markets may differ from what we anticipate. Although our business model allows us greater flexibility than many traditional retailers to meet consumer preferences and trends, for example by expanding and contracting merchandise categories in response to consumers’ changing tastes, we may not successfully do so, which could add difficulty in attracting new customers, retaining existing customers, encouraging frequent visits and adversely affect our results.</w:t>
      </w:r>
    </w:p>
    <w:p>
      <w:pPr>
        <w:spacing w:after="0" w:line="74" w:lineRule="exact"/>
        <w:rPr>
          <w:sz w:val="20"/>
          <w:szCs w:val="20"/>
          <w:color w:val="auto"/>
        </w:rPr>
      </w:pPr>
    </w:p>
    <w:p>
      <w:pPr>
        <w:ind w:right="220" w:firstLine="342"/>
        <w:spacing w:after="0" w:line="236" w:lineRule="auto"/>
        <w:rPr>
          <w:sz w:val="20"/>
          <w:szCs w:val="20"/>
          <w:color w:val="auto"/>
        </w:rPr>
      </w:pPr>
      <w:r>
        <w:rPr>
          <w:rFonts w:ascii="Arial" w:cs="Arial" w:eastAsia="Arial" w:hAnsi="Arial"/>
          <w:sz w:val="18"/>
          <w:szCs w:val="18"/>
          <w:color w:val="auto"/>
        </w:rPr>
        <w:t>Customers may also have expectations about how they shop in stores or through e-commerce or more generally engage with businesses across different channels (through technology including Internet-based and other digital or mobile channels or particular forms of social media outlets), which may vary across demographics and may evolve rapidly. Overall consumer spending online also continues to grow. Meeting these expectations effectively involves identifying the right opportunities and making the right investments at the right time and with the right speed, among other things, and failure to do so may impact our financial results.</w:t>
      </w:r>
    </w:p>
    <w:p>
      <w:pPr>
        <w:spacing w:after="0" w:line="13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i w:val="1"/>
          <w:iCs w:val="1"/>
          <w:color w:val="auto"/>
        </w:rPr>
        <w:t>If we fail to successfully implement our various marketing efforts or if our competitors are more effective with their programs than we are, our revenue or results of operations may be adversely affected.</w:t>
      </w:r>
    </w:p>
    <w:p>
      <w:pPr>
        <w:spacing w:after="0" w:line="56" w:lineRule="exact"/>
        <w:rPr>
          <w:sz w:val="20"/>
          <w:szCs w:val="20"/>
          <w:color w:val="auto"/>
        </w:rPr>
      </w:pPr>
    </w:p>
    <w:p>
      <w:pPr>
        <w:jc w:val="both"/>
        <w:ind w:right="160" w:firstLine="342"/>
        <w:spacing w:after="0" w:line="264" w:lineRule="auto"/>
        <w:rPr>
          <w:sz w:val="20"/>
          <w:szCs w:val="20"/>
          <w:color w:val="auto"/>
        </w:rPr>
      </w:pPr>
      <w:r>
        <w:rPr>
          <w:rFonts w:ascii="Arial" w:cs="Arial" w:eastAsia="Arial" w:hAnsi="Arial"/>
          <w:sz w:val="16"/>
          <w:szCs w:val="16"/>
          <w:color w:val="auto"/>
        </w:rPr>
        <w:t>Customer traffic and demand for our merchandise may be influenced by our marketing efforts. Although we use marketing to drive customer traffic through various media including television, radio, print, outdoor, digital/social media, email, mobile and direct mail, some of our competitors expend more for their programs than we do, or use different approaches than we do, which may provide them with a competitive advantage.</w:t>
      </w:r>
    </w:p>
    <w:p>
      <w:pPr>
        <w:spacing w:after="0" w:line="1"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9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operate in highly competitive markets, and we may not be able to compete effectively.</w:t>
      </w:r>
    </w:p>
    <w:p>
      <w:pPr>
        <w:spacing w:after="0" w:line="95"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The retail apparel and home fashion businesses are highly competitive. We compete with local, regional, national and international retailers that sell apparel, home fashions and other merchandise we sell, including in stores, through e-commerce, catalogues or other media or channels. Some of our competitors are larger than we are or have more experience in selling certain product lines than we do. New competitors frequently enter the market and existing competitors enter or increase their presence in the markets in which we operate, expand their merchandise offerings, add new sales channels or change their pricing strategies, all of which affect the competitive landscape. Consumer spending online has increased and may continue to increase, while our business is primarily in stores. We compete on the basis of various factors affecting value, meaning the combination of brand, fashion, price, and quality; merchandise selection and freshness; banner name recognition and appeal; both in-store and online service and shopping experience; and store location. If we fail to compete effectively, our sales and results of operations could be adversely affected.</w:t>
      </w:r>
    </w:p>
    <w:p>
      <w:pPr>
        <w:spacing w:after="0" w:line="143"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i w:val="1"/>
          <w:iCs w:val="1"/>
          <w:color w:val="auto"/>
        </w:rPr>
        <w:t>Failure to employ quality Associates in appropriate numbers and to retain key Associates and management, could adversely affect our performance.</w:t>
      </w:r>
    </w:p>
    <w:p>
      <w:pPr>
        <w:spacing w:after="0" w:line="56"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Our performance depends on recruiting, hiring, developing, training and retaining talented Associates in key areas such as buying and management as well as quality store, systems, distribution center and other Associates in large numbers. We must constantly recruit new Associates to fill entry level and part-time positions with historically high rates of turnover. Availability and skill of Associates may differ across markets in which we do business and in new markets we enter, and we may be unable to manage our labor needs effectively. In addition, because of the distinctive nature of our off-price model, we must provide significant internal training and development for key Associates across the Company, including within our buying organization. Similar to other retailers, we face challenges in securing and retaining sufficient talent in management and other key areas for many reasons, including competition in the retail industry and for talent in various geographic markets. If we do not effectively attract qualified individuals, train them in our business model, support their development and retain them in sufficient numbers and at appropriate levels of the organization, our growth could be limited and our performance could be adversely affected.</w:t>
      </w:r>
    </w:p>
    <w:p>
      <w:pPr>
        <w:spacing w:after="0" w:line="143"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i w:val="1"/>
          <w:iCs w:val="1"/>
          <w:color w:val="auto"/>
        </w:rPr>
        <w:t>Labor costs, including pension and healthcare costs, and other challenges from our large workforce may adversely affect our results and profitability.</w:t>
      </w:r>
    </w:p>
    <w:p>
      <w:pPr>
        <w:spacing w:after="0" w:line="56"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We have a large workforce, and our ability to meet our labor needs and control labor costs is subject to various factors such as unemployment levels; prevailing wage rates and benefit levels, minimum wage laws and benefits requirements and other market pressures on wages and benefits; changing demographics; economic conditions; interest rate changes; economic, demographic and other actuarial assumptions; the costs of providing and managing retirement, health and other employee benefits, including health and insurance costs; and a dynamic regulatory environment, including health care legislation, immigration law and policy, and governmental labor, employment and employee benefits programs and requirements. Changes to one or more of these factors could increase our labor costs.</w:t>
      </w:r>
    </w:p>
    <w:p>
      <w:pPr>
        <w:spacing w:after="0" w:line="75"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Increased labor costs may adversely affect our results of operations. In addition, when wage rates or benefit levels increase in a market, increasing our wages or benefits may negatively impact our earnings as they did during the past three fiscal years, while failing to increase our wages or benefits competitively or reducing our wages or benefits, could result in a decline in our ability to attract or retain Associates or in the quality of our workforce, causing our customer service or performance to suffer, which could impact our results. Many Associates in our distribution centers are members of unions and therefore we are subject to the risk of labor actions of various kinds as well as risks and potential material expenses associated with multiemployer plans, including from pension plan underfunding, benefit cuts, increased contribution requirements, changes in plan terms, withdrawal liability, or insolvency of other participating employers or governmental insurance programs. Other Associates in Europe are members of works councils, which may subject us to additional requirements, actions or expense.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Compromises of our data security could materially harm our reputation and business.</w:t>
      </w:r>
    </w:p>
    <w:p>
      <w:pPr>
        <w:spacing w:after="0" w:line="95"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In the ordinary course of our business, we collect, store, process and transmit confidential business information and certain information relating to individuals, such as our customers, Associates and vendors (including, for example, customer payment card and check information and other personal data). We rely in part on commercially available systems, software, hardware, services, tools and monitoring to provide security for collection, storage, processing, and transmission of personal and/or confidential information. As with many other companies in the retail industry, we are subject to attempts to compromise our data security. For example, computer hackers have attempted and we expect will continue to attempt to penetrate our computer systems or those of third parties with whom we work or to whom we outsource business operations. If successful, such computer hackers may further attempt to misappropriate personal information or confidential business information and/or to disrupt our business operations. While we have taken steps designed to further strengthen the security of our computer systems since the unauthorized intrusion(s) into our network discovered late in 2006, in which we believe customer data were stolen, there can be no assurance that we will not suffer a future data security compromise, that unauthorized parties will not gain access to the information that we collect, store, process or transmit or otherwise interfere with our systems, or that any such data security compromise or unauthorized access will be discovered in a timely way or resolved without a disruption to our business.</w:t>
      </w:r>
    </w:p>
    <w:p>
      <w:pPr>
        <w:spacing w:after="0" w:line="80" w:lineRule="exact"/>
        <w:rPr>
          <w:sz w:val="20"/>
          <w:szCs w:val="20"/>
          <w:color w:val="auto"/>
        </w:rPr>
      </w:pPr>
    </w:p>
    <w:p>
      <w:pPr>
        <w:ind w:firstLine="342"/>
        <w:spacing w:after="0" w:line="270" w:lineRule="auto"/>
        <w:rPr>
          <w:sz w:val="20"/>
          <w:szCs w:val="20"/>
          <w:color w:val="auto"/>
        </w:rPr>
      </w:pPr>
      <w:r>
        <w:rPr>
          <w:rFonts w:ascii="Arial" w:cs="Arial" w:eastAsia="Arial" w:hAnsi="Arial"/>
          <w:sz w:val="16"/>
          <w:szCs w:val="16"/>
          <w:color w:val="auto"/>
        </w:rPr>
        <w:t>In addition, an Associate, contractor or third party with whom we work or to whom we outsource business operations may fail to monitor their or our systems effectively, may fail to maintain appropriate safeguards, may misuse the personal or confidential information to which they have access, may attempt to circumvent our security measures in order to access or misappropriate such types of information, may purposefully or inadvertently allow unauthorized access to our systems or to personal or confidential information or may otherwise disrupt our business operations. Advances in computer and software technology and capabilities, rapid changes in the sources, methods and targets of cyberattacks (for example, malware, ransomware and phishing attacks) and the use of devices to tamper with payment entry devices (such as skimmers and shimmers), and the increasing sophistication of cyber criminals generally increase the risk of a data compromise or business disruption.</w:t>
      </w:r>
    </w:p>
    <w:p>
      <w:pPr>
        <w:spacing w:after="0" w:line="50"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Compromise of our data security or that of third parties with whom we work or to whom we outsource business operations, including through cyber-attacks or other external or internal methods or error, failure to prevent or mitigate the loss of personal or business information and delays in detecting any such compromise or loss could, among other adverse impacts to our business, disrupt our operations; damage our reputation and decrease our customers’ willingness to shop in our stores or online; impact our ability to attract and retain customers; violate applicable laws, regulations, orders and agreements; and subject us to additional costs and liabilities which could be material.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Failure to operate information systems and to implement new technologies effectively could disrupt our business or reduce our sales or profitability.</w:t>
      </w:r>
    </w:p>
    <w:p>
      <w:pPr>
        <w:spacing w:after="0" w:line="118"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We rely extensively on various information systems, including data centers, telecommunications systems, hardware, software and applications to manage many aspects of our business, including to process and record transactions in our stores and our e-commerce sites; to manage our customer, vendor and Associate data; to enable effective communication systems; to source, plan and track inventory; to manage logistics; to generate performance and financial reports; to comply with regulatory requirements and to otherwise operate our e-commerce sites. We are dependent on the integrity, security and consistent operations of these systems and related back-up systems. Supporting these internal and external systems requires a number of resources, including effective and qualified, and in some cases, specialized, teams. As we grow and as our systems evolve, we must continue to hire, train, manage and retain these teams, including those needed to support our customized and legacy systems in an effective way. Our information systems, and the third-party systems we rely on, may be subjected to damage or interruption from a number of causes, including power outages; system failures; cyberattacks (including malware, ransomware and phishing attacks) and devices to tamper with our payment or other systems (including skimmers and shimmers); catastrophic events; and design or usage errors by our Associates, contractors or third party service providers on which we rely. Although we have taken steps designed to reduce the risk of these events occurring, there can be no guarantee that we or a third party 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14" w:name="page15"/>
    <w:bookmarkEnd w:id="14"/>
    <w:p>
      <w:pPr>
        <w:ind w:right="3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we rely will not suffer one of these events. Our approach to disaster recovery and business continuity planning may not be adequate and any compromises, interruptions or shutdowns of our systems, including those managed and/or operated by third parties, whether intentional or inadvertent, could lead to delays in our business operations and, if significant or extreme, affect our results of operations, cause us to suffer reputational harm, or result in liability.</w:t>
      </w:r>
    </w:p>
    <w:p>
      <w:pPr>
        <w:spacing w:after="0" w:line="74"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We modify, update, and replace our systems and infrastructure from time to time, including by adding new hardware, software and applications; maintaining, updating or replacing legacy programs; converting to global systems; integrating new service providers; adding enhanced or new functionality, such as cloud computing technologies and e-commerce solutions; and adding or integrating with new systems when we acquire new businesses. We also modify and update our procedures for, and add vendors and internal teams who assist us with, designing, implementing and maintaining our systems and infrastructure. There is a risk of business disruption, liability and reputational damage associated with these actions,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7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Further, potential issues associated with implementing technology initiatives and the time and resources required in seeking to optimize the benefits of new elements of our systems and its infrastructure could reduce the efficiency of our operations in the short term. 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on a global level or in particular markets, may adversely affect our financial performance.</w:t>
      </w:r>
    </w:p>
    <w:p>
      <w:pPr>
        <w:spacing w:after="0" w:line="95" w:lineRule="exact"/>
        <w:rPr>
          <w:sz w:val="20"/>
          <w:szCs w:val="20"/>
          <w:color w:val="auto"/>
        </w:rPr>
      </w:pPr>
    </w:p>
    <w:p>
      <w:pPr>
        <w:ind w:right="40" w:firstLine="342"/>
        <w:spacing w:after="0" w:line="267" w:lineRule="auto"/>
        <w:rPr>
          <w:sz w:val="20"/>
          <w:szCs w:val="20"/>
          <w:color w:val="auto"/>
        </w:rPr>
      </w:pPr>
      <w:r>
        <w:rPr>
          <w:rFonts w:ascii="Arial" w:cs="Arial" w:eastAsia="Arial" w:hAnsi="Arial"/>
          <w:sz w:val="16"/>
          <w:szCs w:val="16"/>
          <w:color w:val="auto"/>
        </w:rPr>
        <w:t>Global financial markets can experience volatility, disruption and credit contraction, which could adversely affect global economic conditions. Turmoil in the financial and credit markets or other changes in economic conditions could adversely affect sources of liquidity available to us or our costs of capital and could adversely affect plan asset values and investment performance, and increase our pension liabilities, expenses and funding requirements and other related financial exposure with respect to company-sponsored and multiemployer pension plans. Our strategies for managing these financial risks and exposures may not be effective or sufficient. Economic conditions, both on a global level and in particular markets, including unemployment; decreased disposable income and actual and perceived wealth; energy and health care costs; costs of oil, gas and other commodities; interest and tax rates and policies; weakness in the housing market; volatility in capital markets; decreased credit availability; inflation and deflation, as well as political or other factors beyond our control such as threats or possibilities of war, terrorism, global or national unrest; actual or threatened epidemics; geopolitical instability or uncertainty; and regulatory volatility or uncertainty, including in areas like international trade (for example, discussions regarding Brexit) may also have significant effects on consumer confidence and spending that would, in turn, affect retail sales. These conditions and factors could adversely affect discretionary consumer spending and, although we believe our flexible off-price model helps us react, they may adversely affect our sales, cash flows and results of operations and performance.</w:t>
      </w:r>
    </w:p>
    <w:p>
      <w:pPr>
        <w:spacing w:after="0" w:line="323"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i w:val="1"/>
          <w:iCs w:val="1"/>
          <w:color w:val="auto"/>
        </w:rPr>
        <w:t>Adverse or unseasonable weather in the markets in which our stores operate or along our supply chain could adversely affect our operating results.</w:t>
      </w:r>
    </w:p>
    <w:p>
      <w:pPr>
        <w:spacing w:after="0" w:line="56" w:lineRule="exact"/>
        <w:rPr>
          <w:sz w:val="20"/>
          <w:szCs w:val="20"/>
          <w:color w:val="auto"/>
        </w:rPr>
      </w:pPr>
    </w:p>
    <w:p>
      <w:pPr>
        <w:ind w:right="20" w:firstLine="342"/>
        <w:spacing w:after="0" w:line="271" w:lineRule="auto"/>
        <w:rPr>
          <w:sz w:val="20"/>
          <w:szCs w:val="20"/>
          <w:color w:val="auto"/>
        </w:rPr>
      </w:pPr>
      <w:r>
        <w:rPr>
          <w:rFonts w:ascii="Arial" w:cs="Arial" w:eastAsia="Arial" w:hAnsi="Arial"/>
          <w:sz w:val="16"/>
          <w:szCs w:val="16"/>
          <w:color w:val="auto"/>
        </w:rPr>
        <w:t>Both adverse and unseasonable weather, such as storms, severe cold or heat or unseasonable temperatures (even if not extreme) may affect customers’ buying patterns and willingness to shop certain categories we offer or at all, and accordingly, can adversely affect the demand for the merchandise in our stores, particularly in apparel and seasonal merchandise. As discussed further below, adverse weather can also affect the efficient or timely transportation of merchandise to our distribution and shipping centers, stores and e-commerce customers or elsewhere along our supply chain, and may impact transportation to or from our stores and other facilities. As a result, adverse or unseasonable weather could adversely affect our sales, increase markdowns, impact customer satisfaction and adversely affect our operating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9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results may be adversely affected by serious disruptions or catastrophic events.</w:t>
      </w:r>
    </w:p>
    <w:p>
      <w:pPr>
        <w:spacing w:after="0" w:line="9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Natural or other disasters, such as hurricanes, tornadoes, floods, earthquakes and other extreme weather; climate conditions; unforeseen public health issues, such as pandemics and epidemics; or fires, explosions and acts of war or terrorism could disrupt our operations in a number of ways, including severely damaging or destroying one or more of our stores, distribution facilities or data centers, or could disrupt the operations of one or more of our vendors or other parts of our supply chain located in the affected areas. Day-to-day operations, including our ability to receive products from our vendors or transport products to our stores or to our e-commerce customers could be adversely affected, transportation to and from our stores (by customers or Associates) could be limited, or we could be required to close stores or distribution centers in the affected areas or in areas served by affected distribution centers for a short or extended period of time, as we did in areas of the U.S., including Puerto Rico, after severe hurricanes during fiscal 2018. As a result, our business could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Damage to our corporate reputation or those of our retail banners could adversely affect our sales and operating results.</w:t>
      </w:r>
    </w:p>
    <w:p>
      <w:pPr>
        <w:spacing w:after="0" w:line="95" w:lineRule="exact"/>
        <w:rPr>
          <w:sz w:val="20"/>
          <w:szCs w:val="20"/>
          <w:color w:val="auto"/>
        </w:rPr>
      </w:pPr>
    </w:p>
    <w:p>
      <w:pPr>
        <w:ind w:right="40" w:firstLine="342"/>
        <w:spacing w:after="0" w:line="266" w:lineRule="auto"/>
        <w:rPr>
          <w:sz w:val="20"/>
          <w:szCs w:val="20"/>
          <w:color w:val="auto"/>
        </w:rPr>
      </w:pPr>
      <w:r>
        <w:rPr>
          <w:rFonts w:ascii="Arial" w:cs="Arial" w:eastAsia="Arial" w:hAnsi="Arial"/>
          <w:sz w:val="16"/>
          <w:szCs w:val="16"/>
          <w:color w:val="auto"/>
        </w:rPr>
        <w:t>We believe that building the brand reputation of our company and our retail banners is important to our continuing success. In the many different markets in which we do business, we work to build relationships with our customers through our various marketing campaigns and other activities. These relationships and our reputation are based, in part, on perceptions of subjective qualities. Incidents involving us, our retail banners, our executives or other Associates, our policies and practices, the merchandise and brands (including our licensed or owned brands) that we carry or our industry more generally that erode trust or confidence could adversely affect our reputation and our business, particularly if the incidents result in rapid or significant adverse publicity or governmental inquiry. Information about us, our retail banners, our executives and other Associates, our policies and practices, our third party providers, and the merchandise and brands we sell, including our licensed or owned brands, that is publicized through traditional or digital media platforms and similar venues, including blogs, websites, and other forums for rapid, broad communications to an audience of consumers and other interested persons, may adversely affect our reputation and brand, even if the information is inaccurate, incomplete or unverified. The reputation of our company and our retail banners may be damaged in all, one or some of the markets in which we do business, by adverse events at the corporate level or at our retail banners, or by an Associate acting outside of company policies and practices. Similarly, challenges or reactions to action (or inaction), perceived action (or inaction), by our company on issues like social policies, merchandising, compliance related to social, product, labor and environmental standards or other sensitive topics, and any perceived lack of transparency about such matters, could harm our reputation, particularly as expectations of companies and of companies’ corporate responsibility may continue to change. Damage to the reputation of our company and our banners could result in declines in customer loyalty and sales; affect our vendor relationships, business development opportunities and Associate retention; divert attention and resources from management, including to respond to inquiries or additional regulatory scrutiny; and otherwise adversely affect our results.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safety or other issues with merchandise we sell could damage our reputation, sales and financial results.</w:t>
      </w:r>
    </w:p>
    <w:p>
      <w:pPr>
        <w:spacing w:after="0" w:line="95"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Various governmental authorities in the jurisdictions where we do business regulate the quality and safety of the merchandise we sell to consumers. Regulations and standards in this area, including those related to the U.S. Consumer Product Safety Improvement Act of 2008 and the U.S. Food Safety Modernization Act, state regulations like California’s Proposition 65, and similar legislation in other countries in which we operate, impose restrictions and requirements on the merchandise we sell in our stores and through e-commerce. These regulations change from time to time and new federal, state, provincial or local regulations in the U.S. and other countries that may affect our business are contemplated and enacted with some regularity. If we or our merchandise vendors are unable to comply with regulatory requirements on a timely basis or at all, or to adequately monitor new regulations that may apply to existing or new merchandise categories or in new geographies, we could incur significant fines or penalties or we could have to curtail some aspects of our sales or operations, which could have a material adverse effect on our financial results. We rely on our vendors to</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16" w:name="page17"/>
    <w:bookmarkEnd w:id="16"/>
    <w:p>
      <w:pPr>
        <w:ind w:right="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quality merchandise that complies with applicable product safety laws, labeling requirements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Concerns or issues with the quality and safety of merchandise raised publicly, particularly with products subject to increased levels of regulation, or the genuineness of merchandise, regardless of whether verified or our fault, could cause damage to our reputation and could result in lost sales, uninsured claims or losses, merchandise recalls and increased costs, and regulatory, civil or criminal fines or penalties, any of which could have an adverse effect on our financial results.</w:t>
      </w:r>
    </w:p>
    <w:p>
      <w:pPr>
        <w:spacing w:after="0" w:line="11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i w:val="1"/>
          <w:iCs w:val="1"/>
          <w:color w:val="auto"/>
        </w:rPr>
        <w:t>Failure to comply with laws, rules, regulations and orders and applicable accounting principles and interpretations could negatively affect our business operations and financial performance.</w:t>
      </w:r>
    </w:p>
    <w:p>
      <w:pPr>
        <w:spacing w:after="0" w:line="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are subject to federal, state, provincial, regional and local laws, rules and regulations as well as government orders in various countries in which we operate. These legal, regulatory and administrative requirements collectively affect multiple aspects of our business, including the cost of providing health care and retirement benefits, workforce management, logistics, marketing, import/export, sourcing and manufacturing, tax, data protection and others. If we, or third parties that perform services on our behalf, fail to comply with applicable laws, rules, regulations and orders, we may be subject to judgments, fines or other costs or penalties, which could adversely affect our operations and our financial results and condition.</w:t>
      </w:r>
    </w:p>
    <w:p>
      <w:pPr>
        <w:spacing w:after="0" w:line="75" w:lineRule="exact"/>
        <w:rPr>
          <w:sz w:val="20"/>
          <w:szCs w:val="20"/>
          <w:color w:val="auto"/>
        </w:rPr>
      </w:pPr>
    </w:p>
    <w:p>
      <w:pPr>
        <w:ind w:right="400" w:firstLine="342"/>
        <w:spacing w:after="0" w:line="237" w:lineRule="auto"/>
        <w:rPr>
          <w:sz w:val="20"/>
          <w:szCs w:val="20"/>
          <w:color w:val="auto"/>
        </w:rPr>
      </w:pPr>
      <w:r>
        <w:rPr>
          <w:rFonts w:ascii="Arial" w:cs="Arial" w:eastAsia="Arial" w:hAnsi="Arial"/>
          <w:sz w:val="18"/>
          <w:szCs w:val="18"/>
          <w:color w:val="auto"/>
        </w:rPr>
        <w:t>Complying with applicable laws, rules and regulations and our own internal policies may also require us to spend additional time and resources to implement new procedures and financial and other controls, conduct audits, train Associates and third parties on our compliance methods or take other actions, particularly as we continue to grow globally and enter new markets or countries, any of which could adversely impact our results.</w:t>
      </w:r>
    </w:p>
    <w:p>
      <w:pPr>
        <w:spacing w:after="0" w:line="74"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We must also comply with new and changing laws, rules and regulations, evolving interpretation of existing laws by judicial and regulatory authorities, and reforms in jurisdictions where we do business. These changes could increase our costs of compliance or of doing business and could adversely affect our operating results, including such changes involving:</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labor and employment practices and benefits, including regarding labor unions and works councils;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health and welfare and financial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consumer protection and product safety;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data protection and privacy, such as to comply with, or fines and penalties related to, the General Data Protection Regulation in Europe;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climate change, supply chain, energy and waste;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Internet regulations, including e-commerce, electronic communications and privacy; and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protection of third party intellectual property rights.</w:t>
      </w:r>
    </w:p>
    <w:p>
      <w:pPr>
        <w:spacing w:after="0" w:line="77"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Particularly in a dynamic regulatory environment, anticipated changes to laws and regulations may require us to invest in compliance efforts before changes are certain.</w:t>
      </w:r>
    </w:p>
    <w:p>
      <w:pPr>
        <w:spacing w:after="0" w:line="74"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color w:val="auto"/>
        </w:rPr>
        <w:t>Further, applicable accounting principles and interpretations may change from time to time, and the changes could have material effects on our future or previously reported financial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expanding international operations expose us to risks inherent in operating in new countries.</w:t>
      </w:r>
    </w:p>
    <w:p>
      <w:pPr>
        <w:spacing w:after="0" w:line="95"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We have a significant retail presence in Canada and in countries in Europe and operate buying offices around the world. We have expanded our operations into Australia and our goal is to continue to expand our operations into other countries in the future. It can be costly and complex to establish, develop and maintain international operations and promote business in new international jurisdictions, which may differ significantly from other countries in which we currently operate.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91" w:right="279" w:bottom="1440" w:gutter="0" w:footer="0" w:header="0"/>
        </w:sectPr>
      </w:pPr>
    </w:p>
    <w:bookmarkStart w:id="17" w:name="page18"/>
    <w:bookmarkEnd w:id="17"/>
    <w:p>
      <w:pPr>
        <w:ind w:firstLine="342"/>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facing risks similar to our U.S. and current international operations, such as with regulations like the U.S. Foreign Corrupt Practices Act and the U.K. Bribery Act, there are additional risks inherent in opening and developing operations in new countries. These additional risks include, among others, understanding the local retail climate and trends, local customs and cultures, seasonal differences, business practices and competitive conditions; complying with relevant laws, rules and regulations; developing the appropriate infrastructure; identifying suitable partners for local operations and for integration with our global operations and effectively communicating and implementing company policies and practices in new, possibly remote jurisdictions. There are also financial, regulatory and other risks associated with international operations, including currency exchange fluctuations; potentially adverse tax consequences; limitations on the repatriation and investment of funds outside of the country where earned; trade regulations; the risk of sudden policy or regulatory changes; the risk of political, economic and civil instability and labor unrest; and uncertainties regarding interpretation, application and enforceability of laws and agreements. Any of these risks could adversely impact our operations, profitability or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sourcing merchandise from other countries and moving merchandise internationally.</w:t>
      </w:r>
    </w:p>
    <w:p>
      <w:pPr>
        <w:spacing w:after="0" w:line="95"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Many of the products sold in our stores are sourced by our vendors and, to a lesser extent, by us, in many locations outside of the country where the particular store is located, particularly southeastern Asia. Where we are the importer of record, we may be subject to regulatory or other requirements, including those similar to requirements imposed upon the manufacturer of such products. More generally, we are subject to various risks of sourcing merchandise from other countries, including moving merchandise internationally, such as: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potential disruptions in manufacturing and supply;</w:t>
      </w:r>
    </w:p>
    <w:p>
      <w:pPr>
        <w:spacing w:after="0" w:line="76" w:lineRule="exact"/>
        <w:rPr>
          <w:sz w:val="20"/>
          <w:szCs w:val="20"/>
          <w:color w:val="auto"/>
        </w:rPr>
      </w:pPr>
    </w:p>
    <w:p>
      <w:pPr>
        <w:ind w:left="660" w:right="200" w:hanging="324"/>
        <w:spacing w:after="0" w:line="238" w:lineRule="auto"/>
        <w:rPr>
          <w:sz w:val="20"/>
          <w:szCs w:val="20"/>
          <w:color w:val="auto"/>
        </w:rPr>
      </w:pPr>
      <w:r>
        <w:rPr>
          <w:rFonts w:ascii="Arial" w:cs="Arial" w:eastAsia="Arial" w:hAnsi="Arial"/>
          <w:sz w:val="18"/>
          <w:szCs w:val="18"/>
          <w:color w:val="auto"/>
        </w:rPr>
        <w:t>— changes in duties, tariffs, trade restrictions, sanctions, quotas and voluntary export restrictions on imported merchandise, including, for example, new potential tariffs and border adjustment taxes, changes to the North American Free Trade Agreement or changes resulting from Brexit;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transport capacity and costs;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information technology challenges;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problems in third-party distribution and warehousing, logistics, transportation and other supply chain interruptions;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strikes, threats of strikes and other events affecting delivery;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consumer perceptions of the safety or quality of imported merchandise;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product and international trade compliance with laws and regulations of the destination country;</w:t>
      </w:r>
    </w:p>
    <w:p>
      <w:pPr>
        <w:spacing w:after="0" w:line="76" w:lineRule="exact"/>
        <w:rPr>
          <w:sz w:val="20"/>
          <w:szCs w:val="20"/>
          <w:color w:val="auto"/>
        </w:rPr>
      </w:pPr>
    </w:p>
    <w:p>
      <w:pPr>
        <w:ind w:left="660" w:right="220" w:hanging="324"/>
        <w:spacing w:after="0" w:line="239" w:lineRule="auto"/>
        <w:rPr>
          <w:sz w:val="20"/>
          <w:szCs w:val="20"/>
          <w:color w:val="auto"/>
        </w:rPr>
      </w:pPr>
      <w:r>
        <w:rPr>
          <w:rFonts w:ascii="Arial" w:cs="Arial" w:eastAsia="Arial" w:hAnsi="Arial"/>
          <w:sz w:val="18"/>
          <w:szCs w:val="18"/>
          <w:color w:val="auto"/>
        </w:rPr>
        <w:t>— compliance with laws and regulations including changing labor, environmental, international trade and other laws in those countries and those concerning ethical business practices, such as the U.S. Foreign Corrupt Practices Act and the U.K. Bribery Act;</w:t>
      </w:r>
    </w:p>
    <w:p>
      <w:pPr>
        <w:spacing w:after="0" w:line="73" w:lineRule="exact"/>
        <w:rPr>
          <w:sz w:val="20"/>
          <w:szCs w:val="20"/>
          <w:color w:val="auto"/>
        </w:rPr>
      </w:pPr>
    </w:p>
    <w:p>
      <w:pPr>
        <w:ind w:left="660" w:hanging="324"/>
        <w:spacing w:after="0" w:line="239" w:lineRule="auto"/>
        <w:rPr>
          <w:sz w:val="20"/>
          <w:szCs w:val="20"/>
          <w:color w:val="auto"/>
        </w:rPr>
      </w:pPr>
      <w:r>
        <w:rPr>
          <w:rFonts w:ascii="Arial" w:cs="Arial" w:eastAsia="Arial" w:hAnsi="Arial"/>
          <w:sz w:val="18"/>
          <w:szCs w:val="18"/>
          <w:color w:val="auto"/>
        </w:rPr>
        <w:t>— product liability claims from customers or penalties from government agencies relating to products that are recalled, defective or otherwise noncompliant or alleged to be harmful;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intellectual property enforcement and infringement issues;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concerns about human rights, working conditions and other labor rights and conditions in countries where merchandise is produced;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concerns about transparent sourcing and supply chains;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currency exchange rates, financial or economic instability; and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political or other disruptions in countries from, to or through which merchandise is imported.</w:t>
      </w:r>
    </w:p>
    <w:p>
      <w:pPr>
        <w:spacing w:after="0" w:line="158" w:lineRule="exact"/>
        <w:rPr>
          <w:sz w:val="20"/>
          <w:szCs w:val="20"/>
          <w:color w:val="auto"/>
        </w:rPr>
      </w:pPr>
    </w:p>
    <w:p>
      <w:pPr>
        <w:jc w:val="both"/>
        <w:ind w:right="120" w:firstLine="342"/>
        <w:spacing w:after="0" w:line="238" w:lineRule="auto"/>
        <w:rPr>
          <w:sz w:val="20"/>
          <w:szCs w:val="20"/>
          <w:color w:val="auto"/>
        </w:rPr>
      </w:pPr>
      <w:r>
        <w:rPr>
          <w:rFonts w:ascii="Arial" w:cs="Arial" w:eastAsia="Arial" w:hAnsi="Arial"/>
          <w:sz w:val="18"/>
          <w:szCs w:val="18"/>
          <w:color w:val="auto"/>
        </w:rPr>
        <w:t>These and other factors relating to international trade and imported merchandise beyond our control could affect the availability and the price of our inventory and our operating costs. Furthermore, although we have implemented policies and procedures designed to facilitate compliance with laws and regulations relating to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91" w:right="279" w:bottom="1440" w:gutter="0" w:footer="0" w:header="0"/>
        </w:sectPr>
      </w:pPr>
    </w:p>
    <w:bookmarkStart w:id="18" w:name="page19"/>
    <w:bookmarkEnd w:id="18"/>
    <w:p>
      <w:pPr>
        <w:ind w:right="1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operations and importing merchandise, there can be no assurance that our Associates and our contractors, agents, vendors or other third parties with whom we do business or to whom we outsource business operations will not violate such laws and regulations or our policies, which could subject us to liability and could adversely affect our reputation, operations or operating results.</w:t>
      </w:r>
    </w:p>
    <w:p>
      <w:pPr>
        <w:spacing w:after="0" w:line="136"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i w:val="1"/>
          <w:iCs w:val="1"/>
          <w:color w:val="auto"/>
        </w:rPr>
        <w:t>Our results may be adversely affected by reduced availability of, or increases in, the price of oil or other fuels, increased costs of other commodities, or other increases in utility, transportation or logistics costs.</w:t>
      </w:r>
    </w:p>
    <w:p>
      <w:pPr>
        <w:spacing w:after="0" w:line="56"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Energy and fuel costs can fluctuate dramatically and, at times, have resulted in significant cost increases, particularly for the price of oil and gasoline. An increase in the price of oil increases our transportation costs for distribution, utility costs for our retail stores and costs to purchase our products from suppliers. Although we typically enter into derivative instruments designed to manage a portion of our transportation costs (a hedging strategy), any such strategy may not be effective or sufficient and could result in increased operating costs. Increased regulation related to environmental costs, including cap and trade, carbon taxes or other emissions management systems could also adversely affect our costs of doing business, including utility, transportation and logistics costs, as could other shortages or disruptions impacting transportation. For example, at the end of fiscal 2018, increased freight cost related to labor and equipment shortages, as well as other factors, had an impact on our margins. Similarly, other commodity prices can fluctuate dramatically. Such increases can increase the cost of merchandise, which could adversely affect our performance through potentially reduced consumer demand or reduced margins.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Fluctuations in currency exchange rates may lead to lower revenues and earnings.</w:t>
      </w:r>
    </w:p>
    <w:p>
      <w:pPr>
        <w:spacing w:after="0" w:line="95" w:lineRule="exact"/>
        <w:rPr>
          <w:sz w:val="20"/>
          <w:szCs w:val="20"/>
          <w:color w:val="auto"/>
        </w:rPr>
      </w:pPr>
    </w:p>
    <w:p>
      <w:pPr>
        <w:ind w:right="60" w:firstLine="342"/>
        <w:spacing w:after="0" w:line="235" w:lineRule="auto"/>
        <w:rPr>
          <w:sz w:val="20"/>
          <w:szCs w:val="20"/>
          <w:color w:val="auto"/>
        </w:rPr>
      </w:pPr>
      <w:r>
        <w:rPr>
          <w:rFonts w:ascii="Arial" w:cs="Arial" w:eastAsia="Arial" w:hAnsi="Arial"/>
          <w:sz w:val="18"/>
          <w:szCs w:val="18"/>
          <w:color w:val="auto"/>
        </w:rPr>
        <w:t>Sales made by our stores outside the United States are denominated in the currency of the country in which the store is located, and changes in currency exchange rates affect the translation of the sales and earnings of these businesses into U.S. dollars for financial reporting purposes. Because of this, movements in currency exchange rates have had and are expected to continue to have a significant impact on our consolidated and segment results from time to time. Changes in currency exchange rates can also increase the cost of inventory purchases that are denominated in a currency other than the local currency of the business buying the merchandise. When exchange rates change significantly in a short period or move unfavorably over an extended period, as in recent years, it can be difficult for us to adjust retail prices accordingly, and gross margin can be adversely affected. In addition, a significant amount of merchandise we offer for sale is made in China and accordingly, a revaluation of Chinese currency, or increased market flexibility in the exchange rate for that currency, increasing its value relative to the U.S. dollar or currencies in which our stores are located, could be significant.</w:t>
      </w:r>
    </w:p>
    <w:p>
      <w:pPr>
        <w:spacing w:after="0" w:line="80"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Additionally, we routinely enter into inventory-related derivative instruments (a hedging strategy) to mitigate the impact of currency exchange rates on merchandise margins of merchandise purchases by our segments denominated in currencies other than their local currencies. In accordance with GAAP, we evaluate the fair value of these derivative instruments and make mark-to-market adjustments at the end of each accounting period. These adjustments are of a much greater magnitude when there is significant volatility in currency exchange rates and may have a significant impact on our earnings.</w:t>
      </w:r>
    </w:p>
    <w:p>
      <w:pPr>
        <w:spacing w:after="0" w:line="76"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Although we implement foreign currency hedging and risk management strategies to reduce our exposure to fluctuations in earnings and cash flows associated with changes in currency exchange rates, we expect that currency exchange rate fluctuations could have a material adverse effect on our sales and results of operations from time to time. In addition, fluctuations in currency exchange rates may have a greater impact on our earnings and operating results if a counterparty to one of our hedging arrangements fails to perform.</w:t>
      </w:r>
    </w:p>
    <w:p>
      <w:pPr>
        <w:spacing w:after="0" w:line="13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Our quarterly operating results fluctuate and may fall short of prior periods, our projections or the expectations of securities analysts or investors, which could adversely affect our stock price.</w:t>
      </w:r>
    </w:p>
    <w:p>
      <w:pPr>
        <w:spacing w:after="0" w:line="56" w:lineRule="exact"/>
        <w:rPr>
          <w:sz w:val="20"/>
          <w:szCs w:val="20"/>
          <w:color w:val="auto"/>
        </w:rPr>
      </w:pPr>
    </w:p>
    <w:p>
      <w:pPr>
        <w:ind w:right="240" w:firstLine="342"/>
        <w:spacing w:after="0" w:line="237" w:lineRule="auto"/>
        <w:rPr>
          <w:sz w:val="20"/>
          <w:szCs w:val="20"/>
          <w:color w:val="auto"/>
        </w:rPr>
      </w:pPr>
      <w:r>
        <w:rPr>
          <w:rFonts w:ascii="Arial" w:cs="Arial" w:eastAsia="Arial" w:hAnsi="Arial"/>
          <w:sz w:val="18"/>
          <w:szCs w:val="18"/>
          <w:color w:val="auto"/>
        </w:rPr>
        <w:t>Our operating results have fluctuated from quarter to quarter at points in the past, and they may do so in the future.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91" w:right="259" w:bottom="1440" w:gutter="0" w:footer="0" w:header="0"/>
        </w:sectPr>
      </w:pPr>
    </w:p>
    <w:bookmarkStart w:id="19" w:name="page20"/>
    <w:bookmarkEnd w:id="19"/>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those described in these risk factors. We maintain a forecasting process that seeks to plan sales and align expenses. If we do not control costs or appropriately adjust costs to actual results, or if actual results differ significantly from our forecast, our financial performance could be adversely affected. In addition, if we do not repurchase the number of shares we contemplated pursuant to our stock repurchase programs, our earnings per share may be adversely affected.</w:t>
      </w:r>
    </w:p>
    <w:p>
      <w:pPr>
        <w:spacing w:after="0" w:line="137"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i w:val="1"/>
          <w:iCs w:val="1"/>
          <w:color w:val="auto"/>
        </w:rPr>
        <w:t>If we engage in mergers or acquisitions or investments in new businesses, or divest, close or consolidate any of our current businesses, our business will be subject to additional risks.</w:t>
      </w:r>
    </w:p>
    <w:p>
      <w:pPr>
        <w:spacing w:after="0" w:line="56"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We may acquire new businesses (as we did with Trade Secret in fiscal 2016 and STP in fiscal 2013), invest in or enter into joint ventures with other businesses, develop new businesses internally (as with Homesense, our new U.S. home store concept) and divest, close or consolidate businesses. Failure to execute on mergers, acquisitions, investments, divestitures, closings and consolidations in a satisfactory manner could adversely affect our future results of operations and financial condition. Acquisition, investment or divestiture activities may divert attention of management from operating the existing businesses, and we may not effectively evaluate target companies, investments or investment partners or assess the risks, benefits and cost of buying, investing in or closing businesses or of the integration of acquired businesses, all of which can be difficult, time-consuming and dilutive. These activities may not meet our performance and other expectations and may expose us to unexpected or greater-than-expected costs, liabilities and risks. In addition, we recorded intangible assets and goodwill and the value of the tradenames in connection with our acquisitions of Trade Secret and STP and may similarly do so in the future in connection with other acquisitions. If we are unable to realize the anticipated benefits from acquisitions, we may be required to impair some or all of the goodwill associated with an acquisition, which would adversely impact our results of operations and balance sheet, such as with the impairment charge related to STP taken during fiscal 2018. Divestitures, closings and consolidations could involve risks such as significant costs and obligations of closure, including exposure on leases, owned real estate and other contractual, employment, pension and severance obligations, and potential liabilities that may arise under law as a result of the disposition or the subsequent failure of an acquirer.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results may be materially adversely affected by the outcomes of litigation, legal proceedings and other legal or regulatory matters.</w:t>
      </w:r>
    </w:p>
    <w:p>
      <w:pPr>
        <w:spacing w:after="0" w:line="95" w:lineRule="exact"/>
        <w:rPr>
          <w:sz w:val="20"/>
          <w:szCs w:val="20"/>
          <w:color w:val="auto"/>
        </w:rPr>
      </w:pPr>
    </w:p>
    <w:p>
      <w:pPr>
        <w:ind w:right="60" w:firstLine="342"/>
        <w:spacing w:after="0" w:line="235" w:lineRule="auto"/>
        <w:rPr>
          <w:sz w:val="20"/>
          <w:szCs w:val="20"/>
          <w:color w:val="auto"/>
        </w:rPr>
      </w:pPr>
      <w:r>
        <w:rPr>
          <w:rFonts w:ascii="Arial" w:cs="Arial" w:eastAsia="Arial" w:hAnsi="Arial"/>
          <w:sz w:val="18"/>
          <w:szCs w:val="18"/>
          <w:color w:val="auto"/>
        </w:rPr>
        <w:t>We are involved, or may in the future become involved, in legal proceedings, regulatory reviews, audits and other legal matters. These may involve inquiries, investigations, lawsuits and other proceedings by local, provincial, state and federal governmental entities (in the United States and other countries) and private plaintiffs, including with respect to employment and employee benefits including classification, employment rights, discrimination, wage and hour and retaliation; whistle blower claims; tax; securities; disclosure; real estate; environmental matters; tort; business practices; consumer protection; privacy/data security; product safety and compliance; advertising; and intellectual property. There continue to be employment-related and consumer protection lawsuits, including putative class actions, in the United States, and we are subject to these types of suits. We cannot predict the results of legal and regulatory proceedings with certainty, and actual results may differ from any reserves we establish estimating the probable outcome. Regardless of merit or outcome, litigation can be both time-consuming and disruptive to our operations and may cause significant expense and diversion of management attention. Legal and regulatory proceedings and investigations could expose us to significant defense costs, fines, penalties and liability to private parties and governmental entities for monetary recoveries and other amounts and attorneys’ fees and/or require us to change aspects of our operations, any of which could have a material adverse effect on our business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 could adversely affect our results of operations and financial condition.</w:t>
      </w:r>
    </w:p>
    <w:p>
      <w:pPr>
        <w:spacing w:after="0" w:line="95" w:lineRule="exact"/>
        <w:rPr>
          <w:sz w:val="20"/>
          <w:szCs w:val="20"/>
          <w:color w:val="auto"/>
        </w:rPr>
      </w:pPr>
    </w:p>
    <w:p>
      <w:pPr>
        <w:jc w:val="both"/>
        <w:ind w:firstLine="342"/>
        <w:spacing w:after="0" w:line="281" w:lineRule="auto"/>
        <w:rPr>
          <w:sz w:val="20"/>
          <w:szCs w:val="20"/>
          <w:color w:val="auto"/>
        </w:rPr>
      </w:pPr>
      <w:r>
        <w:rPr>
          <w:rFonts w:ascii="Arial" w:cs="Arial" w:eastAsia="Arial" w:hAnsi="Arial"/>
          <w:sz w:val="16"/>
          <w:szCs w:val="16"/>
          <w:color w:val="auto"/>
        </w:rPr>
        <w:t>We are subject to income and other taxes in the United States and numerous foreign jurisdictions. Our effective income tax rate and future tax liability could be adversely affected by numerous factors including the results of tax audits and examinations, income before taxes being lower than anticipated in countries with lower statutory income tax rates and higher than anticipated in countries with higher statutory income tax rates,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91" w:right="259" w:bottom="1440" w:gutter="0" w:footer="0" w:header="0"/>
        </w:sectPr>
      </w:pPr>
    </w:p>
    <w:bookmarkStart w:id="20" w:name="page21"/>
    <w:bookmarkEnd w:id="20"/>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income tax rates, changes in transfer pricing, changes in the valuation of deferred tax assets and liabilities, changes in applicable tax legislation, regulations and treaties, exposure to additional tax liabilities, including interest and penalties, and changes in accounting principles and interpretations relating to tax matters, any of which could adversely impact our results of operations and financial condition in future periods. Significant judgment is required in evaluating and estimating our worldwide provision and accruals for taxes, and actual results may differ from our estimations.</w:t>
      </w:r>
    </w:p>
    <w:p>
      <w:pPr>
        <w:spacing w:after="0" w:line="76"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In December 2017, the U.S. Tax Cut and Jobs Act of 2017 (the “2017 Tax Act”) significantly revised the current federal income tax code with significant changes to corporate taxation, including reducing the corporate tax rate, limiting certain tax deductions, revising the treatment of foreign earnings for U.S. federal income tax purposes and modifying or repealing many business deductions and credits. While the 2017 Tax Act reduces the federal income tax rate for corporations, it could negatively affect our business and financial condition. Many aspects of the new tax law are uncertain. Significant judgements will need to be made in the interpretation of various provisions, and U.S. regulators could interpret or issue guidance that is different from our interpretation. In addition, it is uncertain if and to what extent various states will conform to the newly enacted federal tax law, which could also impact our tax obligations.</w:t>
      </w:r>
    </w:p>
    <w:p>
      <w:pPr>
        <w:spacing w:after="0" w:line="74"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In addition, we are subject to the continuous examination of our tax returns and reports by federal, state, provincial and local tax authorities in the U.S. and foreign countries, and the examining authorities may challenge positions we take. We are engaged in various proceedings, which are at various stages, with such authorities with respect to assessments, claims, deficiencies and refunds. We regularly assess the likely outcomes of these proceedings to determine the adequacy and appropriateness of our provision for income taxes, and increase and decrease our provision as a result of these assessments. However, the developments in and actual results of proceedings or the result of rulings by or settlements with tax authorities and courts or due to changes in facts, law or legal interpretations, expiration of applicable statutes of limitations or other resolutions of tax positions could differ from the amounts we have accrued for such proceedings in either a positive or a negative manner, which could materially affect our effective income tax rate in a given financial period, the amount of taxes we are required to pay and our results of operations. In addition, we are subject to tax audits and examinations for payroll, value added, sales-based and other taxes relating to our businesses.</w:t>
      </w:r>
    </w:p>
    <w:p>
      <w:pPr>
        <w:spacing w:after="0" w:line="11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As our business is subject to seasonal influences, a decrease in sales or margins, a severe disruption or other significant event that impacts our business during the second half of the year could have a disproportionately adverse effect on our operating results.</w:t>
      </w:r>
    </w:p>
    <w:p>
      <w:pPr>
        <w:spacing w:after="0" w:line="56" w:lineRule="exact"/>
        <w:rPr>
          <w:sz w:val="20"/>
          <w:szCs w:val="20"/>
          <w:color w:val="auto"/>
        </w:rPr>
      </w:pPr>
    </w:p>
    <w:p>
      <w:pPr>
        <w:jc w:val="both"/>
        <w:ind w:right="180" w:firstLine="342"/>
        <w:spacing w:after="0" w:line="238" w:lineRule="auto"/>
        <w:rPr>
          <w:sz w:val="20"/>
          <w:szCs w:val="20"/>
          <w:color w:val="auto"/>
        </w:rPr>
      </w:pPr>
      <w:r>
        <w:rPr>
          <w:rFonts w:ascii="Arial" w:cs="Arial" w:eastAsia="Arial" w:hAnsi="Arial"/>
          <w:sz w:val="18"/>
          <w:szCs w:val="18"/>
          <w:color w:val="auto"/>
        </w:rPr>
        <w:t>Our business is subject to seasonal influences; we generally realize higher levels of sales and earnings in the second half of the year, which includes the back-to-school and year-end holiday seasons. Any decrease in sales or margins or any significant adverse event during this period including those described in the factors in this section, could have a disproportionately adverse effect on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real estate leases generally obligate us for long periods, which subjects us to financial risks.</w:t>
      </w:r>
    </w:p>
    <w:p>
      <w:pPr>
        <w:spacing w:after="0" w:line="95"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We lease virtually all of our store locations and either own or lease for long periods our primary distribution centers and administrative offices. Accordingly, we are subject to the risks associated with leasing and owning real estate, which can adversely affect our results. While we have the right to terminate some of our leases under specified conditions, including by making specified payments, we may not be able to terminate a particular lease if or when we would like to do so. If we decide to close stores, we are generally required to continue to perform obligations under the applicable leases, which generally include, among other things, paying rent and operating expenses for the balance of the lease term, or paying to exercise rights to terminate, and the performance of any of these obligations may be expensive. When we assign leases or sublease space to third parties, or if we sell a business, we can remain liable on the lease obligations if the assignee or sublessee does not perform (as was the case with some of our former operations). In addition, when the lease term for the stores in our ongoing operations expire, we may be unable to negotiate renewals, either on commercially reasonable terms or at all, which could cause us to close stores or to relocate stores within a market on less favorable terms.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9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protect our inventory or other assets from loss and theft may impact our financial results.</w:t>
      </w:r>
    </w:p>
    <w:p>
      <w:pPr>
        <w:spacing w:after="0" w:line="95"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Risk of loss or theft of assets, including inventory shrinkage, is inherent in the retail apparel and home fashion businesses. Loss may be caused by error or misconduct of Associates, customers, vendors or third parties. Our inability to effectively combat and/or minimize the loss or theft of assets, or to effectively reduce the impact of those losses, could adversely affect our financial performance.</w:t>
      </w:r>
    </w:p>
    <w:p>
      <w:pPr>
        <w:spacing w:after="0" w:line="13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i w:val="1"/>
          <w:iCs w:val="1"/>
          <w:color w:val="auto"/>
        </w:rPr>
        <w:t>We depend upon strong cash flows from our operations to supply capital to fund our operations, growth, stock repurchases and dividends and interest and debt repayment.</w:t>
      </w:r>
    </w:p>
    <w:p>
      <w:pPr>
        <w:spacing w:after="0" w:line="56"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Our business depends upon our operations to continue to generate strong cash flow to supply capital to support our general operating activities, to fund our growth and our return of cash to stockholders through our stock repurchase programs and dividends, and to pay our interest and debt repayments. Our inability to continue to generate sufficient cash flows to support these activities or to repatriate cash from our international operations in a manner that is cost effective could adversely affect our growth plans and financial performance including our earnings per share. We borrow on occasion to finance our activities and if financing were not available to us in adequate amounts and on appropriate terms when needed, it could also adversely affect our financial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9"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We lease virtually all of our store locations. Leases in the U.S. and Canada are generally for an initial term of 10 years with options to extend the lease term for one or more 5-year periods. Leases in Europe generally have an initial term of 10 to 15 years and in Australia the initial lease term is primarily 7 to 10 years. Some of the leases in Europe and Australia have options to extend. We have the right to terminate some of these leases before the expiration date under specified circumstances and some with specified payments.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3" w:right="319" w:bottom="1440" w:gutter="0" w:footer="0" w:header="0"/>
        </w:sectPr>
      </w:pPr>
    </w:p>
    <w:bookmarkStart w:id="22" w:name="page23"/>
    <w:bookmarkEnd w:id="22"/>
    <w:p>
      <w:pPr>
        <w:ind w:right="120" w:firstLine="342"/>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of our primary owned and leased distribution centers and primary administrative office locations as of February 3, 2018. Square footage information for the distribution centers represents total “ground cover” of the facility. Square footage information for office space represents total space occupied.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color w:val="auto"/>
              </w:rPr>
              <w:t>Distribution Centers</w:t>
            </w:r>
          </w:p>
        </w:tc>
        <w:tc>
          <w:tcPr>
            <w:tcW w:w="43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15"/>
        </w:trPr>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Marmaxx</w:t>
            </w:r>
          </w:p>
        </w:tc>
        <w:tc>
          <w:tcPr>
            <w:tcW w:w="22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38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T.J. Maxx</w:t>
            </w: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Worcester, Massachusetts</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494,000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Evansville, Indiana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989,000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Las Vegas, Nevada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1,110,000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Charlotte, North Carolina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595,000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Pittston Township, Pennsylvania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1,017,000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Chickasaw, Tennessee</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415,000 s.f.—leased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Memphis, Tennessee</w:t>
            </w:r>
          </w:p>
        </w:tc>
        <w:tc>
          <w:tcPr>
            <w:tcW w:w="3220" w:type="dxa"/>
            <w:vAlign w:val="bottom"/>
          </w:tcPr>
          <w:p>
            <w:pPr>
              <w:ind w:left="820"/>
              <w:spacing w:after="0"/>
              <w:rPr>
                <w:sz w:val="20"/>
                <w:szCs w:val="20"/>
                <w:color w:val="auto"/>
              </w:rPr>
            </w:pPr>
            <w:r>
              <w:rPr>
                <w:rFonts w:ascii="Arial" w:cs="Arial" w:eastAsia="Arial" w:hAnsi="Arial"/>
                <w:sz w:val="18"/>
                <w:szCs w:val="18"/>
                <w:color w:val="auto"/>
              </w:rPr>
              <w:t>800,000 s.f.—leased</w:t>
            </w:r>
          </w:p>
        </w:tc>
      </w:tr>
      <w:tr>
        <w:trPr>
          <w:trHeight w:val="302"/>
        </w:trPr>
        <w:tc>
          <w:tcPr>
            <w:tcW w:w="3820" w:type="dxa"/>
            <w:vAlign w:val="bottom"/>
            <w:gridSpan w:val="3"/>
          </w:tcPr>
          <w:p>
            <w:pPr>
              <w:ind w:left="100"/>
              <w:spacing w:after="0"/>
              <w:rPr>
                <w:sz w:val="20"/>
                <w:szCs w:val="20"/>
                <w:color w:val="auto"/>
              </w:rPr>
            </w:pPr>
            <w:r>
              <w:rPr>
                <w:rFonts w:ascii="Arial" w:cs="Arial" w:eastAsia="Arial" w:hAnsi="Arial"/>
                <w:sz w:val="18"/>
                <w:szCs w:val="18"/>
                <w:color w:val="auto"/>
              </w:rPr>
              <w:t>Marshalls</w:t>
            </w:r>
          </w:p>
        </w:tc>
        <w:tc>
          <w:tcPr>
            <w:tcW w:w="4380" w:type="dxa"/>
            <w:vAlign w:val="bottom"/>
          </w:tcPr>
          <w:p>
            <w:pPr>
              <w:ind w:left="1180"/>
              <w:spacing w:after="0"/>
              <w:rPr>
                <w:sz w:val="20"/>
                <w:szCs w:val="20"/>
                <w:color w:val="auto"/>
              </w:rPr>
            </w:pPr>
            <w:r>
              <w:rPr>
                <w:rFonts w:ascii="Arial" w:cs="Arial" w:eastAsia="Arial" w:hAnsi="Arial"/>
                <w:sz w:val="18"/>
                <w:szCs w:val="18"/>
                <w:color w:val="auto"/>
              </w:rPr>
              <w:t>Decatur, Georgia</w:t>
            </w:r>
          </w:p>
        </w:tc>
        <w:tc>
          <w:tcPr>
            <w:tcW w:w="3220" w:type="dxa"/>
            <w:vAlign w:val="bottom"/>
          </w:tcPr>
          <w:p>
            <w:pPr>
              <w:ind w:left="820"/>
              <w:spacing w:after="0"/>
              <w:rPr>
                <w:sz w:val="20"/>
                <w:szCs w:val="20"/>
                <w:color w:val="auto"/>
              </w:rPr>
            </w:pPr>
            <w:r>
              <w:rPr>
                <w:rFonts w:ascii="Arial" w:cs="Arial" w:eastAsia="Arial" w:hAnsi="Arial"/>
                <w:sz w:val="18"/>
                <w:szCs w:val="18"/>
                <w:color w:val="auto"/>
              </w:rPr>
              <w:t>780,000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Woburn, Massachusetts</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472,000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Bridgewater, Virginia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562,000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Philadelphia, Pennsylvania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1,001,000 s.f.—leased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Phoenix, Arizona</w:t>
            </w:r>
          </w:p>
        </w:tc>
        <w:tc>
          <w:tcPr>
            <w:tcW w:w="3220" w:type="dxa"/>
            <w:vAlign w:val="bottom"/>
          </w:tcPr>
          <w:p>
            <w:pPr>
              <w:ind w:left="820"/>
              <w:spacing w:after="0"/>
              <w:rPr>
                <w:sz w:val="20"/>
                <w:szCs w:val="20"/>
                <w:color w:val="auto"/>
              </w:rPr>
            </w:pPr>
            <w:r>
              <w:rPr>
                <w:rFonts w:ascii="Arial" w:cs="Arial" w:eastAsia="Arial" w:hAnsi="Arial"/>
                <w:sz w:val="18"/>
                <w:szCs w:val="18"/>
                <w:color w:val="auto"/>
              </w:rPr>
              <w:t>1,139,000 s.f.—owned</w:t>
            </w:r>
          </w:p>
        </w:tc>
      </w:tr>
      <w:tr>
        <w:trPr>
          <w:trHeight w:val="302"/>
        </w:trPr>
        <w:tc>
          <w:tcPr>
            <w:tcW w:w="3820" w:type="dxa"/>
            <w:vAlign w:val="bottom"/>
            <w:gridSpan w:val="3"/>
          </w:tcPr>
          <w:p>
            <w:pPr>
              <w:spacing w:after="0"/>
              <w:rPr>
                <w:sz w:val="20"/>
                <w:szCs w:val="20"/>
                <w:color w:val="auto"/>
              </w:rPr>
            </w:pPr>
            <w:r>
              <w:rPr>
                <w:rFonts w:ascii="Arial" w:cs="Arial" w:eastAsia="Arial" w:hAnsi="Arial"/>
                <w:sz w:val="18"/>
                <w:szCs w:val="18"/>
                <w:color w:val="auto"/>
              </w:rPr>
              <w:t>HomeGoods</w:t>
            </w:r>
          </w:p>
        </w:tc>
        <w:tc>
          <w:tcPr>
            <w:tcW w:w="4380" w:type="dxa"/>
            <w:vAlign w:val="bottom"/>
          </w:tcPr>
          <w:p>
            <w:pPr>
              <w:ind w:left="1180"/>
              <w:spacing w:after="0"/>
              <w:rPr>
                <w:sz w:val="20"/>
                <w:szCs w:val="20"/>
                <w:color w:val="auto"/>
              </w:rPr>
            </w:pPr>
            <w:r>
              <w:rPr>
                <w:rFonts w:ascii="Arial" w:cs="Arial" w:eastAsia="Arial" w:hAnsi="Arial"/>
                <w:sz w:val="18"/>
                <w:szCs w:val="18"/>
                <w:color w:val="auto"/>
              </w:rPr>
              <w:t>Brownsburg, Indiana</w:t>
            </w:r>
          </w:p>
        </w:tc>
        <w:tc>
          <w:tcPr>
            <w:tcW w:w="3220" w:type="dxa"/>
            <w:vAlign w:val="bottom"/>
          </w:tcPr>
          <w:p>
            <w:pPr>
              <w:ind w:left="820"/>
              <w:spacing w:after="0"/>
              <w:rPr>
                <w:sz w:val="20"/>
                <w:szCs w:val="20"/>
                <w:color w:val="auto"/>
              </w:rPr>
            </w:pPr>
            <w:r>
              <w:rPr>
                <w:rFonts w:ascii="Arial" w:cs="Arial" w:eastAsia="Arial" w:hAnsi="Arial"/>
                <w:sz w:val="18"/>
                <w:szCs w:val="18"/>
                <w:color w:val="auto"/>
              </w:rPr>
              <w:t>805,000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Bloomfield, Connecticut</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803,000 s.f.—owned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Jefferson, Georgia</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801,000 s.f.—owned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Tucson, Arizona</w:t>
            </w:r>
          </w:p>
        </w:tc>
        <w:tc>
          <w:tcPr>
            <w:tcW w:w="3220" w:type="dxa"/>
            <w:vAlign w:val="bottom"/>
          </w:tcPr>
          <w:p>
            <w:pPr>
              <w:ind w:left="820"/>
              <w:spacing w:after="0"/>
              <w:rPr>
                <w:sz w:val="20"/>
                <w:szCs w:val="20"/>
                <w:color w:val="auto"/>
              </w:rPr>
            </w:pPr>
            <w:r>
              <w:rPr>
                <w:rFonts w:ascii="Arial" w:cs="Arial" w:eastAsia="Arial" w:hAnsi="Arial"/>
                <w:sz w:val="18"/>
                <w:szCs w:val="18"/>
                <w:color w:val="auto"/>
              </w:rPr>
              <w:t>858,000 s.f.—owned</w:t>
            </w:r>
          </w:p>
        </w:tc>
      </w:tr>
      <w:tr>
        <w:trPr>
          <w:trHeight w:val="302"/>
        </w:trPr>
        <w:tc>
          <w:tcPr>
            <w:tcW w:w="3820" w:type="dxa"/>
            <w:vAlign w:val="bottom"/>
            <w:gridSpan w:val="3"/>
          </w:tcPr>
          <w:p>
            <w:pPr>
              <w:spacing w:after="0"/>
              <w:rPr>
                <w:sz w:val="20"/>
                <w:szCs w:val="20"/>
                <w:color w:val="auto"/>
              </w:rPr>
            </w:pPr>
            <w:r>
              <w:rPr>
                <w:rFonts w:ascii="Arial" w:cs="Arial" w:eastAsia="Arial" w:hAnsi="Arial"/>
                <w:sz w:val="18"/>
                <w:szCs w:val="18"/>
                <w:color w:val="auto"/>
              </w:rPr>
              <w:t>TJX Canada</w:t>
            </w:r>
          </w:p>
        </w:tc>
        <w:tc>
          <w:tcPr>
            <w:tcW w:w="4380" w:type="dxa"/>
            <w:vAlign w:val="bottom"/>
          </w:tcPr>
          <w:p>
            <w:pPr>
              <w:ind w:left="1180"/>
              <w:spacing w:after="0"/>
              <w:rPr>
                <w:sz w:val="20"/>
                <w:szCs w:val="20"/>
                <w:color w:val="auto"/>
              </w:rPr>
            </w:pPr>
            <w:r>
              <w:rPr>
                <w:rFonts w:ascii="Arial" w:cs="Arial" w:eastAsia="Arial" w:hAnsi="Arial"/>
                <w:sz w:val="18"/>
                <w:szCs w:val="18"/>
                <w:color w:val="auto"/>
              </w:rPr>
              <w:t>Brampton, Ontario</w:t>
            </w:r>
          </w:p>
        </w:tc>
        <w:tc>
          <w:tcPr>
            <w:tcW w:w="3220" w:type="dxa"/>
            <w:vAlign w:val="bottom"/>
          </w:tcPr>
          <w:p>
            <w:pPr>
              <w:ind w:left="820"/>
              <w:spacing w:after="0"/>
              <w:rPr>
                <w:sz w:val="20"/>
                <w:szCs w:val="20"/>
                <w:color w:val="auto"/>
              </w:rPr>
            </w:pPr>
            <w:r>
              <w:rPr>
                <w:rFonts w:ascii="Arial" w:cs="Arial" w:eastAsia="Arial" w:hAnsi="Arial"/>
                <w:sz w:val="18"/>
                <w:szCs w:val="18"/>
                <w:color w:val="auto"/>
              </w:rPr>
              <w:t>506,000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Mississauga, Ontario</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679,000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Torbram, Ontario</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445,000 s.f.—leased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Delta, British Columbia</w:t>
            </w:r>
          </w:p>
        </w:tc>
        <w:tc>
          <w:tcPr>
            <w:tcW w:w="3220" w:type="dxa"/>
            <w:vAlign w:val="bottom"/>
          </w:tcPr>
          <w:p>
            <w:pPr>
              <w:ind w:left="820"/>
              <w:spacing w:after="0"/>
              <w:rPr>
                <w:sz w:val="20"/>
                <w:szCs w:val="20"/>
                <w:color w:val="auto"/>
              </w:rPr>
            </w:pPr>
            <w:r>
              <w:rPr>
                <w:rFonts w:ascii="Arial" w:cs="Arial" w:eastAsia="Arial" w:hAnsi="Arial"/>
                <w:sz w:val="18"/>
                <w:szCs w:val="18"/>
                <w:color w:val="auto"/>
              </w:rPr>
              <w:t>432,000 s.f.—leased</w:t>
            </w:r>
          </w:p>
        </w:tc>
      </w:tr>
      <w:tr>
        <w:trPr>
          <w:trHeight w:val="302"/>
        </w:trPr>
        <w:tc>
          <w:tcPr>
            <w:tcW w:w="3820" w:type="dxa"/>
            <w:vAlign w:val="bottom"/>
            <w:gridSpan w:val="3"/>
          </w:tcPr>
          <w:p>
            <w:pPr>
              <w:spacing w:after="0"/>
              <w:rPr>
                <w:sz w:val="20"/>
                <w:szCs w:val="20"/>
                <w:color w:val="auto"/>
              </w:rPr>
            </w:pPr>
            <w:r>
              <w:rPr>
                <w:rFonts w:ascii="Arial" w:cs="Arial" w:eastAsia="Arial" w:hAnsi="Arial"/>
                <w:sz w:val="18"/>
                <w:szCs w:val="18"/>
                <w:color w:val="auto"/>
              </w:rPr>
              <w:t>TJX International</w:t>
            </w:r>
          </w:p>
        </w:tc>
        <w:tc>
          <w:tcPr>
            <w:tcW w:w="4380" w:type="dxa"/>
            <w:vAlign w:val="bottom"/>
          </w:tcPr>
          <w:p>
            <w:pPr>
              <w:ind w:left="1180"/>
              <w:spacing w:after="0"/>
              <w:rPr>
                <w:sz w:val="20"/>
                <w:szCs w:val="20"/>
                <w:color w:val="auto"/>
              </w:rPr>
            </w:pPr>
            <w:r>
              <w:rPr>
                <w:rFonts w:ascii="Arial" w:cs="Arial" w:eastAsia="Arial" w:hAnsi="Arial"/>
                <w:sz w:val="18"/>
                <w:szCs w:val="18"/>
                <w:color w:val="auto"/>
              </w:rPr>
              <w:t>Wakefield, England</w:t>
            </w:r>
          </w:p>
        </w:tc>
        <w:tc>
          <w:tcPr>
            <w:tcW w:w="3220" w:type="dxa"/>
            <w:vAlign w:val="bottom"/>
          </w:tcPr>
          <w:p>
            <w:pPr>
              <w:ind w:left="820"/>
              <w:spacing w:after="0"/>
              <w:rPr>
                <w:sz w:val="20"/>
                <w:szCs w:val="20"/>
                <w:color w:val="auto"/>
              </w:rPr>
            </w:pPr>
            <w:r>
              <w:rPr>
                <w:rFonts w:ascii="Arial" w:cs="Arial" w:eastAsia="Arial" w:hAnsi="Arial"/>
                <w:sz w:val="18"/>
                <w:szCs w:val="18"/>
                <w:color w:val="auto"/>
              </w:rPr>
              <w:t>641,000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Stoke, England</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261,000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Walsall, England</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277,000 s.f.—leased</w:t>
            </w:r>
          </w:p>
        </w:tc>
      </w:tr>
      <w:tr>
        <w:trPr>
          <w:trHeight w:val="203"/>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80" w:type="dxa"/>
            <w:vAlign w:val="bottom"/>
          </w:tcPr>
          <w:p>
            <w:pPr>
              <w:ind w:left="1180"/>
              <w:spacing w:after="0" w:line="202" w:lineRule="exact"/>
              <w:rPr>
                <w:sz w:val="20"/>
                <w:szCs w:val="20"/>
                <w:color w:val="auto"/>
              </w:rPr>
            </w:pPr>
            <w:r>
              <w:rPr>
                <w:rFonts w:ascii="Arial" w:cs="Arial" w:eastAsia="Arial" w:hAnsi="Arial"/>
                <w:sz w:val="18"/>
                <w:szCs w:val="18"/>
                <w:color w:val="auto"/>
              </w:rPr>
              <w:t>Bergheim, Germany</w:t>
            </w:r>
          </w:p>
        </w:tc>
        <w:tc>
          <w:tcPr>
            <w:tcW w:w="3220" w:type="dxa"/>
            <w:vAlign w:val="bottom"/>
          </w:tcPr>
          <w:p>
            <w:pPr>
              <w:ind w:left="820"/>
              <w:spacing w:after="0" w:line="202" w:lineRule="exact"/>
              <w:rPr>
                <w:sz w:val="20"/>
                <w:szCs w:val="20"/>
                <w:color w:val="auto"/>
              </w:rPr>
            </w:pPr>
            <w:r>
              <w:rPr>
                <w:rFonts w:ascii="Arial" w:cs="Arial" w:eastAsia="Arial" w:hAnsi="Arial"/>
                <w:sz w:val="18"/>
                <w:szCs w:val="18"/>
                <w:color w:val="auto"/>
              </w:rPr>
              <w:t>322,000 s.f.—leased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80"/>
              <w:spacing w:after="0"/>
              <w:rPr>
                <w:sz w:val="20"/>
                <w:szCs w:val="20"/>
                <w:color w:val="auto"/>
              </w:rPr>
            </w:pPr>
            <w:r>
              <w:rPr>
                <w:rFonts w:ascii="Arial" w:cs="Arial" w:eastAsia="Arial" w:hAnsi="Arial"/>
                <w:sz w:val="18"/>
                <w:szCs w:val="18"/>
                <w:color w:val="auto"/>
              </w:rPr>
              <w:t>Wroclaw, Poland</w:t>
            </w:r>
          </w:p>
        </w:tc>
        <w:tc>
          <w:tcPr>
            <w:tcW w:w="3220" w:type="dxa"/>
            <w:vAlign w:val="bottom"/>
          </w:tcPr>
          <w:p>
            <w:pPr>
              <w:ind w:left="820"/>
              <w:spacing w:after="0"/>
              <w:rPr>
                <w:sz w:val="20"/>
                <w:szCs w:val="20"/>
                <w:color w:val="auto"/>
              </w:rPr>
            </w:pPr>
            <w:r>
              <w:rPr>
                <w:rFonts w:ascii="Arial" w:cs="Arial" w:eastAsia="Arial" w:hAnsi="Arial"/>
                <w:sz w:val="18"/>
                <w:szCs w:val="18"/>
                <w:color w:val="auto"/>
              </w:rPr>
              <w:t>303,000 s.f.—leased</w:t>
            </w:r>
          </w:p>
        </w:tc>
      </w:tr>
      <w:tr>
        <w:trPr>
          <w:trHeight w:val="245"/>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Office Space</w:t>
            </w:r>
          </w:p>
        </w:tc>
        <w:tc>
          <w:tcPr>
            <w:tcW w:w="2800" w:type="dxa"/>
            <w:vAlign w:val="bottom"/>
            <w:gridSpan w:val="2"/>
          </w:tcPr>
          <w:p>
            <w:pPr>
              <w:spacing w:after="0"/>
              <w:rPr>
                <w:sz w:val="21"/>
                <w:szCs w:val="21"/>
                <w:color w:val="auto"/>
              </w:rPr>
            </w:pPr>
          </w:p>
        </w:tc>
        <w:tc>
          <w:tcPr>
            <w:tcW w:w="438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415"/>
        </w:trPr>
        <w:tc>
          <w:tcPr>
            <w:tcW w:w="3820" w:type="dxa"/>
            <w:vAlign w:val="bottom"/>
            <w:gridSpan w:val="3"/>
          </w:tcPr>
          <w:p>
            <w:pPr>
              <w:spacing w:after="0"/>
              <w:rPr>
                <w:sz w:val="20"/>
                <w:szCs w:val="20"/>
                <w:color w:val="auto"/>
              </w:rPr>
            </w:pPr>
            <w:r>
              <w:rPr>
                <w:rFonts w:ascii="Arial" w:cs="Arial" w:eastAsia="Arial" w:hAnsi="Arial"/>
                <w:sz w:val="18"/>
                <w:szCs w:val="18"/>
                <w:color w:val="auto"/>
              </w:rPr>
              <w:t>Corporate, Marmaxx, HomeGoods</w:t>
            </w:r>
          </w:p>
        </w:tc>
        <w:tc>
          <w:tcPr>
            <w:tcW w:w="4380" w:type="dxa"/>
            <w:vAlign w:val="bottom"/>
          </w:tcPr>
          <w:p>
            <w:pPr>
              <w:ind w:left="1140"/>
              <w:spacing w:after="0"/>
              <w:rPr>
                <w:sz w:val="20"/>
                <w:szCs w:val="20"/>
                <w:color w:val="auto"/>
              </w:rPr>
            </w:pPr>
            <w:r>
              <w:rPr>
                <w:rFonts w:ascii="Arial" w:cs="Arial" w:eastAsia="Arial" w:hAnsi="Arial"/>
                <w:sz w:val="18"/>
                <w:szCs w:val="18"/>
                <w:color w:val="auto"/>
              </w:rPr>
              <w:t>Framingham and Marlborough,</w:t>
            </w:r>
          </w:p>
        </w:tc>
        <w:tc>
          <w:tcPr>
            <w:tcW w:w="3220" w:type="dxa"/>
            <w:vAlign w:val="bottom"/>
          </w:tcPr>
          <w:p>
            <w:pPr>
              <w:ind w:left="700"/>
              <w:spacing w:after="0"/>
              <w:rPr>
                <w:sz w:val="20"/>
                <w:szCs w:val="20"/>
                <w:color w:val="auto"/>
              </w:rPr>
            </w:pPr>
            <w:r>
              <w:rPr>
                <w:rFonts w:ascii="Arial" w:cs="Arial" w:eastAsia="Arial" w:hAnsi="Arial"/>
                <w:sz w:val="18"/>
                <w:szCs w:val="18"/>
                <w:color w:val="auto"/>
              </w:rPr>
              <w:t>1,958,000 s.f.—owned and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40"/>
              <w:spacing w:after="0"/>
              <w:rPr>
                <w:sz w:val="20"/>
                <w:szCs w:val="20"/>
                <w:color w:val="auto"/>
              </w:rPr>
            </w:pPr>
            <w:r>
              <w:rPr>
                <w:rFonts w:ascii="Arial" w:cs="Arial" w:eastAsia="Arial" w:hAnsi="Arial"/>
                <w:sz w:val="18"/>
                <w:szCs w:val="18"/>
                <w:color w:val="auto"/>
              </w:rPr>
              <w:t>Massachusetts</w:t>
            </w:r>
          </w:p>
        </w:tc>
        <w:tc>
          <w:tcPr>
            <w:tcW w:w="3220" w:type="dxa"/>
            <w:vAlign w:val="bottom"/>
          </w:tcPr>
          <w:p>
            <w:pPr>
              <w:ind w:left="700"/>
              <w:spacing w:after="0"/>
              <w:rPr>
                <w:sz w:val="20"/>
                <w:szCs w:val="20"/>
                <w:color w:val="auto"/>
              </w:rPr>
            </w:pPr>
            <w:r>
              <w:rPr>
                <w:rFonts w:ascii="Arial" w:cs="Arial" w:eastAsia="Arial" w:hAnsi="Arial"/>
                <w:sz w:val="18"/>
                <w:szCs w:val="18"/>
                <w:color w:val="auto"/>
              </w:rPr>
              <w:t>leased in several buildings</w:t>
            </w:r>
          </w:p>
        </w:tc>
      </w:tr>
      <w:tr>
        <w:trPr>
          <w:trHeight w:val="311"/>
        </w:trPr>
        <w:tc>
          <w:tcPr>
            <w:tcW w:w="3820" w:type="dxa"/>
            <w:vAlign w:val="bottom"/>
            <w:gridSpan w:val="3"/>
          </w:tcPr>
          <w:p>
            <w:pPr>
              <w:spacing w:after="0"/>
              <w:rPr>
                <w:sz w:val="20"/>
                <w:szCs w:val="20"/>
                <w:color w:val="auto"/>
              </w:rPr>
            </w:pPr>
            <w:r>
              <w:rPr>
                <w:rFonts w:ascii="Arial" w:cs="Arial" w:eastAsia="Arial" w:hAnsi="Arial"/>
                <w:sz w:val="18"/>
                <w:szCs w:val="18"/>
                <w:color w:val="auto"/>
              </w:rPr>
              <w:t>TJX Canada</w:t>
            </w:r>
          </w:p>
        </w:tc>
        <w:tc>
          <w:tcPr>
            <w:tcW w:w="4380" w:type="dxa"/>
            <w:vAlign w:val="bottom"/>
          </w:tcPr>
          <w:p>
            <w:pPr>
              <w:ind w:left="1140"/>
              <w:spacing w:after="0"/>
              <w:rPr>
                <w:sz w:val="20"/>
                <w:szCs w:val="20"/>
                <w:color w:val="auto"/>
              </w:rPr>
            </w:pPr>
            <w:r>
              <w:rPr>
                <w:rFonts w:ascii="Arial" w:cs="Arial" w:eastAsia="Arial" w:hAnsi="Arial"/>
                <w:sz w:val="18"/>
                <w:szCs w:val="18"/>
                <w:color w:val="auto"/>
              </w:rPr>
              <w:t>Mississauga, Ontario</w:t>
            </w:r>
          </w:p>
        </w:tc>
        <w:tc>
          <w:tcPr>
            <w:tcW w:w="3220" w:type="dxa"/>
            <w:vAlign w:val="bottom"/>
          </w:tcPr>
          <w:p>
            <w:pPr>
              <w:ind w:left="700"/>
              <w:spacing w:after="0"/>
              <w:rPr>
                <w:sz w:val="20"/>
                <w:szCs w:val="20"/>
                <w:color w:val="auto"/>
              </w:rPr>
            </w:pPr>
            <w:r>
              <w:rPr>
                <w:rFonts w:ascii="Arial" w:cs="Arial" w:eastAsia="Arial" w:hAnsi="Arial"/>
                <w:sz w:val="18"/>
                <w:szCs w:val="18"/>
                <w:color w:val="auto"/>
              </w:rPr>
              <w:t>434,000 s.f.—leased</w:t>
            </w:r>
          </w:p>
        </w:tc>
      </w:tr>
      <w:tr>
        <w:trPr>
          <w:trHeight w:val="302"/>
        </w:trPr>
        <w:tc>
          <w:tcPr>
            <w:tcW w:w="3820" w:type="dxa"/>
            <w:vAlign w:val="bottom"/>
            <w:gridSpan w:val="3"/>
          </w:tcPr>
          <w:p>
            <w:pPr>
              <w:spacing w:after="0"/>
              <w:rPr>
                <w:sz w:val="20"/>
                <w:szCs w:val="20"/>
                <w:color w:val="auto"/>
              </w:rPr>
            </w:pPr>
            <w:r>
              <w:rPr>
                <w:rFonts w:ascii="Arial" w:cs="Arial" w:eastAsia="Arial" w:hAnsi="Arial"/>
                <w:sz w:val="18"/>
                <w:szCs w:val="18"/>
                <w:color w:val="auto"/>
              </w:rPr>
              <w:t>TJX International</w:t>
            </w:r>
          </w:p>
        </w:tc>
        <w:tc>
          <w:tcPr>
            <w:tcW w:w="4380" w:type="dxa"/>
            <w:vAlign w:val="bottom"/>
          </w:tcPr>
          <w:p>
            <w:pPr>
              <w:ind w:left="1140"/>
              <w:spacing w:after="0"/>
              <w:rPr>
                <w:sz w:val="20"/>
                <w:szCs w:val="20"/>
                <w:color w:val="auto"/>
              </w:rPr>
            </w:pPr>
            <w:r>
              <w:rPr>
                <w:rFonts w:ascii="Arial" w:cs="Arial" w:eastAsia="Arial" w:hAnsi="Arial"/>
                <w:sz w:val="18"/>
                <w:szCs w:val="18"/>
                <w:color w:val="auto"/>
              </w:rPr>
              <w:t>Watford, England</w:t>
            </w:r>
          </w:p>
        </w:tc>
        <w:tc>
          <w:tcPr>
            <w:tcW w:w="3220" w:type="dxa"/>
            <w:vAlign w:val="bottom"/>
          </w:tcPr>
          <w:p>
            <w:pPr>
              <w:ind w:left="700"/>
              <w:spacing w:after="0"/>
              <w:rPr>
                <w:sz w:val="20"/>
                <w:szCs w:val="20"/>
                <w:color w:val="auto"/>
              </w:rPr>
            </w:pPr>
            <w:r>
              <w:rPr>
                <w:rFonts w:ascii="Arial" w:cs="Arial" w:eastAsia="Arial" w:hAnsi="Arial"/>
                <w:sz w:val="18"/>
                <w:szCs w:val="18"/>
                <w:color w:val="auto"/>
                <w:w w:val="96"/>
              </w:rPr>
              <w:t>286,000 s.f.—owned and leased</w:t>
            </w:r>
          </w:p>
        </w:tc>
      </w:tr>
      <w:tr>
        <w:trPr>
          <w:trHeight w:val="211"/>
        </w:trPr>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380" w:type="dxa"/>
            <w:vAlign w:val="bottom"/>
          </w:tcPr>
          <w:p>
            <w:pPr>
              <w:ind w:left="1140"/>
              <w:spacing w:after="0"/>
              <w:rPr>
                <w:sz w:val="20"/>
                <w:szCs w:val="20"/>
                <w:color w:val="auto"/>
              </w:rPr>
            </w:pPr>
            <w:r>
              <w:rPr>
                <w:rFonts w:ascii="Arial" w:cs="Arial" w:eastAsia="Arial" w:hAnsi="Arial"/>
                <w:sz w:val="18"/>
                <w:szCs w:val="18"/>
                <w:color w:val="auto"/>
              </w:rPr>
              <w:t>Dusseldorf, Germany</w:t>
            </w:r>
          </w:p>
        </w:tc>
        <w:tc>
          <w:tcPr>
            <w:tcW w:w="3220" w:type="dxa"/>
            <w:vAlign w:val="bottom"/>
          </w:tcPr>
          <w:p>
            <w:pPr>
              <w:ind w:left="700"/>
              <w:spacing w:after="0"/>
              <w:rPr>
                <w:sz w:val="20"/>
                <w:szCs w:val="20"/>
                <w:color w:val="auto"/>
              </w:rPr>
            </w:pPr>
            <w:r>
              <w:rPr>
                <w:rFonts w:ascii="Arial" w:cs="Arial" w:eastAsia="Arial" w:hAnsi="Arial"/>
                <w:sz w:val="18"/>
                <w:szCs w:val="18"/>
                <w:color w:val="auto"/>
              </w:rPr>
              <w:t>45,000 s. f.—leased</w:t>
            </w:r>
          </w:p>
        </w:tc>
      </w:tr>
    </w:tbl>
    <w:p>
      <w:pPr>
        <w:spacing w:after="0" w:line="15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Sierra Trading Post owns a 900,000 square foot facility in Cheyenne, Wyoming which houses administrative offices and fulfillment center operations. T.K. Maxx in Australia, part of TJX International, leases office space and maintains third-party arrangements for a distribution center in Australia totaling approximately 173,000 square feet. In addition to the office space listed above, we also occupy smaller buying office locations in various countries.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TJX is subject to certain legal proceedings, lawsuits, disputes and claims that arise from time to time in the ordinary course of our business. In addition, TJX is a defendant in several lawsuits filed in federal and state courts brought as putative class or collective actions on behalf of various groups of current and former salaried and hourly Associates in the U.S. The lawsuits allege violations of the Fair Labor Standards Act and of state wage and hour and other labor statutes. We are also defending putative class action claims on behalf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91" w:right="239" w:bottom="1440" w:gutter="0" w:footer="0" w:header="0"/>
        </w:sectPr>
      </w:pPr>
    </w:p>
    <w:bookmarkStart w:id="23" w:name="page24"/>
    <w:bookmarkEnd w:id="23"/>
    <w:p>
      <w:pPr>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 relating to TJX’s compare at pricing. The lawsuits are in various procedural stages and seek monetary damages, injunctive relief and attorneys’ fees. In connection with ongoing litigation, an immaterial amount has been accrued in the accompanying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291" w:right="519" w:bottom="1440" w:gutter="0" w:footer="0" w:header="0"/>
        </w:sectPr>
      </w:pPr>
    </w:p>
    <w:bookmarkStart w:id="24" w:name="page25"/>
    <w:bookmarkEnd w:id="2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69" w:lineRule="exact"/>
        <w:rPr>
          <w:sz w:val="20"/>
          <w:szCs w:val="20"/>
          <w:color w:val="auto"/>
        </w:rPr>
      </w:pPr>
    </w:p>
    <w:p>
      <w:pPr>
        <w:ind w:right="840"/>
        <w:spacing w:after="0" w:line="341" w:lineRule="auto"/>
        <w:rPr>
          <w:sz w:val="20"/>
          <w:szCs w:val="20"/>
          <w:color w:val="auto"/>
        </w:rPr>
      </w:pPr>
      <w:r>
        <w:rPr>
          <w:rFonts w:ascii="Arial" w:cs="Arial" w:eastAsia="Arial" w:hAnsi="Arial"/>
          <w:sz w:val="18"/>
          <w:szCs w:val="18"/>
          <w:b w:val="1"/>
          <w:bCs w:val="1"/>
          <w:color w:val="auto"/>
        </w:rPr>
        <w:t>ITEM 5. Market for the Registrant’s Common Equity, Related Security Holder Matters and Issuer Purchases of Equity Securities Price Range of Common Stock</w:t>
      </w:r>
    </w:p>
    <w:p>
      <w:pPr>
        <w:spacing w:after="0" w:line="1"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Our common stock is listed on the New York Stock Exchange (Symbol: TJX). The quarterly high and low sale prices for our common stock for fiscal 2018 and fiscal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00" w:type="dxa"/>
            <w:vAlign w:val="bottom"/>
            <w:vMerge w:val="restart"/>
          </w:tcPr>
          <w:p>
            <w:pPr>
              <w:spacing w:after="0"/>
              <w:rPr>
                <w:sz w:val="20"/>
                <w:szCs w:val="20"/>
                <w:color w:val="auto"/>
              </w:rPr>
            </w:pPr>
            <w:r>
              <w:rPr>
                <w:rFonts w:ascii="Arial" w:cs="Arial" w:eastAsia="Arial" w:hAnsi="Arial"/>
                <w:sz w:val="14"/>
                <w:szCs w:val="14"/>
                <w:color w:val="auto"/>
              </w:rPr>
              <w:t>Quarter</w:t>
            </w:r>
          </w:p>
        </w:tc>
        <w:tc>
          <w:tcPr>
            <w:tcW w:w="200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Fiscal 2018</w:t>
            </w:r>
          </w:p>
        </w:tc>
        <w:tc>
          <w:tcPr>
            <w:tcW w:w="172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4"/>
                <w:szCs w:val="14"/>
                <w:color w:val="auto"/>
              </w:rPr>
              <w:t>Fiscal 2017</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High</w:t>
            </w:r>
          </w:p>
        </w:tc>
        <w:tc>
          <w:tcPr>
            <w:tcW w:w="9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Low</w:t>
            </w:r>
          </w:p>
        </w:tc>
        <w:tc>
          <w:tcPr>
            <w:tcW w:w="9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High</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w:t>
            </w:r>
          </w:p>
        </w:tc>
        <w:tc>
          <w:tcPr>
            <w:tcW w:w="106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b w:val="1"/>
                <w:bCs w:val="1"/>
                <w:color w:val="auto"/>
              </w:rPr>
              <w:t>$79.97</w:t>
            </w:r>
          </w:p>
        </w:tc>
        <w:tc>
          <w:tcPr>
            <w:tcW w:w="94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b w:val="1"/>
                <w:bCs w:val="1"/>
                <w:color w:val="auto"/>
              </w:rPr>
              <w:t>$73.25</w:t>
            </w:r>
          </w:p>
        </w:tc>
        <w:tc>
          <w:tcPr>
            <w:tcW w:w="92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$79.20</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Second</w:t>
            </w:r>
          </w:p>
        </w:tc>
        <w:tc>
          <w:tcPr>
            <w:tcW w:w="1060" w:type="dxa"/>
            <w:vAlign w:val="bottom"/>
          </w:tcPr>
          <w:p>
            <w:pPr>
              <w:jc w:val="right"/>
              <w:ind w:right="99"/>
              <w:spacing w:after="0" w:line="202" w:lineRule="exact"/>
              <w:rPr>
                <w:sz w:val="20"/>
                <w:szCs w:val="20"/>
                <w:color w:val="auto"/>
              </w:rPr>
            </w:pPr>
            <w:r>
              <w:rPr>
                <w:rFonts w:ascii="Arial" w:cs="Arial" w:eastAsia="Arial" w:hAnsi="Arial"/>
                <w:sz w:val="18"/>
                <w:szCs w:val="18"/>
                <w:b w:val="1"/>
                <w:bCs w:val="1"/>
                <w:color w:val="auto"/>
              </w:rPr>
              <w:t>$80.92</w:t>
            </w:r>
          </w:p>
        </w:tc>
        <w:tc>
          <w:tcPr>
            <w:tcW w:w="94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$66.66</w:t>
            </w:r>
          </w:p>
        </w:tc>
        <w:tc>
          <w:tcPr>
            <w:tcW w:w="920" w:type="dxa"/>
            <w:vAlign w:val="bottom"/>
          </w:tcPr>
          <w:p>
            <w:pPr>
              <w:jc w:val="right"/>
              <w:ind w:right="99"/>
              <w:spacing w:after="0" w:line="202" w:lineRule="exact"/>
              <w:rPr>
                <w:sz w:val="20"/>
                <w:szCs w:val="20"/>
                <w:color w:val="auto"/>
              </w:rPr>
            </w:pPr>
            <w:r>
              <w:rPr>
                <w:rFonts w:ascii="Arial" w:cs="Arial" w:eastAsia="Arial" w:hAnsi="Arial"/>
                <w:sz w:val="18"/>
                <w:szCs w:val="18"/>
                <w:color w:val="auto"/>
              </w:rPr>
              <w:t>$81.88</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w:t>
            </w:r>
          </w:p>
        </w:tc>
        <w:tc>
          <w:tcPr>
            <w:tcW w:w="106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b w:val="1"/>
                <w:bCs w:val="1"/>
                <w:color w:val="auto"/>
              </w:rPr>
              <w:t>$74.38</w:t>
            </w:r>
          </w:p>
        </w:tc>
        <w:tc>
          <w:tcPr>
            <w:tcW w:w="94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$68.89</w:t>
            </w:r>
          </w:p>
        </w:tc>
        <w:tc>
          <w:tcPr>
            <w:tcW w:w="92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$83.64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Fourth</w:t>
            </w:r>
          </w:p>
        </w:tc>
        <w:tc>
          <w:tcPr>
            <w:tcW w:w="1060" w:type="dxa"/>
            <w:vAlign w:val="bottom"/>
            <w:tcBorders>
              <w:bottom w:val="single" w:sz="8" w:color="auto"/>
            </w:tcBorders>
          </w:tcPr>
          <w:p>
            <w:pPr>
              <w:jc w:val="right"/>
              <w:ind w:right="99"/>
              <w:spacing w:after="0" w:line="202" w:lineRule="exact"/>
              <w:rPr>
                <w:sz w:val="20"/>
                <w:szCs w:val="20"/>
                <w:color w:val="auto"/>
              </w:rPr>
            </w:pPr>
            <w:r>
              <w:rPr>
                <w:rFonts w:ascii="Arial" w:cs="Arial" w:eastAsia="Arial" w:hAnsi="Arial"/>
                <w:sz w:val="18"/>
                <w:szCs w:val="18"/>
                <w:b w:val="1"/>
                <w:bCs w:val="1"/>
                <w:color w:val="auto"/>
              </w:rPr>
              <w:t>$81.46</w:t>
            </w:r>
          </w:p>
        </w:tc>
        <w:tc>
          <w:tcPr>
            <w:tcW w:w="94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b w:val="1"/>
                <w:bCs w:val="1"/>
                <w:color w:val="auto"/>
              </w:rPr>
              <w:t>$66.44</w:t>
            </w:r>
          </w:p>
        </w:tc>
        <w:tc>
          <w:tcPr>
            <w:tcW w:w="920" w:type="dxa"/>
            <w:vAlign w:val="bottom"/>
            <w:tcBorders>
              <w:bottom w:val="single" w:sz="8" w:color="auto"/>
            </w:tcBorders>
          </w:tcPr>
          <w:p>
            <w:pPr>
              <w:jc w:val="right"/>
              <w:ind w:right="99"/>
              <w:spacing w:after="0" w:line="202" w:lineRule="exact"/>
              <w:rPr>
                <w:sz w:val="20"/>
                <w:szCs w:val="20"/>
                <w:color w:val="auto"/>
              </w:rPr>
            </w:pPr>
            <w:r>
              <w:rPr>
                <w:rFonts w:ascii="Arial" w:cs="Arial" w:eastAsia="Arial" w:hAnsi="Arial"/>
                <w:sz w:val="18"/>
                <w:szCs w:val="18"/>
                <w:color w:val="auto"/>
              </w:rPr>
              <w:t>$79.79</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approximate number of common shareholders of record at February 3, 2018 was 2,260.</w:t>
      </w:r>
    </w:p>
    <w:p>
      <w:pPr>
        <w:spacing w:after="0" w:line="77" w:lineRule="exact"/>
        <w:rPr>
          <w:sz w:val="20"/>
          <w:szCs w:val="20"/>
          <w:color w:val="auto"/>
        </w:rPr>
      </w:pPr>
    </w:p>
    <w:p>
      <w:pPr>
        <w:ind w:right="300" w:firstLine="342"/>
        <w:spacing w:after="0" w:line="237" w:lineRule="auto"/>
        <w:rPr>
          <w:sz w:val="20"/>
          <w:szCs w:val="20"/>
          <w:color w:val="auto"/>
        </w:rPr>
      </w:pPr>
      <w:r>
        <w:rPr>
          <w:rFonts w:ascii="Arial" w:cs="Arial" w:eastAsia="Arial" w:hAnsi="Arial"/>
          <w:sz w:val="18"/>
          <w:szCs w:val="18"/>
          <w:color w:val="auto"/>
        </w:rPr>
        <w:t>Our Board of Directors declared four quarterly dividends of $0.3125 per share for fiscal 2018 and $0.26 per share for fiscal 2017. While our dividend policy is subject to periodic review by our Board of Directors, we are currently planning to pay a $0.39 per share quarterly dividend in fiscal 2019, subject to declaration and approval by our Board of Directors, and currently intend to continue to pay comparable dividends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Share Repurchases</w:t>
      </w:r>
    </w:p>
    <w:p>
      <w:pPr>
        <w:spacing w:after="0" w:line="9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The number of shares of common stock repurchased by TJX during the fourth quarter of fiscal 2018 and the average price paid per share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vMerge w:val="restart"/>
          </w:tcPr>
          <w:p>
            <w:pPr>
              <w:jc w:val="right"/>
              <w:ind w:right="323"/>
              <w:spacing w:after="0"/>
              <w:rPr>
                <w:sz w:val="20"/>
                <w:szCs w:val="20"/>
                <w:color w:val="auto"/>
              </w:rPr>
            </w:pPr>
            <w:r>
              <w:rPr>
                <w:rFonts w:ascii="Arial" w:cs="Arial" w:eastAsia="Arial" w:hAnsi="Arial"/>
                <w:sz w:val="14"/>
                <w:szCs w:val="14"/>
                <w:color w:val="auto"/>
              </w:rPr>
              <w:t>Total Number of Shares</w:t>
            </w:r>
          </w:p>
        </w:tc>
        <w:tc>
          <w:tcPr>
            <w:tcW w:w="5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Approximate Dollar</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jc w:val="right"/>
              <w:spacing w:after="0" w:line="135" w:lineRule="exact"/>
              <w:rPr>
                <w:sz w:val="20"/>
                <w:szCs w:val="20"/>
                <w:color w:val="auto"/>
              </w:rPr>
            </w:pPr>
            <w:r>
              <w:rPr>
                <w:rFonts w:ascii="Arial" w:cs="Arial" w:eastAsia="Arial" w:hAnsi="Arial"/>
                <w:sz w:val="14"/>
                <w:szCs w:val="14"/>
                <w:color w:val="auto"/>
                <w:w w:val="96"/>
              </w:rPr>
              <w:t>Value of Shares that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920" w:type="dxa"/>
            <w:vAlign w:val="bottom"/>
          </w:tcPr>
          <w:p>
            <w:pPr>
              <w:jc w:val="right"/>
              <w:ind w:right="282"/>
              <w:spacing w:after="0" w:line="149" w:lineRule="exact"/>
              <w:rPr>
                <w:sz w:val="20"/>
                <w:szCs w:val="20"/>
                <w:color w:val="auto"/>
              </w:rPr>
            </w:pPr>
            <w:r>
              <w:rPr>
                <w:rFonts w:ascii="Arial" w:cs="Arial" w:eastAsia="Arial" w:hAnsi="Arial"/>
                <w:sz w:val="14"/>
                <w:szCs w:val="14"/>
                <w:color w:val="auto"/>
              </w:rPr>
              <w:t>Total</w:t>
            </w:r>
          </w:p>
        </w:tc>
        <w:tc>
          <w:tcPr>
            <w:tcW w:w="1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Average Price</w:t>
            </w:r>
          </w:p>
        </w:tc>
        <w:tc>
          <w:tcPr>
            <w:tcW w:w="2220" w:type="dxa"/>
            <w:vAlign w:val="bottom"/>
          </w:tcPr>
          <w:p>
            <w:pPr>
              <w:jc w:val="right"/>
              <w:ind w:right="323"/>
              <w:spacing w:after="0" w:line="149" w:lineRule="exact"/>
              <w:rPr>
                <w:sz w:val="20"/>
                <w:szCs w:val="20"/>
                <w:color w:val="auto"/>
              </w:rPr>
            </w:pPr>
            <w:r>
              <w:rPr>
                <w:rFonts w:ascii="Arial" w:cs="Arial" w:eastAsia="Arial" w:hAnsi="Arial"/>
                <w:sz w:val="14"/>
                <w:szCs w:val="14"/>
                <w:color w:val="auto"/>
              </w:rPr>
              <w:t>Purchased as Part of</w:t>
            </w:r>
          </w:p>
        </w:tc>
        <w:tc>
          <w:tcPr>
            <w:tcW w:w="18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36"/>
        </w:trPr>
        <w:tc>
          <w:tcPr>
            <w:tcW w:w="3800" w:type="dxa"/>
            <w:vAlign w:val="bottom"/>
          </w:tcPr>
          <w:p>
            <w:pPr>
              <w:spacing w:after="0"/>
              <w:rPr>
                <w:sz w:val="11"/>
                <w:szCs w:val="11"/>
                <w:color w:val="auto"/>
              </w:rPr>
            </w:pPr>
          </w:p>
        </w:tc>
        <w:tc>
          <w:tcPr>
            <w:tcW w:w="1920" w:type="dxa"/>
            <w:vAlign w:val="bottom"/>
          </w:tcPr>
          <w:p>
            <w:pPr>
              <w:ind w:left="460"/>
              <w:spacing w:after="0" w:line="136" w:lineRule="exact"/>
              <w:rPr>
                <w:sz w:val="20"/>
                <w:szCs w:val="20"/>
                <w:color w:val="auto"/>
              </w:rPr>
            </w:pPr>
            <w:r>
              <w:rPr>
                <w:rFonts w:ascii="Arial" w:cs="Arial" w:eastAsia="Arial" w:hAnsi="Arial"/>
                <w:sz w:val="14"/>
                <w:szCs w:val="14"/>
                <w:color w:val="auto"/>
              </w:rPr>
              <w:t>Number of Shares</w:t>
            </w:r>
          </w:p>
        </w:tc>
        <w:tc>
          <w:tcPr>
            <w:tcW w:w="600" w:type="dxa"/>
            <w:vAlign w:val="bottom"/>
          </w:tcPr>
          <w:p>
            <w:pPr>
              <w:spacing w:after="0"/>
              <w:rPr>
                <w:sz w:val="11"/>
                <w:szCs w:val="11"/>
                <w:color w:val="auto"/>
              </w:rPr>
            </w:pPr>
          </w:p>
        </w:tc>
        <w:tc>
          <w:tcPr>
            <w:tcW w:w="1040" w:type="dxa"/>
            <w:vAlign w:val="bottom"/>
          </w:tcPr>
          <w:p>
            <w:pPr>
              <w:jc w:val="right"/>
              <w:ind w:right="341"/>
              <w:spacing w:after="0" w:line="136" w:lineRule="exact"/>
              <w:rPr>
                <w:sz w:val="20"/>
                <w:szCs w:val="20"/>
                <w:color w:val="auto"/>
              </w:rPr>
            </w:pPr>
            <w:r>
              <w:rPr>
                <w:rFonts w:ascii="Arial" w:cs="Arial" w:eastAsia="Arial" w:hAnsi="Arial"/>
                <w:sz w:val="14"/>
                <w:szCs w:val="14"/>
                <w:color w:val="auto"/>
              </w:rPr>
              <w:t>Paid Per</w:t>
            </w:r>
          </w:p>
        </w:tc>
        <w:tc>
          <w:tcPr>
            <w:tcW w:w="2220" w:type="dxa"/>
            <w:vAlign w:val="bottom"/>
          </w:tcPr>
          <w:p>
            <w:pPr>
              <w:jc w:val="right"/>
              <w:ind w:right="323"/>
              <w:spacing w:after="0" w:line="136" w:lineRule="exact"/>
              <w:rPr>
                <w:sz w:val="20"/>
                <w:szCs w:val="20"/>
                <w:color w:val="auto"/>
              </w:rPr>
            </w:pPr>
            <w:r>
              <w:rPr>
                <w:rFonts w:ascii="Arial" w:cs="Arial" w:eastAsia="Arial" w:hAnsi="Arial"/>
                <w:sz w:val="14"/>
                <w:szCs w:val="14"/>
                <w:color w:val="auto"/>
              </w:rPr>
              <w:t>Publicly Announced</w:t>
            </w:r>
          </w:p>
        </w:tc>
        <w:tc>
          <w:tcPr>
            <w:tcW w:w="540" w:type="dxa"/>
            <w:vAlign w:val="bottom"/>
          </w:tcPr>
          <w:p>
            <w:pPr>
              <w:spacing w:after="0"/>
              <w:rPr>
                <w:sz w:val="11"/>
                <w:szCs w:val="11"/>
                <w:color w:val="auto"/>
              </w:rPr>
            </w:pPr>
          </w:p>
        </w:tc>
        <w:tc>
          <w:tcPr>
            <w:tcW w:w="1300" w:type="dxa"/>
            <w:vAlign w:val="bottom"/>
          </w:tcPr>
          <w:p>
            <w:pPr>
              <w:jc w:val="right"/>
              <w:spacing w:after="0" w:line="136" w:lineRule="exact"/>
              <w:rPr>
                <w:sz w:val="20"/>
                <w:szCs w:val="20"/>
                <w:color w:val="auto"/>
              </w:rPr>
            </w:pPr>
            <w:r>
              <w:rPr>
                <w:rFonts w:ascii="Arial" w:cs="Arial" w:eastAsia="Arial" w:hAnsi="Arial"/>
                <w:sz w:val="14"/>
                <w:szCs w:val="14"/>
                <w:color w:val="auto"/>
              </w:rPr>
              <w:t>Under the Plans or</w:t>
            </w:r>
          </w:p>
        </w:tc>
        <w:tc>
          <w:tcPr>
            <w:tcW w:w="0" w:type="dxa"/>
            <w:vAlign w:val="bottom"/>
          </w:tcPr>
          <w:p>
            <w:pPr>
              <w:spacing w:after="0"/>
              <w:rPr>
                <w:sz w:val="1"/>
                <w:szCs w:val="1"/>
                <w:color w:val="auto"/>
              </w:rPr>
            </w:pPr>
          </w:p>
        </w:tc>
      </w:tr>
      <w:tr>
        <w:trPr>
          <w:trHeight w:val="176"/>
        </w:trPr>
        <w:tc>
          <w:tcPr>
            <w:tcW w:w="38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82"/>
              <w:spacing w:after="0" w:line="176" w:lineRule="exact"/>
              <w:rPr>
                <w:sz w:val="20"/>
                <w:szCs w:val="20"/>
                <w:color w:val="auto"/>
              </w:rPr>
            </w:pPr>
            <w:r>
              <w:rPr>
                <w:rFonts w:ascii="Arial" w:cs="Arial" w:eastAsia="Arial" w:hAnsi="Arial"/>
                <w:sz w:val="13"/>
                <w:szCs w:val="13"/>
                <w:color w:val="auto"/>
              </w:rPr>
              <w:t>Repurchased</w:t>
            </w:r>
            <w:r>
              <w:rPr>
                <w:rFonts w:ascii="Arial" w:cs="Arial" w:eastAsia="Arial" w:hAnsi="Arial"/>
                <w:sz w:val="20"/>
                <w:szCs w:val="20"/>
                <w:color w:val="auto"/>
                <w:vertAlign w:val="superscript"/>
              </w:rPr>
              <w:t>(1)</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1"/>
              <w:spacing w:after="0" w:line="176" w:lineRule="exact"/>
              <w:rPr>
                <w:sz w:val="20"/>
                <w:szCs w:val="20"/>
                <w:color w:val="auto"/>
              </w:rPr>
            </w:pPr>
            <w:r>
              <w:rPr>
                <w:rFonts w:ascii="Arial" w:cs="Arial" w:eastAsia="Arial" w:hAnsi="Arial"/>
                <w:sz w:val="13"/>
                <w:szCs w:val="13"/>
                <w:color w:val="auto"/>
              </w:rPr>
              <w:t>Share</w:t>
            </w:r>
            <w:r>
              <w:rPr>
                <w:rFonts w:ascii="Arial" w:cs="Arial" w:eastAsia="Arial" w:hAnsi="Arial"/>
                <w:sz w:val="20"/>
                <w:szCs w:val="20"/>
                <w:color w:val="auto"/>
                <w:vertAlign w:val="superscript"/>
              </w:rPr>
              <w:t>(2)</w:t>
            </w:r>
          </w:p>
        </w:tc>
        <w:tc>
          <w:tcPr>
            <w:tcW w:w="2220" w:type="dxa"/>
            <w:vAlign w:val="bottom"/>
            <w:tcBorders>
              <w:bottom w:val="single" w:sz="8" w:color="auto"/>
            </w:tcBorders>
          </w:tcPr>
          <w:p>
            <w:pPr>
              <w:jc w:val="right"/>
              <w:ind w:right="323"/>
              <w:spacing w:after="0" w:line="176" w:lineRule="exact"/>
              <w:rPr>
                <w:sz w:val="20"/>
                <w:szCs w:val="20"/>
                <w:color w:val="auto"/>
              </w:rPr>
            </w:pPr>
            <w:r>
              <w:rPr>
                <w:rFonts w:ascii="Arial" w:cs="Arial" w:eastAsia="Arial" w:hAnsi="Arial"/>
                <w:sz w:val="13"/>
                <w:szCs w:val="13"/>
                <w:color w:val="auto"/>
              </w:rPr>
              <w:t>Plans or Programs</w:t>
            </w:r>
            <w:r>
              <w:rPr>
                <w:rFonts w:ascii="Arial" w:cs="Arial" w:eastAsia="Arial" w:hAnsi="Arial"/>
                <w:sz w:val="20"/>
                <w:szCs w:val="20"/>
                <w:color w:val="auto"/>
                <w:vertAlign w:val="superscript"/>
              </w:rPr>
              <w:t>(3)</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color w:val="auto"/>
              </w:rPr>
              <w:t>Programs</w:t>
            </w:r>
            <w:r>
              <w:rPr>
                <w:rFonts w:ascii="Arial" w:cs="Arial" w:eastAsia="Arial" w:hAnsi="Arial"/>
                <w:sz w:val="20"/>
                <w:szCs w:val="20"/>
                <w:color w:val="auto"/>
                <w:vertAlign w:val="superscript"/>
              </w:rPr>
              <w:t>(4)</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October 29, 2017 through November 25,</w:t>
            </w:r>
          </w:p>
        </w:tc>
        <w:tc>
          <w:tcPr>
            <w:tcW w:w="1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2017</w:t>
            </w:r>
          </w:p>
        </w:tc>
        <w:tc>
          <w:tcPr>
            <w:tcW w:w="192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1,412,273</w:t>
            </w:r>
          </w:p>
        </w:tc>
        <w:tc>
          <w:tcPr>
            <w:tcW w:w="60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1"/>
              <w:spacing w:after="0" w:line="200" w:lineRule="exact"/>
              <w:rPr>
                <w:sz w:val="20"/>
                <w:szCs w:val="20"/>
                <w:color w:val="auto"/>
              </w:rPr>
            </w:pPr>
            <w:r>
              <w:rPr>
                <w:rFonts w:ascii="Arial" w:cs="Arial" w:eastAsia="Arial" w:hAnsi="Arial"/>
                <w:sz w:val="18"/>
                <w:szCs w:val="18"/>
                <w:color w:val="auto"/>
              </w:rPr>
              <w:t>69.39</w:t>
            </w:r>
          </w:p>
        </w:tc>
        <w:tc>
          <w:tcPr>
            <w:tcW w:w="2220" w:type="dxa"/>
            <w:vAlign w:val="bottom"/>
            <w:shd w:val="clear" w:color="auto" w:fill="CCEEFF"/>
          </w:tcPr>
          <w:p>
            <w:pPr>
              <w:jc w:val="right"/>
              <w:ind w:right="323"/>
              <w:spacing w:after="0" w:line="200" w:lineRule="exact"/>
              <w:rPr>
                <w:sz w:val="20"/>
                <w:szCs w:val="20"/>
                <w:color w:val="auto"/>
              </w:rPr>
            </w:pPr>
            <w:r>
              <w:rPr>
                <w:rFonts w:ascii="Arial" w:cs="Arial" w:eastAsia="Arial" w:hAnsi="Arial"/>
                <w:sz w:val="18"/>
                <w:szCs w:val="18"/>
                <w:color w:val="auto"/>
              </w:rPr>
              <w:t>1,412,273</w:t>
            </w:r>
          </w:p>
        </w:tc>
        <w:tc>
          <w:tcPr>
            <w:tcW w:w="54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1,442,780,056</w:t>
            </w:r>
          </w:p>
        </w:tc>
        <w:tc>
          <w:tcPr>
            <w:tcW w:w="0" w:type="dxa"/>
            <w:vAlign w:val="bottom"/>
          </w:tcPr>
          <w:p>
            <w:pPr>
              <w:spacing w:after="0"/>
              <w:rPr>
                <w:sz w:val="1"/>
                <w:szCs w:val="1"/>
                <w:color w:val="auto"/>
              </w:rPr>
            </w:pPr>
          </w:p>
        </w:tc>
      </w:tr>
      <w:tr>
        <w:trPr>
          <w:trHeight w:val="206"/>
        </w:trPr>
        <w:tc>
          <w:tcPr>
            <w:tcW w:w="3800" w:type="dxa"/>
            <w:vAlign w:val="bottom"/>
          </w:tcPr>
          <w:p>
            <w:pPr>
              <w:spacing w:after="0" w:line="206" w:lineRule="exact"/>
              <w:rPr>
                <w:sz w:val="20"/>
                <w:szCs w:val="20"/>
                <w:color w:val="auto"/>
              </w:rPr>
            </w:pPr>
            <w:r>
              <w:rPr>
                <w:rFonts w:ascii="Arial" w:cs="Arial" w:eastAsia="Arial" w:hAnsi="Arial"/>
                <w:sz w:val="18"/>
                <w:szCs w:val="18"/>
                <w:color w:val="auto"/>
              </w:rPr>
              <w:t>November 26, 2017 through December 30,</w:t>
            </w: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Pr>
          <w:p>
            <w:pPr>
              <w:ind w:left="220"/>
              <w:spacing w:after="0" w:line="200" w:lineRule="exact"/>
              <w:rPr>
                <w:sz w:val="20"/>
                <w:szCs w:val="20"/>
                <w:color w:val="auto"/>
              </w:rPr>
            </w:pPr>
            <w:r>
              <w:rPr>
                <w:rFonts w:ascii="Arial" w:cs="Arial" w:eastAsia="Arial" w:hAnsi="Arial"/>
                <w:sz w:val="18"/>
                <w:szCs w:val="18"/>
                <w:color w:val="auto"/>
              </w:rPr>
              <w:t>2017</w:t>
            </w:r>
          </w:p>
        </w:tc>
        <w:tc>
          <w:tcPr>
            <w:tcW w:w="1920" w:type="dxa"/>
            <w:vAlign w:val="bottom"/>
          </w:tcPr>
          <w:p>
            <w:pPr>
              <w:ind w:left="440"/>
              <w:spacing w:after="0" w:line="200" w:lineRule="exact"/>
              <w:rPr>
                <w:sz w:val="20"/>
                <w:szCs w:val="20"/>
                <w:color w:val="auto"/>
              </w:rPr>
            </w:pPr>
            <w:r>
              <w:rPr>
                <w:rFonts w:ascii="Arial" w:cs="Arial" w:eastAsia="Arial" w:hAnsi="Arial"/>
                <w:sz w:val="18"/>
                <w:szCs w:val="18"/>
                <w:color w:val="auto"/>
              </w:rPr>
              <w:t>2,114,512</w:t>
            </w:r>
          </w:p>
        </w:tc>
        <w:tc>
          <w:tcPr>
            <w:tcW w:w="600" w:type="dxa"/>
            <w:vAlign w:val="bottom"/>
          </w:tcPr>
          <w:p>
            <w:pPr>
              <w:ind w:left="380"/>
              <w:spacing w:after="0" w:line="200"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41"/>
              <w:spacing w:after="0" w:line="200" w:lineRule="exact"/>
              <w:rPr>
                <w:sz w:val="20"/>
                <w:szCs w:val="20"/>
                <w:color w:val="auto"/>
              </w:rPr>
            </w:pPr>
            <w:r>
              <w:rPr>
                <w:rFonts w:ascii="Arial" w:cs="Arial" w:eastAsia="Arial" w:hAnsi="Arial"/>
                <w:sz w:val="18"/>
                <w:szCs w:val="18"/>
                <w:color w:val="auto"/>
              </w:rPr>
              <w:t>74.72</w:t>
            </w:r>
          </w:p>
        </w:tc>
        <w:tc>
          <w:tcPr>
            <w:tcW w:w="2220" w:type="dxa"/>
            <w:vAlign w:val="bottom"/>
          </w:tcPr>
          <w:p>
            <w:pPr>
              <w:jc w:val="right"/>
              <w:ind w:right="323"/>
              <w:spacing w:after="0" w:line="200" w:lineRule="exact"/>
              <w:rPr>
                <w:sz w:val="20"/>
                <w:szCs w:val="20"/>
                <w:color w:val="auto"/>
              </w:rPr>
            </w:pPr>
            <w:r>
              <w:rPr>
                <w:rFonts w:ascii="Arial" w:cs="Arial" w:eastAsia="Arial" w:hAnsi="Arial"/>
                <w:sz w:val="18"/>
                <w:szCs w:val="18"/>
                <w:color w:val="auto"/>
              </w:rPr>
              <w:t>2,114,512</w:t>
            </w:r>
          </w:p>
        </w:tc>
        <w:tc>
          <w:tcPr>
            <w:tcW w:w="540" w:type="dxa"/>
            <w:vAlign w:val="bottom"/>
          </w:tcPr>
          <w:p>
            <w:pPr>
              <w:ind w:left="400"/>
              <w:spacing w:after="0" w:line="200"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0" w:lineRule="exact"/>
              <w:rPr>
                <w:sz w:val="20"/>
                <w:szCs w:val="20"/>
                <w:color w:val="auto"/>
              </w:rPr>
            </w:pPr>
            <w:r>
              <w:rPr>
                <w:rFonts w:ascii="Arial" w:cs="Arial" w:eastAsia="Arial" w:hAnsi="Arial"/>
                <w:sz w:val="18"/>
                <w:szCs w:val="18"/>
                <w:color w:val="auto"/>
              </w:rPr>
              <w:t>1,284,779,833</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December 31, 2017 through February 3,</w:t>
            </w:r>
          </w:p>
        </w:tc>
        <w:tc>
          <w:tcPr>
            <w:tcW w:w="1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2018</w:t>
            </w:r>
          </w:p>
        </w:tc>
        <w:tc>
          <w:tcPr>
            <w:tcW w:w="1920" w:type="dxa"/>
            <w:vAlign w:val="bottom"/>
            <w:tcBorders>
              <w:bottom w:val="single" w:sz="8" w:color="auto"/>
            </w:tcBorders>
            <w:shd w:val="clear" w:color="auto" w:fill="CCEEFF"/>
          </w:tcPr>
          <w:p>
            <w:pPr>
              <w:ind w:left="440"/>
              <w:spacing w:after="0" w:line="200" w:lineRule="exact"/>
              <w:rPr>
                <w:sz w:val="20"/>
                <w:szCs w:val="20"/>
                <w:color w:val="auto"/>
              </w:rPr>
            </w:pPr>
            <w:r>
              <w:rPr>
                <w:rFonts w:ascii="Arial" w:cs="Arial" w:eastAsia="Arial" w:hAnsi="Arial"/>
                <w:sz w:val="18"/>
                <w:szCs w:val="18"/>
                <w:color w:val="auto"/>
              </w:rPr>
              <w:t>1,944,055</w:t>
            </w:r>
          </w:p>
        </w:tc>
        <w:tc>
          <w:tcPr>
            <w:tcW w:w="600" w:type="dxa"/>
            <w:vAlign w:val="bottom"/>
            <w:tcBorders>
              <w:bottom w:val="single" w:sz="8" w:color="auto"/>
            </w:tcBorders>
            <w:shd w:val="clear" w:color="auto" w:fill="CCEEFF"/>
          </w:tcPr>
          <w:p>
            <w:pPr>
              <w:ind w:left="380"/>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1"/>
              <w:spacing w:after="0" w:line="200" w:lineRule="exact"/>
              <w:rPr>
                <w:sz w:val="20"/>
                <w:szCs w:val="20"/>
                <w:color w:val="auto"/>
              </w:rPr>
            </w:pPr>
            <w:r>
              <w:rPr>
                <w:rFonts w:ascii="Arial" w:cs="Arial" w:eastAsia="Arial" w:hAnsi="Arial"/>
                <w:sz w:val="18"/>
                <w:szCs w:val="18"/>
                <w:color w:val="auto"/>
              </w:rPr>
              <w:t>77.90</w:t>
            </w:r>
          </w:p>
        </w:tc>
        <w:tc>
          <w:tcPr>
            <w:tcW w:w="2220" w:type="dxa"/>
            <w:vAlign w:val="bottom"/>
            <w:tcBorders>
              <w:bottom w:val="single" w:sz="8" w:color="auto"/>
            </w:tcBorders>
            <w:shd w:val="clear" w:color="auto" w:fill="CCEEFF"/>
          </w:tcPr>
          <w:p>
            <w:pPr>
              <w:jc w:val="right"/>
              <w:ind w:right="323"/>
              <w:spacing w:after="0" w:line="200" w:lineRule="exact"/>
              <w:rPr>
                <w:sz w:val="20"/>
                <w:szCs w:val="20"/>
                <w:color w:val="auto"/>
              </w:rPr>
            </w:pPr>
            <w:r>
              <w:rPr>
                <w:rFonts w:ascii="Arial" w:cs="Arial" w:eastAsia="Arial" w:hAnsi="Arial"/>
                <w:sz w:val="18"/>
                <w:szCs w:val="18"/>
                <w:color w:val="auto"/>
              </w:rPr>
              <w:t>1,912,816</w:t>
            </w:r>
          </w:p>
        </w:tc>
        <w:tc>
          <w:tcPr>
            <w:tcW w:w="540" w:type="dxa"/>
            <w:vAlign w:val="bottom"/>
            <w:tcBorders>
              <w:bottom w:val="single" w:sz="8" w:color="auto"/>
            </w:tcBorders>
            <w:shd w:val="clear" w:color="auto" w:fill="CCEEFF"/>
          </w:tcPr>
          <w:p>
            <w:pPr>
              <w:ind w:left="400"/>
              <w:spacing w:after="0" w:line="200"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4,135,779,792</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5,470,840</w:t>
            </w: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323"/>
              <w:spacing w:after="0" w:line="196" w:lineRule="exact"/>
              <w:rPr>
                <w:sz w:val="20"/>
                <w:szCs w:val="20"/>
                <w:color w:val="auto"/>
              </w:rPr>
            </w:pPr>
            <w:r>
              <w:rPr>
                <w:rFonts w:ascii="Arial" w:cs="Arial" w:eastAsia="Arial" w:hAnsi="Arial"/>
                <w:sz w:val="18"/>
                <w:szCs w:val="18"/>
                <w:color w:val="auto"/>
              </w:rPr>
              <w:t>5,439,601</w:t>
            </w: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20" w:right="140" w:hanging="212"/>
        <w:spacing w:after="0" w:line="231"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shares repurchased under publicly announced stock repurchase programs and 31,239 shares surrendered to satisfy tax withholding obligations in connection with the vesting of restricted stock awards.</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stock repurchase programs.</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shares repurchased under publicly announced stock repurchase programs.</w:t>
      </w:r>
    </w:p>
    <w:p>
      <w:pPr>
        <w:spacing w:after="0" w:line="41" w:lineRule="exact"/>
        <w:rPr>
          <w:rFonts w:ascii="Arial" w:cs="Arial" w:eastAsia="Arial" w:hAnsi="Arial"/>
          <w:sz w:val="14"/>
          <w:szCs w:val="14"/>
          <w:color w:val="auto"/>
        </w:rPr>
      </w:pPr>
    </w:p>
    <w:p>
      <w:pPr>
        <w:ind w:left="220" w:right="160" w:hanging="212"/>
        <w:spacing w:after="0" w:line="228"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February 2018, the Company announced that its Board of Directors had approved a new stock repurchase program that authorizes the repurchase of up to an additional $3.0 billion of TJX common stock from time to time. In February 2016 and 2017, TJX announced stock repurchase programs authorizing an additional $2.0 billion and $1.0 billion in repurchases, respectively, from time to time, under which $1.1 billion remained available as of February 3,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Arial" w:cs="Arial" w:eastAsia="Arial" w:hAnsi="Arial"/>
                <w:sz w:val="14"/>
                <w:szCs w:val="14"/>
                <w:color w:val="auto"/>
              </w:rPr>
              <w:t>Dollars in millions,</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Fiscal Year Ended</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660" w:type="dxa"/>
            <w:vAlign w:val="bottom"/>
            <w:gridSpan w:val="4"/>
            <w:vMerge w:val="continue"/>
          </w:tcPr>
          <w:p>
            <w:pPr>
              <w:spacing w:after="0"/>
              <w:rPr>
                <w:sz w:val="10"/>
                <w:szCs w:val="10"/>
                <w:color w:val="auto"/>
              </w:rPr>
            </w:pPr>
          </w:p>
        </w:tc>
        <w:tc>
          <w:tcPr>
            <w:tcW w:w="1520" w:type="dxa"/>
            <w:vAlign w:val="bottom"/>
            <w:gridSpan w:val="2"/>
          </w:tcPr>
          <w:p>
            <w:pPr>
              <w:ind w:left="420"/>
              <w:spacing w:after="0" w:line="115" w:lineRule="exact"/>
              <w:rPr>
                <w:sz w:val="20"/>
                <w:szCs w:val="20"/>
                <w:color w:val="auto"/>
              </w:rPr>
            </w:pPr>
            <w:r>
              <w:rPr>
                <w:rFonts w:ascii="Arial" w:cs="Arial" w:eastAsia="Arial" w:hAnsi="Arial"/>
                <w:sz w:val="12"/>
                <w:szCs w:val="12"/>
                <w:b w:val="1"/>
                <w:bCs w:val="1"/>
                <w:color w:val="auto"/>
              </w:rPr>
              <w:t>February 3,</w:t>
            </w:r>
          </w:p>
        </w:tc>
        <w:tc>
          <w:tcPr>
            <w:tcW w:w="1260" w:type="dxa"/>
            <w:vAlign w:val="bottom"/>
            <w:gridSpan w:val="2"/>
          </w:tcPr>
          <w:p>
            <w:pPr>
              <w:jc w:val="right"/>
              <w:ind w:right="194"/>
              <w:spacing w:after="0" w:line="115" w:lineRule="exact"/>
              <w:rPr>
                <w:sz w:val="20"/>
                <w:szCs w:val="20"/>
                <w:color w:val="auto"/>
              </w:rPr>
            </w:pPr>
            <w:r>
              <w:rPr>
                <w:rFonts w:ascii="Arial" w:cs="Arial" w:eastAsia="Arial" w:hAnsi="Arial"/>
                <w:sz w:val="12"/>
                <w:szCs w:val="12"/>
                <w:color w:val="auto"/>
              </w:rPr>
              <w:t>January 28,</w:t>
            </w:r>
          </w:p>
        </w:tc>
        <w:tc>
          <w:tcPr>
            <w:tcW w:w="1460" w:type="dxa"/>
            <w:vAlign w:val="bottom"/>
            <w:gridSpan w:val="2"/>
          </w:tcPr>
          <w:p>
            <w:pPr>
              <w:jc w:val="right"/>
              <w:ind w:right="313"/>
              <w:spacing w:after="0" w:line="115" w:lineRule="exact"/>
              <w:rPr>
                <w:sz w:val="20"/>
                <w:szCs w:val="20"/>
                <w:color w:val="auto"/>
              </w:rPr>
            </w:pPr>
            <w:r>
              <w:rPr>
                <w:rFonts w:ascii="Arial" w:cs="Arial" w:eastAsia="Arial" w:hAnsi="Arial"/>
                <w:sz w:val="12"/>
                <w:szCs w:val="12"/>
                <w:color w:val="auto"/>
              </w:rPr>
              <w:t>January 30,</w:t>
            </w:r>
          </w:p>
        </w:tc>
        <w:tc>
          <w:tcPr>
            <w:tcW w:w="1340" w:type="dxa"/>
            <w:vAlign w:val="bottom"/>
            <w:gridSpan w:val="2"/>
          </w:tcPr>
          <w:p>
            <w:pPr>
              <w:jc w:val="right"/>
              <w:ind w:right="293"/>
              <w:spacing w:after="0" w:line="115" w:lineRule="exact"/>
              <w:rPr>
                <w:sz w:val="20"/>
                <w:szCs w:val="20"/>
                <w:color w:val="auto"/>
              </w:rPr>
            </w:pPr>
            <w:r>
              <w:rPr>
                <w:rFonts w:ascii="Arial" w:cs="Arial" w:eastAsia="Arial" w:hAnsi="Arial"/>
                <w:sz w:val="12"/>
                <w:szCs w:val="12"/>
                <w:color w:val="auto"/>
              </w:rPr>
              <w:t>January 31,</w:t>
            </w:r>
          </w:p>
        </w:tc>
        <w:tc>
          <w:tcPr>
            <w:tcW w:w="1180" w:type="dxa"/>
            <w:vAlign w:val="bottom"/>
            <w:gridSpan w:val="2"/>
          </w:tcPr>
          <w:p>
            <w:pPr>
              <w:jc w:val="right"/>
              <w:ind w:right="133"/>
              <w:spacing w:after="0" w:line="115" w:lineRule="exact"/>
              <w:rPr>
                <w:sz w:val="20"/>
                <w:szCs w:val="20"/>
                <w:color w:val="auto"/>
              </w:rPr>
            </w:pPr>
            <w:r>
              <w:rPr>
                <w:rFonts w:ascii="Arial" w:cs="Arial" w:eastAsia="Arial" w:hAnsi="Arial"/>
                <w:sz w:val="12"/>
                <w:szCs w:val="12"/>
                <w:color w:val="auto"/>
              </w:rPr>
              <w:t>February 1,</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except per share amounts</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line="189" w:lineRule="exact"/>
              <w:rPr>
                <w:sz w:val="20"/>
                <w:szCs w:val="20"/>
                <w:color w:val="auto"/>
              </w:rPr>
            </w:pPr>
            <w:r>
              <w:rPr>
                <w:rFonts w:ascii="Arial" w:cs="Arial" w:eastAsia="Arial" w:hAnsi="Arial"/>
                <w:sz w:val="13"/>
                <w:szCs w:val="13"/>
                <w:b w:val="1"/>
                <w:bCs w:val="1"/>
                <w:color w:val="auto"/>
              </w:rPr>
              <w:t>2018</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line="189" w:lineRule="exact"/>
              <w:rPr>
                <w:sz w:val="20"/>
                <w:szCs w:val="20"/>
                <w:color w:val="auto"/>
              </w:rPr>
            </w:pPr>
            <w:r>
              <w:rPr>
                <w:rFonts w:ascii="Arial" w:cs="Arial" w:eastAsia="Arial" w:hAnsi="Arial"/>
                <w:sz w:val="13"/>
                <w:szCs w:val="13"/>
                <w:color w:val="auto"/>
              </w:rPr>
              <w:t>2017</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2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(53 Weeks)</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7"/>
              </w:rPr>
              <w:t>Income statement and per share data:</w:t>
            </w:r>
          </w:p>
        </w:tc>
        <w:tc>
          <w:tcPr>
            <w:tcW w:w="16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Net sales</w:t>
            </w:r>
          </w:p>
        </w:tc>
        <w:tc>
          <w:tcPr>
            <w:tcW w:w="50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35,865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33,184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30,945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29,078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2,608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2,298</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2,278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2,215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6"/>
        </w:trPr>
        <w:tc>
          <w:tcPr>
            <w:tcW w:w="4660" w:type="dxa"/>
            <w:vAlign w:val="bottom"/>
            <w:gridSpan w:val="4"/>
          </w:tcPr>
          <w:p>
            <w:pPr>
              <w:ind w:left="220"/>
              <w:spacing w:after="0" w:line="206" w:lineRule="exact"/>
              <w:rPr>
                <w:sz w:val="20"/>
                <w:szCs w:val="20"/>
                <w:color w:val="auto"/>
              </w:rPr>
            </w:pPr>
            <w:r>
              <w:rPr>
                <w:rFonts w:ascii="Arial" w:cs="Arial" w:eastAsia="Arial" w:hAnsi="Arial"/>
                <w:sz w:val="18"/>
                <w:szCs w:val="18"/>
                <w:color w:val="auto"/>
              </w:rPr>
              <w:t>Weighted average common shares for diluted earnings</w:t>
            </w:r>
          </w:p>
        </w:tc>
        <w:tc>
          <w:tcPr>
            <w:tcW w:w="500" w:type="dxa"/>
            <w:vAlign w:val="bottom"/>
          </w:tcPr>
          <w:p>
            <w:pPr>
              <w:spacing w:after="0"/>
              <w:rPr>
                <w:sz w:val="17"/>
                <w:szCs w:val="17"/>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8"/>
                <w:szCs w:val="18"/>
                <w:b w:val="1"/>
                <w:bCs w:val="1"/>
                <w:color w:val="auto"/>
                <w:w w:val="95"/>
              </w:rPr>
              <w:t>646,105</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4"/>
          </w:tcPr>
          <w:p>
            <w:pPr>
              <w:ind w:left="440"/>
              <w:spacing w:after="0" w:line="200" w:lineRule="exact"/>
              <w:rPr>
                <w:sz w:val="20"/>
                <w:szCs w:val="20"/>
                <w:color w:val="auto"/>
              </w:rPr>
            </w:pPr>
            <w:r>
              <w:rPr>
                <w:rFonts w:ascii="Arial" w:cs="Arial" w:eastAsia="Arial" w:hAnsi="Arial"/>
                <w:sz w:val="18"/>
                <w:szCs w:val="18"/>
                <w:color w:val="auto"/>
              </w:rPr>
              <w:t>per share calculation (in thousands)</w:t>
            </w:r>
          </w:p>
        </w:tc>
        <w:tc>
          <w:tcPr>
            <w:tcW w:w="5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194"/>
              <w:spacing w:after="0" w:line="200" w:lineRule="exact"/>
              <w:rPr>
                <w:sz w:val="20"/>
                <w:szCs w:val="20"/>
                <w:color w:val="auto"/>
              </w:rPr>
            </w:pPr>
            <w:r>
              <w:rPr>
                <w:rFonts w:ascii="Arial" w:cs="Arial" w:eastAsia="Arial" w:hAnsi="Arial"/>
                <w:sz w:val="18"/>
                <w:szCs w:val="18"/>
                <w:color w:val="auto"/>
                <w:w w:val="95"/>
              </w:rPr>
              <w:t>664,432</w:t>
            </w:r>
          </w:p>
        </w:tc>
        <w:tc>
          <w:tcPr>
            <w:tcW w:w="420" w:type="dxa"/>
            <w:vAlign w:val="bottom"/>
          </w:tcPr>
          <w:p>
            <w:pPr>
              <w:spacing w:after="0"/>
              <w:rPr>
                <w:sz w:val="17"/>
                <w:szCs w:val="17"/>
                <w:color w:val="auto"/>
              </w:rPr>
            </w:pPr>
          </w:p>
        </w:tc>
        <w:tc>
          <w:tcPr>
            <w:tcW w:w="1040" w:type="dxa"/>
            <w:vAlign w:val="bottom"/>
          </w:tcPr>
          <w:p>
            <w:pPr>
              <w:jc w:val="right"/>
              <w:ind w:right="313"/>
              <w:spacing w:after="0" w:line="200" w:lineRule="exact"/>
              <w:rPr>
                <w:sz w:val="20"/>
                <w:szCs w:val="20"/>
                <w:color w:val="auto"/>
              </w:rPr>
            </w:pPr>
            <w:r>
              <w:rPr>
                <w:rFonts w:ascii="Arial" w:cs="Arial" w:eastAsia="Arial" w:hAnsi="Arial"/>
                <w:sz w:val="18"/>
                <w:szCs w:val="18"/>
                <w:color w:val="auto"/>
                <w:w w:val="95"/>
              </w:rPr>
              <w:t>683,251</w:t>
            </w:r>
          </w:p>
        </w:tc>
        <w:tc>
          <w:tcPr>
            <w:tcW w:w="320" w:type="dxa"/>
            <w:vAlign w:val="bottom"/>
          </w:tcPr>
          <w:p>
            <w:pPr>
              <w:spacing w:after="0"/>
              <w:rPr>
                <w:sz w:val="17"/>
                <w:szCs w:val="17"/>
                <w:color w:val="auto"/>
              </w:rPr>
            </w:pPr>
          </w:p>
        </w:tc>
        <w:tc>
          <w:tcPr>
            <w:tcW w:w="1020" w:type="dxa"/>
            <w:vAlign w:val="bottom"/>
          </w:tcPr>
          <w:p>
            <w:pPr>
              <w:jc w:val="right"/>
              <w:ind w:right="293"/>
              <w:spacing w:after="0" w:line="200" w:lineRule="exact"/>
              <w:rPr>
                <w:sz w:val="20"/>
                <w:szCs w:val="20"/>
                <w:color w:val="auto"/>
              </w:rPr>
            </w:pPr>
            <w:r>
              <w:rPr>
                <w:rFonts w:ascii="Arial" w:cs="Arial" w:eastAsia="Arial" w:hAnsi="Arial"/>
                <w:sz w:val="18"/>
                <w:szCs w:val="18"/>
                <w:color w:val="auto"/>
                <w:w w:val="95"/>
              </w:rPr>
              <w:t>703,545</w:t>
            </w:r>
          </w:p>
        </w:tc>
        <w:tc>
          <w:tcPr>
            <w:tcW w:w="320" w:type="dxa"/>
            <w:vAlign w:val="bottom"/>
          </w:tcPr>
          <w:p>
            <w:pPr>
              <w:spacing w:after="0"/>
              <w:rPr>
                <w:sz w:val="17"/>
                <w:szCs w:val="17"/>
                <w:color w:val="auto"/>
              </w:rPr>
            </w:pPr>
          </w:p>
        </w:tc>
        <w:tc>
          <w:tcPr>
            <w:tcW w:w="860" w:type="dxa"/>
            <w:vAlign w:val="bottom"/>
          </w:tcPr>
          <w:p>
            <w:pPr>
              <w:jc w:val="right"/>
              <w:ind w:right="133"/>
              <w:spacing w:after="0" w:line="200" w:lineRule="exact"/>
              <w:rPr>
                <w:sz w:val="20"/>
                <w:szCs w:val="20"/>
                <w:color w:val="auto"/>
              </w:rPr>
            </w:pPr>
            <w:r>
              <w:rPr>
                <w:rFonts w:ascii="Arial" w:cs="Arial" w:eastAsia="Arial" w:hAnsi="Arial"/>
                <w:sz w:val="18"/>
                <w:szCs w:val="18"/>
                <w:color w:val="auto"/>
                <w:w w:val="95"/>
              </w:rPr>
              <w:t>726,376</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 earnings per share from continuing operations</w:t>
            </w:r>
          </w:p>
        </w:tc>
        <w:tc>
          <w:tcPr>
            <w:tcW w:w="5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4.04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3.46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Cash dividends declared per share</w:t>
            </w:r>
          </w:p>
        </w:tc>
        <w:tc>
          <w:tcPr>
            <w:tcW w:w="50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1.25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1.04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0.84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0.70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Balance sheet data:</w:t>
            </w:r>
          </w:p>
        </w:tc>
        <w:tc>
          <w:tcPr>
            <w:tcW w:w="3100" w:type="dxa"/>
            <w:vAlign w:val="bottom"/>
            <w:tcBorders>
              <w:bottom w:val="single" w:sz="8" w:color="CCEEFF"/>
            </w:tcBorders>
            <w:gridSpan w:val="3"/>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2,758</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2,930</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2,095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2,494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Working capital</w:t>
            </w:r>
          </w:p>
        </w:tc>
        <w:tc>
          <w:tcPr>
            <w:tcW w:w="5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3,360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2,993</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2,370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2,648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3"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(3)</w:t>
            </w:r>
          </w:p>
        </w:tc>
        <w:tc>
          <w:tcPr>
            <w:tcW w:w="50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14,058</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12,884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11,490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10,978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1,058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1,025</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3" w:lineRule="exact"/>
              <w:rPr>
                <w:sz w:val="20"/>
                <w:szCs w:val="20"/>
                <w:color w:val="auto"/>
              </w:rPr>
            </w:pPr>
            <w:r>
              <w:rPr>
                <w:rFonts w:ascii="Arial" w:cs="Arial" w:eastAsia="Arial" w:hAnsi="Arial"/>
                <w:sz w:val="18"/>
                <w:szCs w:val="18"/>
                <w:color w:val="auto"/>
              </w:rPr>
              <w:t>Long-term obligations</w:t>
            </w:r>
            <w:r>
              <w:rPr>
                <w:rFonts w:ascii="Arial" w:cs="Arial" w:eastAsia="Arial" w:hAnsi="Arial"/>
                <w:sz w:val="22"/>
                <w:szCs w:val="22"/>
                <w:color w:val="auto"/>
                <w:vertAlign w:val="superscript"/>
              </w:rPr>
              <w:t>(4)</w:t>
            </w:r>
          </w:p>
        </w:tc>
        <w:tc>
          <w:tcPr>
            <w:tcW w:w="50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294"/>
              <w:spacing w:after="0" w:line="202" w:lineRule="exact"/>
              <w:rPr>
                <w:sz w:val="20"/>
                <w:szCs w:val="20"/>
                <w:color w:val="auto"/>
              </w:rPr>
            </w:pPr>
            <w:r>
              <w:rPr>
                <w:rFonts w:ascii="Arial" w:cs="Arial" w:eastAsia="Arial" w:hAnsi="Arial"/>
                <w:sz w:val="18"/>
                <w:szCs w:val="18"/>
                <w:b w:val="1"/>
                <w:bCs w:val="1"/>
                <w:color w:val="auto"/>
              </w:rPr>
              <w:t>2,231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2,228</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1,615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1,613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Shareholders’ equity</w:t>
            </w:r>
          </w:p>
        </w:tc>
        <w:tc>
          <w:tcPr>
            <w:tcW w:w="5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5,148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4,511</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4,307</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4,264</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6"/>
              </w:rPr>
              <w:t>Other financial data:</w:t>
            </w:r>
          </w:p>
        </w:tc>
        <w:tc>
          <w:tcPr>
            <w:tcW w:w="308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After-tax return on average shareholders’ equity</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54.0%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52.1%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53.1%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52.2%</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3"/>
        </w:trPr>
        <w:tc>
          <w:tcPr>
            <w:tcW w:w="4660" w:type="dxa"/>
            <w:vAlign w:val="bottom"/>
            <w:gridSpan w:val="4"/>
          </w:tcPr>
          <w:p>
            <w:pPr>
              <w:ind w:left="220"/>
              <w:spacing w:after="0" w:line="203" w:lineRule="exact"/>
              <w:rPr>
                <w:sz w:val="20"/>
                <w:szCs w:val="20"/>
                <w:color w:val="auto"/>
              </w:rPr>
            </w:pPr>
            <w:r>
              <w:rPr>
                <w:rFonts w:ascii="Arial" w:cs="Arial" w:eastAsia="Arial" w:hAnsi="Arial"/>
                <w:sz w:val="18"/>
                <w:szCs w:val="18"/>
                <w:color w:val="auto"/>
              </w:rPr>
              <w:t>Total debt as a percentage of total capitalization</w:t>
            </w:r>
            <w:r>
              <w:rPr>
                <w:rFonts w:ascii="Arial" w:cs="Arial" w:eastAsia="Arial" w:hAnsi="Arial"/>
                <w:sz w:val="22"/>
                <w:szCs w:val="22"/>
                <w:color w:val="auto"/>
                <w:vertAlign w:val="superscript"/>
              </w:rPr>
              <w:t>(5)</w:t>
            </w:r>
          </w:p>
        </w:tc>
        <w:tc>
          <w:tcPr>
            <w:tcW w:w="500" w:type="dxa"/>
            <w:vAlign w:val="bottom"/>
          </w:tcPr>
          <w:p>
            <w:pPr>
              <w:spacing w:after="0"/>
              <w:rPr>
                <w:sz w:val="17"/>
                <w:szCs w:val="17"/>
                <w:color w:val="auto"/>
              </w:rPr>
            </w:pPr>
          </w:p>
        </w:tc>
        <w:tc>
          <w:tcPr>
            <w:tcW w:w="102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30.2%</w:t>
            </w:r>
          </w:p>
        </w:tc>
        <w:tc>
          <w:tcPr>
            <w:tcW w:w="34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33.1%</w:t>
            </w:r>
          </w:p>
        </w:tc>
        <w:tc>
          <w:tcPr>
            <w:tcW w:w="42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27.3%</w:t>
            </w:r>
          </w:p>
        </w:tc>
        <w:tc>
          <w:tcPr>
            <w:tcW w:w="320" w:type="dxa"/>
            <w:vAlign w:val="bottom"/>
          </w:tcPr>
          <w:p>
            <w:pPr>
              <w:spacing w:after="0"/>
              <w:rPr>
                <w:sz w:val="17"/>
                <w:szCs w:val="17"/>
                <w:color w:val="auto"/>
              </w:rPr>
            </w:pPr>
          </w:p>
        </w:tc>
        <w:tc>
          <w:tcPr>
            <w:tcW w:w="10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27.4%</w:t>
            </w: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46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Stores in operation:</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4,070</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3,812</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3,614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color w:val="auto"/>
              </w:rPr>
              <w:t>3,395</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322"/>
        </w:trPr>
        <w:tc>
          <w:tcPr>
            <w:tcW w:w="4660" w:type="dxa"/>
            <w:vAlign w:val="bottom"/>
            <w:gridSpan w:val="4"/>
          </w:tcPr>
          <w:p>
            <w:pPr>
              <w:spacing w:after="0"/>
              <w:rPr>
                <w:sz w:val="20"/>
                <w:szCs w:val="20"/>
                <w:color w:val="auto"/>
              </w:rPr>
            </w:pPr>
            <w:r>
              <w:rPr>
                <w:rFonts w:ascii="Arial" w:cs="Arial" w:eastAsia="Arial" w:hAnsi="Arial"/>
                <w:sz w:val="18"/>
                <w:szCs w:val="18"/>
                <w:color w:val="auto"/>
              </w:rPr>
              <w:t>Selling square footage (in thousands):</w:t>
            </w:r>
          </w:p>
        </w:tc>
        <w:tc>
          <w:tcPr>
            <w:tcW w:w="500" w:type="dxa"/>
            <w:vAlign w:val="bottom"/>
          </w:tcPr>
          <w:p>
            <w:pPr>
              <w:spacing w:after="0"/>
              <w:rPr>
                <w:sz w:val="24"/>
                <w:szCs w:val="24"/>
                <w:color w:val="auto"/>
              </w:rPr>
            </w:pPr>
          </w:p>
        </w:tc>
        <w:tc>
          <w:tcPr>
            <w:tcW w:w="1020" w:type="dxa"/>
            <w:vAlign w:val="bottom"/>
          </w:tcPr>
          <w:p>
            <w:pPr>
              <w:jc w:val="right"/>
              <w:ind w:right="294"/>
              <w:spacing w:after="0"/>
              <w:rPr>
                <w:sz w:val="20"/>
                <w:szCs w:val="20"/>
                <w:color w:val="auto"/>
              </w:rPr>
            </w:pPr>
            <w:r>
              <w:rPr>
                <w:rFonts w:ascii="Arial" w:cs="Arial" w:eastAsia="Arial" w:hAnsi="Arial"/>
                <w:sz w:val="18"/>
                <w:szCs w:val="18"/>
                <w:b w:val="1"/>
                <w:bCs w:val="1"/>
                <w:color w:val="auto"/>
              </w:rPr>
              <w:t>87,548</w:t>
            </w:r>
          </w:p>
        </w:tc>
        <w:tc>
          <w:tcPr>
            <w:tcW w:w="340" w:type="dxa"/>
            <w:vAlign w:val="bottom"/>
          </w:tcPr>
          <w:p>
            <w:pPr>
              <w:spacing w:after="0"/>
              <w:rPr>
                <w:sz w:val="24"/>
                <w:szCs w:val="24"/>
                <w:color w:val="auto"/>
              </w:rPr>
            </w:pP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83,798</w:t>
            </w:r>
          </w:p>
        </w:tc>
        <w:tc>
          <w:tcPr>
            <w:tcW w:w="420" w:type="dxa"/>
            <w:vAlign w:val="bottom"/>
          </w:tcPr>
          <w:p>
            <w:pPr>
              <w:spacing w:after="0"/>
              <w:rPr>
                <w:sz w:val="24"/>
                <w:szCs w:val="24"/>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80,480</w:t>
            </w:r>
          </w:p>
        </w:tc>
        <w:tc>
          <w:tcPr>
            <w:tcW w:w="320" w:type="dxa"/>
            <w:vAlign w:val="bottom"/>
          </w:tcPr>
          <w:p>
            <w:pPr>
              <w:spacing w:after="0"/>
              <w:rPr>
                <w:sz w:val="24"/>
                <w:szCs w:val="24"/>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76,537</w:t>
            </w:r>
          </w:p>
        </w:tc>
        <w:tc>
          <w:tcPr>
            <w:tcW w:w="32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73,209</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Fiscal 2018 includes an impairment charge of $99.3 million and a net benefit from the enactment of the 2017 Tax Act described in Item 7 under “Tax Cuts and Jobs Act of 2017.”</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Fiscal 2017 includes a loss on early extinguishment of debt and a pension settlement charge.</w:t>
      </w:r>
    </w:p>
    <w:p>
      <w:pPr>
        <w:spacing w:after="0" w:line="41" w:lineRule="exact"/>
        <w:rPr>
          <w:rFonts w:ascii="Arial" w:cs="Arial" w:eastAsia="Arial" w:hAnsi="Arial"/>
          <w:sz w:val="14"/>
          <w:szCs w:val="14"/>
          <w:color w:val="auto"/>
        </w:rPr>
      </w:pPr>
    </w:p>
    <w:p>
      <w:pPr>
        <w:ind w:left="220" w:right="60" w:hanging="212"/>
        <w:spacing w:after="0" w:line="228"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adjusted to reflect the reclassification of debt issuance cost in accordance with ASU 2015-03. We reclassified $9 million, $11 million and $7 million of debt issuance cost from other assets to long-term obligations at January 30, 2016, January 31, 2015 and February 1, 2014, respectively. See Note A- Basis of Presentation and Summary of Accounting Policies of Notes to Consolidated Financial Statements for additional information.</w:t>
      </w:r>
    </w:p>
    <w:p>
      <w:pPr>
        <w:spacing w:after="0" w:line="40"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Defined as long-term debt, exclusive of current installments and capital lease obligations, less the portion due within one year.</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Defined as shareholders’ equity, short-term debt, long-term debt and capital lease obligations, including current maturities.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9" w:lineRule="exact"/>
        <w:rPr>
          <w:sz w:val="20"/>
          <w:szCs w:val="20"/>
          <w:color w:val="auto"/>
        </w:rPr>
      </w:pPr>
    </w:p>
    <w:p>
      <w:pPr>
        <w:ind w:right="80" w:firstLine="342"/>
        <w:spacing w:after="0" w:line="271" w:lineRule="auto"/>
        <w:rPr>
          <w:sz w:val="20"/>
          <w:szCs w:val="20"/>
          <w:color w:val="auto"/>
        </w:rPr>
      </w:pPr>
      <w:r>
        <w:rPr>
          <w:rFonts w:ascii="Arial" w:cs="Arial" w:eastAsia="Arial" w:hAnsi="Arial"/>
          <w:sz w:val="16"/>
          <w:szCs w:val="16"/>
          <w:color w:val="auto"/>
        </w:rPr>
        <w:t>TJX provides projections and other forward-looking statements in the following discussions particularly relating to the Company’s future financial performance. These forward-looking statements are estimates based on information currently available to the Company, are made pursuant to the safe harbor provisions of the Private Securities Litigation Reform Act of 1995, and subject to the cautionary statements set forth on page 2 of this Form 10-K. The Company’s results are subject to risks and uncertainties including, but not limited to, those described in Part I, Item 1A, Risk Factors, and those identified from time to time in our other filings with the Securities and Exchange Commission. TJX undertakes no obligation to publicly update any forward-looking statements, whether as a result of new information, future developments or otherwise.</w:t>
      </w:r>
    </w:p>
    <w:p>
      <w:pPr>
        <w:spacing w:after="0" w:line="50" w:lineRule="exact"/>
        <w:rPr>
          <w:sz w:val="20"/>
          <w:szCs w:val="20"/>
          <w:color w:val="auto"/>
        </w:rPr>
      </w:pPr>
    </w:p>
    <w:p>
      <w:pPr>
        <w:ind w:right="600" w:firstLine="342"/>
        <w:spacing w:after="0" w:line="239" w:lineRule="auto"/>
        <w:rPr>
          <w:sz w:val="20"/>
          <w:szCs w:val="20"/>
          <w:color w:val="auto"/>
        </w:rPr>
      </w:pPr>
      <w:r>
        <w:rPr>
          <w:rFonts w:ascii="Arial" w:cs="Arial" w:eastAsia="Arial" w:hAnsi="Arial"/>
          <w:sz w:val="18"/>
          <w:szCs w:val="18"/>
          <w:color w:val="auto"/>
        </w:rPr>
        <w:t>The discussion that follows relates to our 53-week fiscal year ended February 3, 2018 (fiscal 2018) and our 52-week fiscal years ended January 28, 2017 (fiscal 2017) and January 30, 2016 (fiscal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77"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We are the leading off-price apparel and home fashions retailer in the U.S. and worldwide. We sell a rapidly changing assortment of apparel, home fashions and other merchandise at prices generally 20% to 60% below full-price retailers’ (including department, specialty, and major online retailers) regular prices on comparable merchandise, every day. We operate over 4,000 stores through our four main segments: in the U.S., Marmaxx</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9" w:right="239" w:bottom="1440" w:gutter="0" w:footer="0" w:header="0"/>
        </w:sectPr>
      </w:pPr>
    </w:p>
    <w:bookmarkStart w:id="26" w:name="page27"/>
    <w:bookmarkEnd w:id="26"/>
    <w:p>
      <w:pPr>
        <w:ind w:right="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operates T.J. Maxx, Marshalls and tjmaxx.com) and HomeGoods (which operates HomeGoods and Homesense); TJX Canada (which operates Winners, HomeSense and Marshalls in Canada); and TJX International (which operates T.K. Maxx, Homesense and tkmaxx.com in Europe, and T.K. Maxx in Australia). We also operate Sierra Trading Post (“STP”), an off-price Internet retailer that operates sierratradingpost.com and retail stores in the U.S. The results of STP are reported in our Marmaxx segment.</w:t>
      </w:r>
    </w:p>
    <w:p>
      <w:pPr>
        <w:spacing w:after="0" w:line="74"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During the fourth quarter, the Tax Cuts and Jobs Act of 2017 referred to as “tax reform” or the “2017 Tax Act” was enacted. The 2017 Tax Act, along with the related reinvestments made by the Company, had a significant impact on our fiscal 2018 results (see “</w:t>
      </w:r>
      <w:r>
        <w:rPr>
          <w:rFonts w:ascii="Arial" w:cs="Arial" w:eastAsia="Arial" w:hAnsi="Arial"/>
          <w:sz w:val="18"/>
          <w:szCs w:val="18"/>
          <w:b w:val="1"/>
          <w:bCs w:val="1"/>
          <w:i w:val="1"/>
          <w:iCs w:val="1"/>
          <w:color w:val="auto"/>
        </w:rPr>
        <w:t>Tax Cuts and Jobs Act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2017</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Highlights of our financial performance for fiscal 2018 include the following:</w:t>
      </w:r>
    </w:p>
    <w:p>
      <w:pPr>
        <w:spacing w:after="0" w:line="77" w:lineRule="exact"/>
        <w:rPr>
          <w:sz w:val="20"/>
          <w:szCs w:val="20"/>
          <w:color w:val="auto"/>
        </w:rPr>
      </w:pPr>
    </w:p>
    <w:p>
      <w:pPr>
        <w:ind w:left="660" w:right="100" w:hanging="324"/>
        <w:spacing w:after="0" w:line="238" w:lineRule="auto"/>
        <w:rPr>
          <w:sz w:val="20"/>
          <w:szCs w:val="20"/>
          <w:color w:val="auto"/>
        </w:rPr>
      </w:pPr>
      <w:r>
        <w:rPr>
          <w:rFonts w:ascii="Arial" w:cs="Arial" w:eastAsia="Arial" w:hAnsi="Arial"/>
          <w:sz w:val="18"/>
          <w:szCs w:val="18"/>
          <w:color w:val="auto"/>
        </w:rPr>
        <w:t>— Net sales increased to $35.9 billion for fiscal 2018, up 8% over the same period last year. The 53rd week in fiscal 2018 increased net sales by 2%. At February 3, 2018, the number of stores in operation increased 7% and selling square footage increased 4% over the end of fiscal 2017.</w:t>
      </w:r>
    </w:p>
    <w:p>
      <w:pPr>
        <w:spacing w:after="0" w:line="72" w:lineRule="exact"/>
        <w:rPr>
          <w:sz w:val="20"/>
          <w:szCs w:val="20"/>
          <w:color w:val="auto"/>
        </w:rPr>
      </w:pPr>
    </w:p>
    <w:p>
      <w:pPr>
        <w:ind w:left="660" w:right="220" w:hanging="324"/>
        <w:spacing w:after="0" w:line="239" w:lineRule="auto"/>
        <w:rPr>
          <w:sz w:val="20"/>
          <w:szCs w:val="20"/>
          <w:color w:val="auto"/>
        </w:rPr>
      </w:pPr>
      <w:r>
        <w:rPr>
          <w:rFonts w:ascii="Arial" w:cs="Arial" w:eastAsia="Arial" w:hAnsi="Arial"/>
          <w:sz w:val="18"/>
          <w:szCs w:val="18"/>
          <w:color w:val="auto"/>
        </w:rPr>
        <w:t>— Comp sales on a 52-week basis increased 2% in fiscal 2018 over an increase of 5% in fiscal 2017 and an increase of 5% in fiscal 2016. The fiscal 2018 increase was driven primarily by an increase in customer traffic at each of our four segments.</w:t>
      </w:r>
    </w:p>
    <w:p>
      <w:pPr>
        <w:spacing w:after="0" w:line="73" w:lineRule="exact"/>
        <w:rPr>
          <w:sz w:val="20"/>
          <w:szCs w:val="20"/>
          <w:color w:val="auto"/>
        </w:rPr>
      </w:pPr>
    </w:p>
    <w:p>
      <w:pPr>
        <w:ind w:left="660" w:right="40" w:hanging="324"/>
        <w:spacing w:after="0" w:line="237" w:lineRule="auto"/>
        <w:rPr>
          <w:sz w:val="20"/>
          <w:szCs w:val="20"/>
          <w:color w:val="auto"/>
        </w:rPr>
      </w:pPr>
      <w:r>
        <w:rPr>
          <w:rFonts w:ascii="Arial" w:cs="Arial" w:eastAsia="Arial" w:hAnsi="Arial"/>
          <w:sz w:val="17"/>
          <w:szCs w:val="17"/>
          <w:color w:val="auto"/>
        </w:rPr>
        <w:t>— Diluted earnings per share for fiscal 2018 were $4.04 compared to $3.46 per share in fiscal 2017. Fiscal 2018 earnings per share includes a $0.17 net benefit from tax reform along with the related investments made by the Company, an $0.11 benefit from the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week in the Company’s fiscal 2018 calendar partially offset by a $0.10 impairment charge related to STP. Fiscal 2017 earnings per share includes a $0.07 reduction due to a loss on the early extinguishment of debt and a pension settlement charge during the third quarter.</w:t>
      </w:r>
    </w:p>
    <w:p>
      <w:pPr>
        <w:spacing w:after="0" w:line="73" w:lineRule="exact"/>
        <w:rPr>
          <w:sz w:val="20"/>
          <w:szCs w:val="20"/>
          <w:color w:val="auto"/>
        </w:rPr>
      </w:pPr>
    </w:p>
    <w:p>
      <w:pPr>
        <w:ind w:left="660" w:right="120" w:hanging="324"/>
        <w:spacing w:after="0" w:line="226" w:lineRule="auto"/>
        <w:rPr>
          <w:sz w:val="20"/>
          <w:szCs w:val="20"/>
          <w:color w:val="auto"/>
        </w:rPr>
      </w:pPr>
      <w:r>
        <w:rPr>
          <w:rFonts w:ascii="Arial" w:cs="Arial" w:eastAsia="Arial" w:hAnsi="Arial"/>
          <w:sz w:val="18"/>
          <w:szCs w:val="18"/>
          <w:color w:val="auto"/>
        </w:rPr>
        <w:t>— Our fiscal 2018 pre-tax margin (the ratio of pre-tax income to net sales) was 10.8%, a 0.4 percentage point decrease compared to 11.2% in fiscal 2017. The impairment charge relating to STP and the cost of incremental investments we made in connection with the 2017 Tax Act collectively reduced pre-tax margin by 0.6 percentage points while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in the fiscal 2018 calendar lifted pretax margin by approximately 0.1 percentage point. Fiscal 2017 pre-tax margin was reduced by 0.3 percentage points due to the two third quarter charges referred to above.</w:t>
      </w:r>
    </w:p>
    <w:p>
      <w:pPr>
        <w:spacing w:after="0" w:line="76" w:lineRule="exact"/>
        <w:rPr>
          <w:sz w:val="20"/>
          <w:szCs w:val="20"/>
          <w:color w:val="auto"/>
        </w:rPr>
      </w:pPr>
    </w:p>
    <w:p>
      <w:pPr>
        <w:ind w:left="660" w:right="40" w:hanging="324"/>
        <w:spacing w:after="0" w:line="261" w:lineRule="auto"/>
        <w:rPr>
          <w:sz w:val="20"/>
          <w:szCs w:val="20"/>
          <w:color w:val="auto"/>
        </w:rPr>
      </w:pPr>
      <w:r>
        <w:rPr>
          <w:rFonts w:ascii="Arial" w:cs="Arial" w:eastAsia="Arial" w:hAnsi="Arial"/>
          <w:sz w:val="17"/>
          <w:szCs w:val="17"/>
          <w:color w:val="auto"/>
        </w:rPr>
        <w:t>— Our cost of sales, including buying and occupancy costs, ratio for fiscal 2018 was 71.1%, a 0.1 percentage point increase compared to 71.0% in fiscal 2017. This increase was driven by higher supply chain costs partially offset by the favorable impact of mark-to-market of inventory derivatives and a benefit from the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week in the fiscal 2018 calendar. Merchandise margins were flat compared to fiscal 2017.</w:t>
      </w:r>
    </w:p>
    <w:p>
      <w:pPr>
        <w:spacing w:after="0" w:line="1" w:lineRule="exact"/>
        <w:rPr>
          <w:sz w:val="20"/>
          <w:szCs w:val="20"/>
          <w:color w:val="auto"/>
        </w:rPr>
      </w:pPr>
    </w:p>
    <w:p>
      <w:pPr>
        <w:ind w:left="660" w:right="120" w:hanging="324"/>
        <w:spacing w:after="0" w:line="238" w:lineRule="auto"/>
        <w:rPr>
          <w:sz w:val="20"/>
          <w:szCs w:val="20"/>
          <w:color w:val="auto"/>
        </w:rPr>
      </w:pPr>
      <w:r>
        <w:rPr>
          <w:rFonts w:ascii="Arial" w:cs="Arial" w:eastAsia="Arial" w:hAnsi="Arial"/>
          <w:sz w:val="18"/>
          <w:szCs w:val="18"/>
          <w:color w:val="auto"/>
        </w:rPr>
        <w:t>— Our selling, general and administrative (“SG&amp;A”) expense ratio for fiscal 2018 was 17.8%, a 0.4 percentage point increase from 17.4% in fiscal 2017. The incremental investments described below related to the 2017 Tax Act increased the fiscal 2018 expense ratio by 0.3 percentage points. The remaining increase is primarily due to higher store payroll costs due to wage increases.</w:t>
      </w:r>
    </w:p>
    <w:p>
      <w:pPr>
        <w:spacing w:after="0" w:line="72" w:lineRule="exact"/>
        <w:rPr>
          <w:sz w:val="20"/>
          <w:szCs w:val="20"/>
          <w:color w:val="auto"/>
        </w:rPr>
      </w:pPr>
    </w:p>
    <w:p>
      <w:pPr>
        <w:ind w:left="660" w:hanging="324"/>
        <w:spacing w:after="0" w:line="238" w:lineRule="auto"/>
        <w:rPr>
          <w:sz w:val="20"/>
          <w:szCs w:val="20"/>
          <w:color w:val="auto"/>
        </w:rPr>
      </w:pPr>
      <w:r>
        <w:rPr>
          <w:rFonts w:ascii="Arial" w:cs="Arial" w:eastAsia="Arial" w:hAnsi="Arial"/>
          <w:sz w:val="18"/>
          <w:szCs w:val="18"/>
          <w:color w:val="auto"/>
        </w:rPr>
        <w:t>— Our consolidated average per store inventories, including inventory on hand at our distribution centers (which excludes inventory in transit) and excluding our e-commerce businesses, increased 6% on a reported basis and increased 4% on a constant currency basis at the end of fiscal 2018 as compared to the prior year.</w:t>
      </w:r>
    </w:p>
    <w:p>
      <w:pPr>
        <w:spacing w:after="0" w:line="72" w:lineRule="exact"/>
        <w:rPr>
          <w:sz w:val="20"/>
          <w:szCs w:val="20"/>
          <w:color w:val="auto"/>
        </w:rPr>
      </w:pPr>
    </w:p>
    <w:p>
      <w:pPr>
        <w:ind w:left="660" w:right="180" w:hanging="324"/>
        <w:spacing w:after="0" w:line="274" w:lineRule="auto"/>
        <w:rPr>
          <w:sz w:val="20"/>
          <w:szCs w:val="20"/>
          <w:color w:val="auto"/>
        </w:rPr>
      </w:pPr>
      <w:r>
        <w:rPr>
          <w:rFonts w:ascii="Arial" w:cs="Arial" w:eastAsia="Arial" w:hAnsi="Arial"/>
          <w:sz w:val="17"/>
          <w:szCs w:val="17"/>
          <w:color w:val="auto"/>
        </w:rPr>
        <w:t>— During fiscal 2018, we repurchased 22.3 million shares of our common stock for $1.7 billion, on a “trade date basis”. Earnings per share reflect the benefit of the stock repurchase program. With $1.1 billion remaining under previously announced stock repurchase programs, our Board of Directors approved our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stock repurchase program that authorizes the repurchase of up to an additional $3.0 billion.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9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discussion of our consolidated operating results, followed by a discussion of our segment operating results.</w:t>
      </w:r>
    </w:p>
    <w:p>
      <w:pPr>
        <w:spacing w:after="0" w:line="138" w:lineRule="exact"/>
        <w:rPr>
          <w:sz w:val="20"/>
          <w:szCs w:val="20"/>
          <w:color w:val="auto"/>
        </w:rPr>
      </w:pPr>
    </w:p>
    <w:p>
      <w:pPr>
        <w:ind w:right="520" w:firstLine="342"/>
        <w:spacing w:after="0" w:line="277" w:lineRule="auto"/>
        <w:rPr>
          <w:sz w:val="20"/>
          <w:szCs w:val="20"/>
          <w:color w:val="auto"/>
        </w:rPr>
      </w:pPr>
      <w:r>
        <w:rPr>
          <w:rFonts w:ascii="Arial" w:cs="Arial" w:eastAsia="Arial" w:hAnsi="Arial"/>
          <w:sz w:val="16"/>
          <w:szCs w:val="16"/>
          <w:b w:val="1"/>
          <w:bCs w:val="1"/>
          <w:i w:val="1"/>
          <w:iCs w:val="1"/>
          <w:color w:val="auto"/>
        </w:rPr>
        <w:t xml:space="preserve">Tax Cuts and Jobs Act of 2017: </w:t>
      </w:r>
      <w:r>
        <w:rPr>
          <w:rFonts w:ascii="Arial" w:cs="Arial" w:eastAsia="Arial" w:hAnsi="Arial"/>
          <w:sz w:val="16"/>
          <w:szCs w:val="16"/>
          <w:color w:val="auto"/>
        </w:rPr>
        <w:t>On December 22, 2017, the 2017 Tax Act was enacted into law which, among other things, includes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one-time mandatory transition tax on accumulated foreign undistributed earnings and a reduction of the U.S. corporate income tax rate to</w:t>
      </w:r>
    </w:p>
    <w:p>
      <w:pPr>
        <w:ind w:right="120"/>
        <w:spacing w:after="0" w:line="236" w:lineRule="auto"/>
        <w:rPr>
          <w:sz w:val="20"/>
          <w:szCs w:val="20"/>
          <w:color w:val="auto"/>
        </w:rPr>
      </w:pPr>
      <w:r>
        <w:rPr>
          <w:rFonts w:ascii="Arial" w:cs="Arial" w:eastAsia="Arial" w:hAnsi="Arial"/>
          <w:sz w:val="18"/>
          <w:szCs w:val="18"/>
          <w:color w:val="auto"/>
        </w:rPr>
        <w:t>21 percent, effective January 1, 2018. The change in the U.S. income tax rate also requires us to revalue our deferred tax assets and liabilities. Although we are still evaluating the impact of the 2017 Tax Act on TJX, the Company has estimated the impact of the 2017 Tax Act which resulted in a reduction of the full year tax provision. The Company has reinvested a portion of these tax benefits by approving a discretionary bonus to eligible non-bonus plan Associates globally, providing an incremental contribution to the Company’s defined contribution retirement plans for eligible Associates in the U.S. and internationally, as well as making contributions to the Company’s charitable foundations, collectively referred to as “incremental investments related to the 2017 Tax Act.” The tax benefits recognized due to the 2017 Tax Act, offset by the after-tax impact of incremental investments we made related to the 2017 Tax Act, resulted in a net benefit to net income of $0.17 per share for the fiscal 2018 fourth quarter and full year.</w:t>
      </w:r>
    </w:p>
    <w:p>
      <w:pPr>
        <w:spacing w:after="0" w:line="53" w:lineRule="exact"/>
        <w:rPr>
          <w:sz w:val="20"/>
          <w:szCs w:val="20"/>
          <w:color w:val="auto"/>
        </w:rPr>
      </w:pPr>
    </w:p>
    <w:p>
      <w:pPr>
        <w:ind w:right="60" w:firstLine="342"/>
        <w:spacing w:after="0" w:line="231"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Consolidated net sales for fiscal 2018 totaled $35.9 billion, an 8% increase over $33.2 billion in fiscal 2017. The increase reflected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4% increase from new stores, a 2% increase from comp sales, and a 2% increase from the impact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in the fiscal 2018 calendar. Foreign currency had a neutral impact in fiscal 2018. Net sales from our e-commerce businesses amounted to approximately 2% of total sales and had an immaterial impact on fiscal 2018 sales growth. Consolidated net sales for fiscal 2017 totaled $33.2 billion, a 7% increase over $30.9 billion in fiscal 2016. The increase reflected a 5% increase from comp sales and a 4% increase from new stores, offset by a 2% negative impact from foreign currency exchange rates.</w:t>
      </w:r>
    </w:p>
    <w:p>
      <w:pPr>
        <w:spacing w:after="0" w:line="57" w:lineRule="exact"/>
        <w:rPr>
          <w:sz w:val="20"/>
          <w:szCs w:val="20"/>
          <w:color w:val="auto"/>
        </w:rPr>
      </w:pPr>
    </w:p>
    <w:p>
      <w:pPr>
        <w:ind w:right="240" w:firstLine="342"/>
        <w:spacing w:after="0" w:line="241" w:lineRule="auto"/>
        <w:rPr>
          <w:sz w:val="20"/>
          <w:szCs w:val="20"/>
          <w:color w:val="auto"/>
        </w:rPr>
      </w:pPr>
      <w:r>
        <w:rPr>
          <w:rFonts w:ascii="Arial" w:cs="Arial" w:eastAsia="Arial" w:hAnsi="Arial"/>
          <w:sz w:val="18"/>
          <w:szCs w:val="18"/>
          <w:b w:val="1"/>
          <w:bCs w:val="1"/>
          <w:i w:val="1"/>
          <w:iCs w:val="1"/>
          <w:color w:val="auto"/>
        </w:rPr>
        <w:t xml:space="preserve">Comparable Store Sales: </w:t>
      </w:r>
      <w:r>
        <w:rPr>
          <w:rFonts w:ascii="Arial" w:cs="Arial" w:eastAsia="Arial" w:hAnsi="Arial"/>
          <w:sz w:val="18"/>
          <w:szCs w:val="18"/>
          <w:color w:val="auto"/>
        </w:rPr>
        <w:t>We define comparable store sales (“comp sales”), formerly referred to as same-store sales, to be sales of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have been in operation for all or a portion of two consecutive fiscal years, or in other words, stores that are starting their third fiscal year of operation. We calculate comp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percentage is immaterial.</w:t>
      </w:r>
    </w:p>
    <w:p>
      <w:pPr>
        <w:spacing w:after="0" w:line="75"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We define customer traffic to be the number of transactions in stores included in the comp sales calculation and average ticket to be the average retail price of the units sold. We define average transaction or average basket to be the average dollar value of transactions included in the comp sales calculation.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excluded from comp sales (“non-comp sales”) consists of:</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New stores- stores that have not yet met the comp sales criteria</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Stores that are closed permanently or for an extended period of time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Sales from our e-commerce businesses, meaning Sierra Trading Post (including stores), tjmaxx.com and tkmaxx.com</w:t>
      </w:r>
    </w:p>
    <w:p>
      <w:pPr>
        <w:spacing w:after="0" w:line="77"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We determine which stores are included in the comp sales calculation at the beginning of a fiscal year and the classification remains constant throughout that year unless a store is closed permanently or for an extended period during that fiscal year. In the third quarter of fiscal 2018, 37 stores were significantly impacted by hurricanes, mostly in Puerto Rico, and were excluded from comp sales. These stores will be included in the comp sales measures once they again meet the comp sales criteria.</w:t>
      </w:r>
    </w:p>
    <w:p>
      <w:pPr>
        <w:spacing w:after="0" w:line="74"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Comp sales of our foreign segments are calculated by translating the current year’s comp sales of our foreign segments at the same exchange rates used in the prior year. This removes the effect of changes in currency exchange rates, which we believe is a more accurate measure of segment operating performance.</w:t>
      </w:r>
    </w:p>
    <w:p>
      <w:pPr>
        <w:spacing w:after="0" w:line="73"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Comp sales may be referred to as “same store” sales by other retail companies. The method for calculating comp sales varies across the retail industry, therefore our measure of comp sales may not be comparable to other retail companies.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91" w:right="239" w:bottom="1440" w:gutter="0" w:footer="0" w:header="0"/>
        </w:sectPr>
      </w:pPr>
    </w:p>
    <w:bookmarkStart w:id="28" w:name="page29"/>
    <w:bookmarkEnd w:id="28"/>
    <w:p>
      <w:pPr>
        <w:ind w:right="160" w:firstLine="342"/>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 sales increases across all of our four segments for fiscal 2018 were primarily due to an increase in customer traffic. We also had an increase in the number of units sold, which was more than offset by a reduction in the average ticket. In fiscal 2018, home fashions and apparel both grew, with home fashions performing better than apparel. Geographically, in the U.S., the Southeast and the Southwest regions reported the highest comp sales increase, and the Northeast was below the consolidated average. In Canada, comp sales increases were well above the consolidated average and TJX International was at the consolidated average.</w:t>
      </w:r>
    </w:p>
    <w:p>
      <w:pPr>
        <w:spacing w:after="0" w:line="76" w:lineRule="exact"/>
        <w:rPr>
          <w:sz w:val="20"/>
          <w:szCs w:val="20"/>
          <w:color w:val="auto"/>
        </w:rPr>
      </w:pPr>
    </w:p>
    <w:p>
      <w:pPr>
        <w:ind w:right="100" w:firstLine="342"/>
        <w:spacing w:after="0" w:line="236" w:lineRule="auto"/>
        <w:rPr>
          <w:sz w:val="20"/>
          <w:szCs w:val="20"/>
          <w:color w:val="auto"/>
        </w:rPr>
      </w:pPr>
      <w:r>
        <w:rPr>
          <w:rFonts w:ascii="Arial" w:cs="Arial" w:eastAsia="Arial" w:hAnsi="Arial"/>
          <w:sz w:val="18"/>
          <w:szCs w:val="18"/>
          <w:color w:val="auto"/>
        </w:rPr>
        <w:t>Comp sales increases in the U.S. for fiscal 2017 were primarily due to an increase in customer traffic. We also had an increase in units sold, which was largely offset by a reduction in the average ticket. In fiscal 2017, home fashions performed better than apparel, but both recorded comp sales growth. Geographically, in the U.S., sales were strong in virtually all regions, with the Southeast and the Great Lakes regions reporting the highest comp sales growth. In Canada, comp sales increases were well above the consolidated average while TJX International was below the consolidated average.</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operating results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Fiscal Year 2018</w:t>
            </w:r>
          </w:p>
        </w:tc>
        <w:tc>
          <w:tcPr>
            <w:tcW w:w="22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Fiscal Year 2017</w:t>
            </w:r>
          </w:p>
        </w:tc>
        <w:tc>
          <w:tcPr>
            <w:tcW w:w="17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Fiscal Year 2016</w:t>
            </w: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52"/>
              <w:spacing w:after="0" w:line="196" w:lineRule="exact"/>
              <w:rPr>
                <w:sz w:val="20"/>
                <w:szCs w:val="20"/>
                <w:color w:val="auto"/>
              </w:rPr>
            </w:pPr>
            <w:r>
              <w:rPr>
                <w:rFonts w:ascii="Arial" w:cs="Arial" w:eastAsia="Arial" w:hAnsi="Arial"/>
                <w:sz w:val="18"/>
                <w:szCs w:val="18"/>
                <w:b w:val="1"/>
                <w:bCs w:val="1"/>
                <w:color w:val="auto"/>
              </w:rPr>
              <w:t>100.0%</w:t>
            </w: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Cost of sales, including buying and occupancy costs</w:t>
            </w:r>
          </w:p>
        </w:tc>
        <w:tc>
          <w:tcPr>
            <w:tcW w:w="1160" w:type="dxa"/>
            <w:vAlign w:val="bottom"/>
          </w:tcPr>
          <w:p>
            <w:pPr>
              <w:spacing w:after="0"/>
              <w:rPr>
                <w:sz w:val="17"/>
                <w:szCs w:val="17"/>
                <w:color w:val="auto"/>
              </w:rPr>
            </w:pPr>
          </w:p>
        </w:tc>
        <w:tc>
          <w:tcPr>
            <w:tcW w:w="1400" w:type="dxa"/>
            <w:vAlign w:val="bottom"/>
          </w:tcPr>
          <w:p>
            <w:pPr>
              <w:jc w:val="right"/>
              <w:ind w:right="612"/>
              <w:spacing w:after="0" w:line="202" w:lineRule="exact"/>
              <w:rPr>
                <w:sz w:val="20"/>
                <w:szCs w:val="20"/>
                <w:color w:val="auto"/>
              </w:rPr>
            </w:pPr>
            <w:r>
              <w:rPr>
                <w:rFonts w:ascii="Arial" w:cs="Arial" w:eastAsia="Arial" w:hAnsi="Arial"/>
                <w:sz w:val="18"/>
                <w:szCs w:val="18"/>
                <w:b w:val="1"/>
                <w:bCs w:val="1"/>
                <w:color w:val="auto"/>
              </w:rPr>
              <w:t>71.1</w:t>
            </w:r>
          </w:p>
        </w:tc>
        <w:tc>
          <w:tcPr>
            <w:tcW w:w="860" w:type="dxa"/>
            <w:vAlign w:val="bottom"/>
          </w:tcPr>
          <w:p>
            <w:pPr>
              <w:spacing w:after="0"/>
              <w:rPr>
                <w:sz w:val="17"/>
                <w:szCs w:val="17"/>
                <w:color w:val="auto"/>
              </w:rPr>
            </w:pPr>
          </w:p>
        </w:tc>
        <w:tc>
          <w:tcPr>
            <w:tcW w:w="136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71.0</w:t>
            </w:r>
          </w:p>
        </w:tc>
        <w:tc>
          <w:tcPr>
            <w:tcW w:w="8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71.2</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12"/>
              <w:spacing w:after="0" w:line="202" w:lineRule="exact"/>
              <w:rPr>
                <w:sz w:val="20"/>
                <w:szCs w:val="20"/>
                <w:color w:val="auto"/>
              </w:rPr>
            </w:pPr>
            <w:r>
              <w:rPr>
                <w:rFonts w:ascii="Arial" w:cs="Arial" w:eastAsia="Arial" w:hAnsi="Arial"/>
                <w:sz w:val="18"/>
                <w:szCs w:val="18"/>
                <w:b w:val="1"/>
                <w:bCs w:val="1"/>
                <w:color w:val="auto"/>
              </w:rPr>
              <w:t>17.8</w:t>
            </w: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17.4</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16.8</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Impairment of goodwill and other long-lived assets</w:t>
            </w:r>
          </w:p>
        </w:tc>
        <w:tc>
          <w:tcPr>
            <w:tcW w:w="1160" w:type="dxa"/>
            <w:vAlign w:val="bottom"/>
          </w:tcPr>
          <w:p>
            <w:pPr>
              <w:spacing w:after="0"/>
              <w:rPr>
                <w:sz w:val="17"/>
                <w:szCs w:val="17"/>
                <w:color w:val="auto"/>
              </w:rPr>
            </w:pPr>
          </w:p>
        </w:tc>
        <w:tc>
          <w:tcPr>
            <w:tcW w:w="1400" w:type="dxa"/>
            <w:vAlign w:val="bottom"/>
          </w:tcPr>
          <w:p>
            <w:pPr>
              <w:jc w:val="right"/>
              <w:ind w:right="612"/>
              <w:spacing w:after="0" w:line="202" w:lineRule="exact"/>
              <w:rPr>
                <w:sz w:val="20"/>
                <w:szCs w:val="20"/>
                <w:color w:val="auto"/>
              </w:rPr>
            </w:pPr>
            <w:r>
              <w:rPr>
                <w:rFonts w:ascii="Arial" w:cs="Arial" w:eastAsia="Arial" w:hAnsi="Arial"/>
                <w:sz w:val="18"/>
                <w:szCs w:val="18"/>
                <w:b w:val="1"/>
                <w:bCs w:val="1"/>
                <w:color w:val="auto"/>
              </w:rPr>
              <w:t>0.3</w:t>
            </w:r>
          </w:p>
        </w:tc>
        <w:tc>
          <w:tcPr>
            <w:tcW w:w="860" w:type="dxa"/>
            <w:vAlign w:val="bottom"/>
          </w:tcPr>
          <w:p>
            <w:pPr>
              <w:spacing w:after="0"/>
              <w:rPr>
                <w:sz w:val="17"/>
                <w:szCs w:val="17"/>
                <w:color w:val="auto"/>
              </w:rPr>
            </w:pPr>
          </w:p>
        </w:tc>
        <w:tc>
          <w:tcPr>
            <w:tcW w:w="136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0.2</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1160" w:type="dxa"/>
            <w:vAlign w:val="bottom"/>
          </w:tcPr>
          <w:p>
            <w:pPr>
              <w:spacing w:after="0"/>
              <w:rPr>
                <w:sz w:val="17"/>
                <w:szCs w:val="17"/>
                <w:color w:val="auto"/>
              </w:rPr>
            </w:pPr>
          </w:p>
        </w:tc>
        <w:tc>
          <w:tcPr>
            <w:tcW w:w="140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136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0.1</w:t>
            </w:r>
          </w:p>
        </w:tc>
        <w:tc>
          <w:tcPr>
            <w:tcW w:w="8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12"/>
              <w:spacing w:after="0" w:line="202" w:lineRule="exact"/>
              <w:rPr>
                <w:sz w:val="20"/>
                <w:szCs w:val="20"/>
                <w:color w:val="auto"/>
              </w:rPr>
            </w:pPr>
            <w:r>
              <w:rPr>
                <w:rFonts w:ascii="Arial" w:cs="Arial" w:eastAsia="Arial" w:hAnsi="Arial"/>
                <w:sz w:val="18"/>
                <w:szCs w:val="18"/>
                <w:b w:val="1"/>
                <w:bCs w:val="1"/>
                <w:color w:val="auto"/>
              </w:rPr>
              <w:t>0.1</w:t>
            </w: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0.1</w:t>
            </w:r>
          </w:p>
        </w:tc>
        <w:tc>
          <w:tcPr>
            <w:tcW w:w="8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0.1</w:t>
            </w:r>
          </w:p>
        </w:tc>
      </w:tr>
      <w:tr>
        <w:trPr>
          <w:trHeight w:val="196"/>
        </w:trPr>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1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52"/>
              <w:spacing w:after="0" w:line="196" w:lineRule="exact"/>
              <w:rPr>
                <w:sz w:val="20"/>
                <w:szCs w:val="20"/>
                <w:color w:val="auto"/>
              </w:rPr>
            </w:pPr>
            <w:r>
              <w:rPr>
                <w:rFonts w:ascii="Arial" w:cs="Arial" w:eastAsia="Arial" w:hAnsi="Arial"/>
                <w:sz w:val="18"/>
                <w:szCs w:val="18"/>
                <w:b w:val="1"/>
                <w:bCs w:val="1"/>
                <w:color w:val="auto"/>
              </w:rPr>
              <w:t>10.8%</w:t>
            </w: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2"/>
              <w:spacing w:after="0" w:line="196" w:lineRule="exact"/>
              <w:rPr>
                <w:sz w:val="20"/>
                <w:szCs w:val="20"/>
                <w:color w:val="auto"/>
              </w:rPr>
            </w:pPr>
            <w:r>
              <w:rPr>
                <w:rFonts w:ascii="Arial" w:cs="Arial" w:eastAsia="Arial" w:hAnsi="Arial"/>
                <w:sz w:val="18"/>
                <w:szCs w:val="18"/>
                <w:color w:val="auto"/>
              </w:rPr>
              <w:t>11.2%</w:t>
            </w: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4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1160" w:type="dxa"/>
            <w:vAlign w:val="bottom"/>
            <w:tcBorders>
              <w:bottom w:val="single" w:sz="8" w:color="auto"/>
            </w:tcBorders>
            <w:shd w:val="clear" w:color="auto" w:fill="CCEEFF"/>
          </w:tcPr>
          <w:p>
            <w:pPr>
              <w:ind w:left="82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612"/>
              <w:spacing w:after="0" w:line="196" w:lineRule="exact"/>
              <w:rPr>
                <w:sz w:val="20"/>
                <w:szCs w:val="20"/>
                <w:color w:val="auto"/>
              </w:rPr>
            </w:pPr>
            <w:r>
              <w:rPr>
                <w:rFonts w:ascii="Arial" w:cs="Arial" w:eastAsia="Arial" w:hAnsi="Arial"/>
                <w:sz w:val="18"/>
                <w:szCs w:val="18"/>
                <w:b w:val="1"/>
                <w:bCs w:val="1"/>
                <w:color w:val="auto"/>
              </w:rPr>
              <w:t>4.04</w:t>
            </w:r>
          </w:p>
        </w:tc>
        <w:tc>
          <w:tcPr>
            <w:tcW w:w="86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592"/>
              <w:spacing w:after="0" w:line="196" w:lineRule="exact"/>
              <w:rPr>
                <w:sz w:val="20"/>
                <w:szCs w:val="20"/>
                <w:color w:val="auto"/>
              </w:rPr>
            </w:pPr>
            <w:r>
              <w:rPr>
                <w:rFonts w:ascii="Arial" w:cs="Arial" w:eastAsia="Arial" w:hAnsi="Arial"/>
                <w:sz w:val="18"/>
                <w:szCs w:val="18"/>
                <w:color w:val="auto"/>
              </w:rPr>
              <w:t>3.46</w:t>
            </w:r>
          </w:p>
        </w:tc>
        <w:tc>
          <w:tcPr>
            <w:tcW w:w="88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3.33</w:t>
            </w:r>
          </w:p>
        </w:tc>
      </w:tr>
    </w:tbl>
    <w:p>
      <w:pPr>
        <w:spacing w:after="0" w:line="8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Figures may not foot due to rounding.</w:t>
      </w:r>
    </w:p>
    <w:p>
      <w:pPr>
        <w:spacing w:after="0" w:line="50" w:lineRule="exact"/>
        <w:rPr>
          <w:sz w:val="20"/>
          <w:szCs w:val="20"/>
          <w:color w:val="auto"/>
        </w:rPr>
      </w:pPr>
    </w:p>
    <w:p>
      <w:pPr>
        <w:ind w:right="60" w:firstLine="342"/>
        <w:spacing w:after="0" w:line="249" w:lineRule="auto"/>
        <w:rPr>
          <w:sz w:val="20"/>
          <w:szCs w:val="20"/>
          <w:color w:val="auto"/>
        </w:rPr>
      </w:pPr>
      <w:r>
        <w:rPr>
          <w:rFonts w:ascii="Arial" w:cs="Arial" w:eastAsia="Arial" w:hAnsi="Arial"/>
          <w:sz w:val="18"/>
          <w:szCs w:val="18"/>
          <w:b w:val="1"/>
          <w:bCs w:val="1"/>
          <w:i w:val="1"/>
          <w:iCs w:val="1"/>
          <w:color w:val="auto"/>
        </w:rPr>
        <w:t>Impact of foreign currency exchange rates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operating results are affected by foreign currency exchange rates as a result of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value of the U.S. dollar or a division’s local currency in relation to other currencies. Two ways in which foreign currency exchange rates affect our reported results are as follows:</w:t>
      </w:r>
    </w:p>
    <w:p>
      <w:pPr>
        <w:spacing w:after="0" w:line="49" w:lineRule="exact"/>
        <w:rPr>
          <w:sz w:val="20"/>
          <w:szCs w:val="20"/>
          <w:color w:val="auto"/>
        </w:rPr>
      </w:pPr>
    </w:p>
    <w:p>
      <w:pPr>
        <w:ind w:left="660" w:right="100" w:hanging="324"/>
        <w:spacing w:after="0" w:line="23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of foreign operating results into U.S. dollars:</w:t>
      </w:r>
      <w:r>
        <w:rPr>
          <w:rFonts w:ascii="Arial" w:cs="Arial" w:eastAsia="Arial" w:hAnsi="Arial"/>
          <w:sz w:val="18"/>
          <w:szCs w:val="18"/>
          <w:color w:val="auto"/>
        </w:rPr>
        <w:t xml:space="preserve"> In our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consolidated net sales, net income and earnings per share growth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spacing w:after="0" w:line="59" w:lineRule="exact"/>
        <w:rPr>
          <w:sz w:val="20"/>
          <w:szCs w:val="20"/>
          <w:color w:val="auto"/>
        </w:rPr>
      </w:pPr>
    </w:p>
    <w:p>
      <w:pPr>
        <w:ind w:left="660" w:right="80" w:hanging="324"/>
        <w:spacing w:after="0" w:line="23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Inventory-related derivatives:</w:t>
      </w:r>
      <w:r>
        <w:rPr>
          <w:rFonts w:ascii="Arial" w:cs="Arial" w:eastAsia="Arial" w:hAnsi="Arial"/>
          <w:sz w:val="18"/>
          <w:szCs w:val="18"/>
          <w:color w:val="auto"/>
        </w:rPr>
        <w:t xml:space="preserve"> 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received and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spacing w:after="0" w:line="75" w:lineRule="exact"/>
        <w:rPr>
          <w:sz w:val="20"/>
          <w:szCs w:val="20"/>
          <w:color w:val="auto"/>
        </w:rPr>
      </w:pPr>
    </w:p>
    <w:p>
      <w:pPr>
        <w:ind w:right="500" w:firstLine="342"/>
        <w:spacing w:after="0" w:line="239" w:lineRule="auto"/>
        <w:rPr>
          <w:sz w:val="20"/>
          <w:szCs w:val="20"/>
          <w:color w:val="auto"/>
        </w:rPr>
      </w:pPr>
      <w:r>
        <w:rPr>
          <w:rFonts w:ascii="Arial" w:cs="Arial" w:eastAsia="Arial" w:hAnsi="Arial"/>
          <w:sz w:val="18"/>
          <w:szCs w:val="18"/>
          <w:color w:val="auto"/>
        </w:rPr>
        <w:t>We refer to the impact of the above two items throughout our discussion as “foreign currency.” This does not include the impact currency exchange rates can have on various transactions that are denominated in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91" w:right="239" w:bottom="1440" w:gutter="0" w:footer="0" w:header="0"/>
        </w:sectPr>
      </w:pPr>
    </w:p>
    <w:bookmarkStart w:id="29" w:name="page30"/>
    <w:bookmarkEnd w:id="29"/>
    <w:p>
      <w:pPr>
        <w:ind w:right="2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other than an operating division’s local currency. When discussing the impact on our results of the effect of currency exchange rates on such transactions we refer to it as “transactional foreign exchange.”</w:t>
      </w:r>
    </w:p>
    <w:p>
      <w:pPr>
        <w:spacing w:after="0" w:line="13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Cost of sales, including buying and occupancy costs: </w:t>
      </w:r>
      <w:r>
        <w:rPr>
          <w:rFonts w:ascii="Arial" w:cs="Arial" w:eastAsia="Arial" w:hAnsi="Arial"/>
          <w:sz w:val="18"/>
          <w:szCs w:val="18"/>
          <w:color w:val="auto"/>
        </w:rPr>
        <w:t>Cost of sales, including buying and occupancy costs, as a percentage of net sales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71.1% in fiscal 2018 compared to 71.0% in fiscal 2017 and 71.2% in fiscal 2016. The increase in this expense ratio during fiscal 2018 was driven by higher supply chain costs as we continue to invest and open new distribution centers. This was offset by the favorable impact of mark-to-market of inventory derivatives that benefitted expense ratio by approximately 0.1 percentage point as well as an estimated 0.1 percentage point benefit from the 53rd week in the Company’s fiscal 2018 calendar. Merchandise margin was flat to fiscal 2017.</w:t>
      </w:r>
    </w:p>
    <w:p>
      <w:pPr>
        <w:spacing w:after="0" w:line="75"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The improvement in the fiscal 2017 expense ratio was driven by an increase in our merchandise margin along with leverage on buying and occupancy costs as a result of the 5% comp sales increase. Together these two items benefitted the fiscal 2017 expense ratio by approximately 0.5 percentage points. Merchandise margin improved despite the continued pressure transactional foreign exchange had on the cost of merchandise at our foreign segments this year versus the prior year. Although not as significant as in fiscal 2016, the change in exchange rates continued to impact the cost of merchandise that was denominated in currencies other than our foreign segments’ local currency, primarily the U.S. dollar. These improvements were partially offset by higher supply chain costs and the negative impact of the mark-to-market of inventory derivatives.</w:t>
      </w:r>
    </w:p>
    <w:p>
      <w:pPr>
        <w:spacing w:after="0" w:line="54" w:lineRule="exact"/>
        <w:rPr>
          <w:sz w:val="20"/>
          <w:szCs w:val="20"/>
          <w:color w:val="auto"/>
        </w:rPr>
      </w:pPr>
    </w:p>
    <w:p>
      <w:pPr>
        <w:ind w:right="120" w:firstLine="342"/>
        <w:spacing w:after="0" w:line="248" w:lineRule="auto"/>
        <w:rPr>
          <w:sz w:val="20"/>
          <w:szCs w:val="20"/>
          <w:color w:val="auto"/>
        </w:rPr>
      </w:pPr>
      <w:r>
        <w:rPr>
          <w:rFonts w:ascii="Arial" w:cs="Arial" w:eastAsia="Arial" w:hAnsi="Arial"/>
          <w:sz w:val="18"/>
          <w:szCs w:val="18"/>
          <w:b w:val="1"/>
          <w:bCs w:val="1"/>
          <w:i w:val="1"/>
          <w:iCs w:val="1"/>
          <w:color w:val="auto"/>
        </w:rPr>
        <w:t xml:space="preserve">SG&amp;A: </w:t>
      </w:r>
      <w:r>
        <w:rPr>
          <w:rFonts w:ascii="Arial" w:cs="Arial" w:eastAsia="Arial" w:hAnsi="Arial"/>
          <w:sz w:val="18"/>
          <w:szCs w:val="18"/>
          <w:color w:val="auto"/>
        </w:rPr>
        <w:t>SG&amp;A expenses as a percentage of net sales were 17.8% in fiscal 2018, 17.4% in fiscal 2017 and 16.8% in fiscal 2016. The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expense ratio increased by 0.3 percentage points due to the incremental investments related to the 2017 Tax Act. The remaining increase in fiscal 2018 was primarily due to higher employee payroll costs due to wage increases.</w:t>
      </w:r>
    </w:p>
    <w:p>
      <w:pPr>
        <w:spacing w:after="0" w:line="67" w:lineRule="exact"/>
        <w:rPr>
          <w:sz w:val="20"/>
          <w:szCs w:val="20"/>
          <w:color w:val="auto"/>
        </w:rPr>
      </w:pPr>
    </w:p>
    <w:p>
      <w:pPr>
        <w:ind w:right="320" w:firstLine="342"/>
        <w:spacing w:after="0" w:line="238" w:lineRule="auto"/>
        <w:rPr>
          <w:sz w:val="20"/>
          <w:szCs w:val="20"/>
          <w:color w:val="auto"/>
        </w:rPr>
      </w:pPr>
      <w:r>
        <w:rPr>
          <w:rFonts w:ascii="Arial" w:cs="Arial" w:eastAsia="Arial" w:hAnsi="Arial"/>
          <w:sz w:val="18"/>
          <w:szCs w:val="18"/>
          <w:color w:val="auto"/>
        </w:rPr>
        <w:t>The increase in this ratio in fiscal 2017 was primarily due to a combination of higher employee payroll costs, due to wage increases and investments to support our growth and supply chain costs, partially offset by the favorable impact of reduced contributions to the TJX charitable foundations in fiscal 2017 as compared to fiscal 2016.</w:t>
      </w:r>
    </w:p>
    <w:p>
      <w:pPr>
        <w:spacing w:after="0" w:line="53" w:lineRule="exact"/>
        <w:rPr>
          <w:sz w:val="20"/>
          <w:szCs w:val="20"/>
          <w:color w:val="auto"/>
        </w:rPr>
      </w:pPr>
    </w:p>
    <w:p>
      <w:pPr>
        <w:ind w:right="20" w:firstLine="342"/>
        <w:spacing w:after="0" w:line="241" w:lineRule="auto"/>
        <w:rPr>
          <w:sz w:val="20"/>
          <w:szCs w:val="20"/>
          <w:color w:val="auto"/>
        </w:rPr>
      </w:pPr>
      <w:r>
        <w:rPr>
          <w:rFonts w:ascii="Arial" w:cs="Arial" w:eastAsia="Arial" w:hAnsi="Arial"/>
          <w:sz w:val="18"/>
          <w:szCs w:val="18"/>
          <w:b w:val="1"/>
          <w:bCs w:val="1"/>
          <w:i w:val="1"/>
          <w:iCs w:val="1"/>
          <w:color w:val="auto"/>
        </w:rPr>
        <w:t xml:space="preserve">Impairment of goodwill and other long-lived assets, related to STP: </w:t>
      </w:r>
      <w:r>
        <w:rPr>
          <w:rFonts w:ascii="Arial" w:cs="Arial" w:eastAsia="Arial" w:hAnsi="Arial"/>
          <w:sz w:val="18"/>
          <w:szCs w:val="18"/>
          <w:color w:val="auto"/>
        </w:rPr>
        <w:t>Our fiscal 2018 results included a $99.3 million impairment charge,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goodwill, as the estimated fair value of STP fell below the carrying value due to a decrease in projected revenue growth rates. The impairment charge is included in the Marmaxx segment. As we continue transitioning this business to an off-price model, we saw improvement in the top line during the second half of fiscal 2018. We remain confident in the potential of STP and believe we are positioned for successful growth going forward.</w:t>
      </w:r>
    </w:p>
    <w:p>
      <w:pPr>
        <w:spacing w:after="0" w:line="55" w:lineRule="exact"/>
        <w:rPr>
          <w:sz w:val="20"/>
          <w:szCs w:val="20"/>
          <w:color w:val="auto"/>
        </w:rPr>
      </w:pPr>
    </w:p>
    <w:p>
      <w:pPr>
        <w:ind w:right="320" w:firstLine="342"/>
        <w:spacing w:after="0" w:line="248" w:lineRule="auto"/>
        <w:rPr>
          <w:sz w:val="20"/>
          <w:szCs w:val="20"/>
          <w:color w:val="auto"/>
        </w:rPr>
      </w:pPr>
      <w:r>
        <w:rPr>
          <w:rFonts w:ascii="Arial" w:cs="Arial" w:eastAsia="Arial" w:hAnsi="Arial"/>
          <w:sz w:val="18"/>
          <w:szCs w:val="18"/>
          <w:b w:val="1"/>
          <w:bCs w:val="1"/>
          <w:i w:val="1"/>
          <w:iCs w:val="1"/>
          <w:color w:val="auto"/>
        </w:rPr>
        <w:t xml:space="preserve">Loss on early extinguishment of debt: </w:t>
      </w:r>
      <w:r>
        <w:rPr>
          <w:rFonts w:ascii="Arial" w:cs="Arial" w:eastAsia="Arial" w:hAnsi="Arial"/>
          <w:sz w:val="18"/>
          <w:szCs w:val="18"/>
          <w:color w:val="auto"/>
        </w:rPr>
        <w:t>During the fiscal 2017 third quarter, we issued $1.0 billion of 2.25% ten-year notes. We used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proceeds to redeem our $375 million 6.95% notes on October 12, 2016, prior to their scheduled maturity of April 15, 2019 and we recorded a pre-tax loss on the early extinguishment of debt of $51.8 million.</w:t>
      </w:r>
    </w:p>
    <w:p>
      <w:pPr>
        <w:spacing w:after="0" w:line="47" w:lineRule="exact"/>
        <w:rPr>
          <w:sz w:val="20"/>
          <w:szCs w:val="20"/>
          <w:color w:val="auto"/>
        </w:rPr>
      </w:pPr>
    </w:p>
    <w:p>
      <w:pPr>
        <w:ind w:right="120" w:firstLine="342"/>
        <w:spacing w:after="0" w:line="244" w:lineRule="auto"/>
        <w:rPr>
          <w:sz w:val="20"/>
          <w:szCs w:val="20"/>
          <w:color w:val="auto"/>
        </w:rPr>
      </w:pPr>
      <w:r>
        <w:rPr>
          <w:rFonts w:ascii="Arial" w:cs="Arial" w:eastAsia="Arial" w:hAnsi="Arial"/>
          <w:sz w:val="18"/>
          <w:szCs w:val="18"/>
          <w:b w:val="1"/>
          <w:bCs w:val="1"/>
          <w:i w:val="1"/>
          <w:iCs w:val="1"/>
          <w:color w:val="auto"/>
        </w:rPr>
        <w:t xml:space="preserve">Pension settlement charge: </w:t>
      </w:r>
      <w:r>
        <w:rPr>
          <w:rFonts w:ascii="Arial" w:cs="Arial" w:eastAsia="Arial" w:hAnsi="Arial"/>
          <w:sz w:val="18"/>
          <w:szCs w:val="18"/>
          <w:color w:val="auto"/>
        </w:rPr>
        <w:t>During the fiscal 2017 third quarter, we offered eligible former TJX Associates, who had not yet commenced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receiving their qualified pension plan benefit, an opportunity to receive a lump sum payout of their vested pension benefit. As a result, TJX’s qualified pension plan paid $103.2 million from pension plan assets to those who accepted this offer. This transaction had no cash impact on TJX, but did result in a non-cash pre-tax settlement charge of $31.2 million.</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last three fiscal years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Fiscal Year Ended</w:t>
            </w:r>
          </w:p>
        </w:tc>
        <w:tc>
          <w:tcPr>
            <w:tcW w:w="1000" w:type="dxa"/>
            <w:vAlign w:val="bottom"/>
            <w:tcBorders>
              <w:bottom w:val="single" w:sz="8" w:color="auto"/>
            </w:tcBorders>
          </w:tcPr>
          <w:p>
            <w:pPr>
              <w:spacing w:after="0"/>
              <w:rPr>
                <w:sz w:val="14"/>
                <w:szCs w:val="14"/>
                <w:color w:val="auto"/>
              </w:rPr>
            </w:pPr>
          </w:p>
        </w:tc>
      </w:tr>
      <w:tr>
        <w:trPr>
          <w:trHeight w:val="125"/>
        </w:trPr>
        <w:tc>
          <w:tcPr>
            <w:tcW w:w="36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60" w:type="dxa"/>
            <w:vAlign w:val="bottom"/>
            <w:gridSpan w:val="2"/>
          </w:tcPr>
          <w:p>
            <w:pPr>
              <w:ind w:left="440"/>
              <w:spacing w:after="0" w:line="125" w:lineRule="exact"/>
              <w:rPr>
                <w:sz w:val="20"/>
                <w:szCs w:val="20"/>
                <w:color w:val="auto"/>
              </w:rPr>
            </w:pPr>
            <w:r>
              <w:rPr>
                <w:rFonts w:ascii="Arial" w:cs="Arial" w:eastAsia="Arial" w:hAnsi="Arial"/>
                <w:sz w:val="14"/>
                <w:szCs w:val="14"/>
                <w:b w:val="1"/>
                <w:bCs w:val="1"/>
                <w:color w:val="auto"/>
              </w:rPr>
              <w:t>February 3,</w:t>
            </w:r>
          </w:p>
        </w:tc>
        <w:tc>
          <w:tcPr>
            <w:tcW w:w="1420" w:type="dxa"/>
            <w:vAlign w:val="bottom"/>
          </w:tcPr>
          <w:p>
            <w:pPr>
              <w:jc w:val="right"/>
              <w:ind w:right="281"/>
              <w:spacing w:after="0" w:line="125" w:lineRule="exact"/>
              <w:rPr>
                <w:sz w:val="20"/>
                <w:szCs w:val="20"/>
                <w:color w:val="auto"/>
              </w:rPr>
            </w:pPr>
            <w:r>
              <w:rPr>
                <w:rFonts w:ascii="Arial" w:cs="Arial" w:eastAsia="Arial" w:hAnsi="Arial"/>
                <w:sz w:val="14"/>
                <w:szCs w:val="14"/>
                <w:color w:val="auto"/>
              </w:rPr>
              <w:t>January 28,</w:t>
            </w:r>
          </w:p>
        </w:tc>
        <w:tc>
          <w:tcPr>
            <w:tcW w:w="1000" w:type="dxa"/>
            <w:vAlign w:val="bottom"/>
          </w:tcPr>
          <w:p>
            <w:pPr>
              <w:jc w:val="right"/>
              <w:ind w:right="19"/>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4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2016</w:t>
            </w: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4540" w:type="dxa"/>
            <w:vAlign w:val="bottom"/>
            <w:gridSpan w:val="2"/>
            <w:shd w:val="clear" w:color="auto" w:fill="CCEEFF"/>
          </w:tcPr>
          <w:p>
            <w:pPr>
              <w:ind w:left="4440"/>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b w:val="1"/>
                <w:bCs w:val="1"/>
                <w:color w:val="auto"/>
              </w:rPr>
              <w:t>69,237</w:t>
            </w:r>
          </w:p>
        </w:tc>
        <w:tc>
          <w:tcPr>
            <w:tcW w:w="1420" w:type="dxa"/>
            <w:vAlign w:val="bottom"/>
            <w:shd w:val="clear" w:color="auto" w:fill="CCEEFF"/>
          </w:tcPr>
          <w:p>
            <w:pPr>
              <w:jc w:val="right"/>
              <w:ind w:right="281"/>
              <w:spacing w:after="0" w:line="196" w:lineRule="exact"/>
              <w:rPr>
                <w:sz w:val="20"/>
                <w:szCs w:val="20"/>
                <w:color w:val="auto"/>
              </w:rPr>
            </w:pPr>
            <w:r>
              <w:rPr>
                <w:rFonts w:ascii="Arial" w:cs="Arial" w:eastAsia="Arial" w:hAnsi="Arial"/>
                <w:sz w:val="18"/>
                <w:szCs w:val="18"/>
                <w:color w:val="auto"/>
              </w:rPr>
              <w:t>$ 69,219</w:t>
            </w:r>
          </w:p>
        </w:tc>
        <w:tc>
          <w:tcPr>
            <w:tcW w:w="10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$ 68,253</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Capitalized interest</w:t>
            </w:r>
          </w:p>
        </w:tc>
        <w:tc>
          <w:tcPr>
            <w:tcW w:w="4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(4,942)</w:t>
            </w:r>
          </w:p>
        </w:tc>
        <w:tc>
          <w:tcPr>
            <w:tcW w:w="142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(7,548)</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(7,984)</w:t>
            </w:r>
          </w:p>
        </w:tc>
      </w:tr>
      <w:tr>
        <w:trPr>
          <w:trHeight w:val="203"/>
        </w:trPr>
        <w:tc>
          <w:tcPr>
            <w:tcW w:w="3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w w:val="98"/>
              </w:rPr>
              <w:t>(32,707)</w:t>
            </w:r>
          </w:p>
        </w:tc>
        <w:tc>
          <w:tcPr>
            <w:tcW w:w="1420" w:type="dxa"/>
            <w:vAlign w:val="bottom"/>
            <w:tcBorders>
              <w:bottom w:val="single" w:sz="8" w:color="auto"/>
            </w:tcBorders>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(18,137)</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(13,869)</w:t>
            </w:r>
          </w:p>
        </w:tc>
      </w:tr>
      <w:tr>
        <w:trPr>
          <w:trHeight w:val="196"/>
        </w:trPr>
        <w:tc>
          <w:tcPr>
            <w:tcW w:w="3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Interest expense, net</w:t>
            </w:r>
          </w:p>
        </w:tc>
        <w:tc>
          <w:tcPr>
            <w:tcW w:w="4540" w:type="dxa"/>
            <w:vAlign w:val="bottom"/>
            <w:tcBorders>
              <w:bottom w:val="single" w:sz="8" w:color="auto"/>
            </w:tcBorders>
            <w:gridSpan w:val="2"/>
          </w:tcPr>
          <w:p>
            <w:pPr>
              <w:ind w:left="4440"/>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31,588</w:t>
            </w:r>
          </w:p>
        </w:tc>
        <w:tc>
          <w:tcPr>
            <w:tcW w:w="142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18"/>
                <w:szCs w:val="18"/>
                <w:color w:val="auto"/>
              </w:rPr>
              <w:t>$ 43,534</w:t>
            </w:r>
          </w:p>
        </w:tc>
        <w:tc>
          <w:tcPr>
            <w:tcW w:w="10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$ 46,400</w:t>
            </w:r>
          </w:p>
        </w:tc>
      </w:tr>
      <w:tr>
        <w:trPr>
          <w:trHeight w:val="356"/>
        </w:trPr>
        <w:tc>
          <w:tcPr>
            <w:tcW w:w="3640" w:type="dxa"/>
            <w:vAlign w:val="bottom"/>
          </w:tcPr>
          <w:p>
            <w:pPr>
              <w:spacing w:after="0"/>
              <w:rPr>
                <w:sz w:val="24"/>
                <w:szCs w:val="24"/>
                <w:color w:val="auto"/>
              </w:rPr>
            </w:pPr>
          </w:p>
        </w:tc>
        <w:tc>
          <w:tcPr>
            <w:tcW w:w="4000" w:type="dxa"/>
            <w:vAlign w:val="bottom"/>
          </w:tcPr>
          <w:p>
            <w:pPr>
              <w:jc w:val="right"/>
              <w:ind w:right="1732"/>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30" w:name="page31"/>
    <w:bookmarkEnd w:id="30"/>
    <w:p>
      <w:pPr>
        <w:ind w:right="120" w:firstLine="342"/>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decrease in interest expense, net for fiscal 2018 and fiscal 2017 was driven by additional interest income, primarily due to an increase in invested balances and higher return rates.</w:t>
      </w:r>
    </w:p>
    <w:p>
      <w:pPr>
        <w:spacing w:after="0" w:line="54" w:lineRule="exact"/>
        <w:rPr>
          <w:sz w:val="20"/>
          <w:szCs w:val="20"/>
          <w:color w:val="auto"/>
        </w:rPr>
      </w:pPr>
    </w:p>
    <w:p>
      <w:pPr>
        <w:ind w:right="20" w:firstLine="342"/>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annual income tax rate was 32.4% in fiscal 2018, 38.3% in fiscal 2017 and 37.7% in fiscal 2016. The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effective income tax rate in fiscal 2018 was primarily due to the favorable effect of the 2017 Tax Act, excess tax benefit from share-based compensation attributable to the adoption of </w:t>
      </w:r>
      <w:r>
        <w:rPr>
          <w:rFonts w:ascii="Arial" w:cs="Arial" w:eastAsia="Arial" w:hAnsi="Arial"/>
          <w:sz w:val="18"/>
          <w:szCs w:val="18"/>
          <w:i w:val="1"/>
          <w:iCs w:val="1"/>
          <w:color w:val="auto"/>
        </w:rPr>
        <w:t>ASU 2016-09- Compensation- Stock Compensation (Topic 718): Improvements to Employee Share-Based Payment Accounting</w:t>
      </w:r>
      <w:r>
        <w:rPr>
          <w:rFonts w:ascii="Arial" w:cs="Arial" w:eastAsia="Arial" w:hAnsi="Arial"/>
          <w:sz w:val="18"/>
          <w:szCs w:val="18"/>
          <w:color w:val="auto"/>
        </w:rPr>
        <w:t>, and the jurisdictional mix of income. The increase in the fiscal 2017 income tax rate was due to the jurisdictional mix</w:t>
      </w:r>
      <w:r>
        <w:rPr>
          <w:rFonts w:ascii="Arial" w:cs="Arial" w:eastAsia="Arial" w:hAnsi="Arial"/>
          <w:sz w:val="18"/>
          <w:szCs w:val="18"/>
          <w:i w:val="1"/>
          <w:iCs w:val="1"/>
          <w:color w:val="auto"/>
        </w:rPr>
        <w:t xml:space="preserve"> </w:t>
      </w:r>
      <w:r>
        <w:rPr>
          <w:rFonts w:ascii="Arial" w:cs="Arial" w:eastAsia="Arial" w:hAnsi="Arial"/>
          <w:sz w:val="18"/>
          <w:szCs w:val="18"/>
          <w:color w:val="auto"/>
        </w:rPr>
        <w:t>of income and the valuation allowance on foreign net operating losses. In addition, the fiscal 2016 effective income tax rates benefitted from a reduction in our reserve for uncertain tax positions related to our adoption of the new Tangible Property Regulations.</w:t>
      </w:r>
    </w:p>
    <w:p>
      <w:pPr>
        <w:spacing w:after="0" w:line="7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2017 Tax Act made broad and complex changes to the U.S. tax code which impacted fiscal 2018 including, but not limited to, reducing the U.S. federal corporate tax rate from 35% to 21% and requiring a one-time transition tax on certain undistributed earnings of foreign subsidiaries. The provisional tax benefit of the 2017 Tax Act is based on currently available information and interpretations, which are continuing to evolve. We will continue to analyze additional information and guidance related to the 2017 Tax Act as supplemental legislation, regulatory guidance, or evolving technical interpretations become available. The final impacts may differ from the recorded amounts as of February 3, 2018, and we will continue to refine such amounts within the measurement period provided by Staff Accounting Bulletin No. 118. We expect to complete our analysis no later than the fourth quarter of fiscal 2019.</w:t>
      </w:r>
    </w:p>
    <w:p>
      <w:pPr>
        <w:spacing w:after="0" w:line="54"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b w:val="1"/>
          <w:bCs w:val="1"/>
          <w:i w:val="1"/>
          <w:iCs w:val="1"/>
          <w:color w:val="auto"/>
        </w:rPr>
        <w:t xml:space="preserve">Net income and diluted earnings per share: </w:t>
      </w:r>
      <w:r>
        <w:rPr>
          <w:rFonts w:ascii="Arial" w:cs="Arial" w:eastAsia="Arial" w:hAnsi="Arial"/>
          <w:sz w:val="18"/>
          <w:szCs w:val="18"/>
          <w:color w:val="auto"/>
        </w:rPr>
        <w:t>Net income was $2.6 billion in fiscal 2018 compared to $2.3 billion in both fiscal 2017 and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Diluted earnings per share were $4.04 in fiscal 2018, $3.46 in fiscal 2017 and $3.33 in fiscal 2016. The tax benefits recognized due to the 2017 Tax Act, offset by the after-tax impact of the incremental investments related to the 2017 Tax Act, resulted in a net benefit to diluted earnings per share of $0.17 per share. The impairment charge related to STP reduced fiscal 2018 diluted earnings per share by $0.10 per share while the 53rd week in the fiscal 2018 calendar provided a benefit of approximately $0.11 per share. Foreign currency exchange rates had a $0.02 positive impact on earnings per share in fiscal 2018 when compared to fiscal 2017, and a $0.07 negative impact in fiscal 2017 when compared to fiscal 2016. During the third quarter of fiscal 2017, we incurred charges from the loss on early extinguishment of debt and the pension settlement, collectively reducing fiscal 2017 net income by $50 million, or $0.07 per share.</w:t>
      </w:r>
    </w:p>
    <w:p>
      <w:pPr>
        <w:spacing w:after="0" w:line="80" w:lineRule="exact"/>
        <w:rPr>
          <w:sz w:val="20"/>
          <w:szCs w:val="20"/>
          <w:color w:val="auto"/>
        </w:rPr>
      </w:pPr>
    </w:p>
    <w:p>
      <w:pPr>
        <w:jc w:val="both"/>
        <w:ind w:right="140" w:firstLine="342"/>
        <w:spacing w:after="0" w:line="238" w:lineRule="auto"/>
        <w:rPr>
          <w:sz w:val="20"/>
          <w:szCs w:val="20"/>
          <w:color w:val="auto"/>
        </w:rPr>
      </w:pPr>
      <w:r>
        <w:rPr>
          <w:rFonts w:ascii="Arial" w:cs="Arial" w:eastAsia="Arial" w:hAnsi="Arial"/>
          <w:sz w:val="18"/>
          <w:szCs w:val="18"/>
          <w:color w:val="auto"/>
        </w:rPr>
        <w:t>Our stock repurchase programs, which reduce our weighted average diluted shares outstanding, benefited our earnings per share growth by approximately 3% in each fiscal year presented. We repurchased 22.3 million shares of our stock at a cost of $1.7 billion in both fiscal 2018 and fiscal 2017, and 26.5 million shares of our stock at a cost of $1.8 billion in fiscal 2016.</w:t>
      </w:r>
    </w:p>
    <w:p>
      <w:pPr>
        <w:spacing w:after="0" w:line="53" w:lineRule="exact"/>
        <w:rPr>
          <w:sz w:val="20"/>
          <w:szCs w:val="20"/>
          <w:color w:val="auto"/>
        </w:rPr>
      </w:pPr>
    </w:p>
    <w:p>
      <w:pPr>
        <w:ind w:firstLine="342"/>
        <w:spacing w:after="0" w:line="241" w:lineRule="auto"/>
        <w:rPr>
          <w:sz w:val="20"/>
          <w:szCs w:val="20"/>
          <w:color w:val="auto"/>
        </w:rPr>
      </w:pPr>
      <w:r>
        <w:rPr>
          <w:rFonts w:ascii="Arial" w:cs="Arial" w:eastAsia="Arial" w:hAnsi="Arial"/>
          <w:sz w:val="18"/>
          <w:szCs w:val="18"/>
          <w:b w:val="1"/>
          <w:bCs w:val="1"/>
          <w:i w:val="1"/>
          <w:iCs w:val="1"/>
          <w:color w:val="auto"/>
        </w:rPr>
        <w:t xml:space="preserve">Segment information: </w:t>
      </w:r>
      <w:r>
        <w:rPr>
          <w:rFonts w:ascii="Arial" w:cs="Arial" w:eastAsia="Arial" w:hAnsi="Arial"/>
          <w:sz w:val="18"/>
          <w:szCs w:val="18"/>
          <w:color w:val="auto"/>
        </w:rPr>
        <w:t>We operate four main business segments. Our Marmaxx segment (T.J. Maxx, Marshalls and tjmaxx.com)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HomeGoods segment (HomeGoods and Homesense) both operate in the United States. Our TJX Canada segment operates Winners, HomeSense and Marshalls in Canada, and our TJX International segment operates T.K. Maxx, Homesense and tkmaxx.com in Europe and T.K. Maxx in Australia. We also operate STP, an off-price Internet retailer that operates sierratradingpost.com and retail stores in the U.S. The results of STP have been included in our Marmaxx segment.</w:t>
      </w:r>
    </w:p>
    <w:p>
      <w:pPr>
        <w:spacing w:after="0" w:line="75" w:lineRule="exact"/>
        <w:rPr>
          <w:sz w:val="20"/>
          <w:szCs w:val="20"/>
          <w:color w:val="auto"/>
        </w:rPr>
      </w:pPr>
    </w:p>
    <w:p>
      <w:pPr>
        <w:ind w:right="60" w:firstLine="342"/>
        <w:spacing w:after="0" w:line="273" w:lineRule="auto"/>
        <w:rPr>
          <w:sz w:val="20"/>
          <w:szCs w:val="20"/>
          <w:color w:val="auto"/>
        </w:rPr>
      </w:pPr>
      <w:r>
        <w:rPr>
          <w:rFonts w:ascii="Arial" w:cs="Arial" w:eastAsia="Arial" w:hAnsi="Arial"/>
          <w:sz w:val="16"/>
          <w:szCs w:val="16"/>
          <w:color w:val="auto"/>
        </w:rPr>
        <w:t>We evaluate the performance of our segments based on “segment profit or loss,” which we define as pre-tax income or loss before general corporate expense, loss on early extinguishment of debt, the pension settlement charge and interest expense, net. “Segment profit or loss,” as we define the term, may not be comparable to similarly titled measures used by other entities.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91" w:right="27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Presented below is selected financial information related to our business segments: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Segments: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Marmaxx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color w:val="auto"/>
              </w:rPr>
              <w:t>Fiscal Year Ended</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5"/>
        </w:trPr>
        <w:tc>
          <w:tcPr>
            <w:tcW w:w="6740" w:type="dxa"/>
            <w:vAlign w:val="bottom"/>
          </w:tcPr>
          <w:p>
            <w:pPr>
              <w:spacing w:after="0"/>
              <w:rPr>
                <w:sz w:val="10"/>
                <w:szCs w:val="10"/>
                <w:color w:val="auto"/>
              </w:rPr>
            </w:pPr>
          </w:p>
        </w:tc>
        <w:tc>
          <w:tcPr>
            <w:tcW w:w="1780" w:type="dxa"/>
            <w:vAlign w:val="bottom"/>
            <w:gridSpan w:val="2"/>
          </w:tcPr>
          <w:p>
            <w:pPr>
              <w:jc w:val="right"/>
              <w:ind w:right="274"/>
              <w:spacing w:after="0" w:line="125" w:lineRule="exact"/>
              <w:rPr>
                <w:sz w:val="20"/>
                <w:szCs w:val="20"/>
                <w:color w:val="auto"/>
              </w:rPr>
            </w:pPr>
            <w:r>
              <w:rPr>
                <w:rFonts w:ascii="Arial" w:cs="Arial" w:eastAsia="Arial" w:hAnsi="Arial"/>
                <w:sz w:val="14"/>
                <w:szCs w:val="14"/>
                <w:b w:val="1"/>
                <w:bCs w:val="1"/>
                <w:color w:val="auto"/>
              </w:rPr>
              <w:t>February 3,</w:t>
            </w:r>
          </w:p>
        </w:tc>
        <w:tc>
          <w:tcPr>
            <w:tcW w:w="1600" w:type="dxa"/>
            <w:vAlign w:val="bottom"/>
            <w:gridSpan w:val="2"/>
          </w:tcPr>
          <w:p>
            <w:pPr>
              <w:jc w:val="right"/>
              <w:ind w:right="354"/>
              <w:spacing w:after="0" w:line="125" w:lineRule="exact"/>
              <w:rPr>
                <w:sz w:val="20"/>
                <w:szCs w:val="20"/>
                <w:color w:val="auto"/>
              </w:rPr>
            </w:pPr>
            <w:r>
              <w:rPr>
                <w:rFonts w:ascii="Arial" w:cs="Arial" w:eastAsia="Arial" w:hAnsi="Arial"/>
                <w:sz w:val="14"/>
                <w:szCs w:val="14"/>
                <w:color w:val="auto"/>
              </w:rPr>
              <w:t>January 28,</w:t>
            </w:r>
          </w:p>
        </w:tc>
        <w:tc>
          <w:tcPr>
            <w:tcW w:w="1300" w:type="dxa"/>
            <w:vAlign w:val="bottom"/>
            <w:gridSpan w:val="2"/>
          </w:tcPr>
          <w:p>
            <w:pPr>
              <w:jc w:val="right"/>
              <w:ind w:right="134"/>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274"/>
              <w:spacing w:after="0" w:line="196" w:lineRule="exact"/>
              <w:rPr>
                <w:sz w:val="20"/>
                <w:szCs w:val="20"/>
                <w:color w:val="auto"/>
              </w:rPr>
            </w:pPr>
            <w:r>
              <w:rPr>
                <w:rFonts w:ascii="Arial" w:cs="Arial" w:eastAsia="Arial" w:hAnsi="Arial"/>
                <w:sz w:val="18"/>
                <w:szCs w:val="18"/>
                <w:b w:val="1"/>
                <w:bCs w:val="1"/>
                <w:color w:val="auto"/>
                <w:w w:val="96"/>
              </w:rPr>
              <w:t>22,249.1</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w w:val="96"/>
              </w:rPr>
              <w:t>21,246.0</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w w:val="94"/>
              </w:rPr>
              <w:t>19,948.2</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Segment profit</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2,949.4</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2,995.0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2,858.8</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profit as a percentage of net sales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b w:val="1"/>
                <w:bCs w:val="1"/>
                <w:color w:val="auto"/>
              </w:rPr>
              <w:t>13.3%</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Increase in comp sales</w:t>
            </w:r>
          </w:p>
        </w:tc>
        <w:tc>
          <w:tcPr>
            <w:tcW w:w="720" w:type="dxa"/>
            <w:vAlign w:val="bottom"/>
          </w:tcPr>
          <w:p>
            <w:pPr>
              <w:spacing w:after="0"/>
              <w:rPr>
                <w:sz w:val="17"/>
                <w:szCs w:val="17"/>
                <w:color w:val="auto"/>
              </w:rPr>
            </w:pPr>
          </w:p>
        </w:tc>
        <w:tc>
          <w:tcPr>
            <w:tcW w:w="106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7"/>
                <w:szCs w:val="17"/>
                <w:color w:val="auto"/>
              </w:rPr>
            </w:pPr>
          </w:p>
        </w:tc>
        <w:tc>
          <w:tcPr>
            <w:tcW w:w="11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in operation at end of period</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line="202" w:lineRule="exact"/>
              <w:rPr>
                <w:sz w:val="20"/>
                <w:szCs w:val="20"/>
                <w:color w:val="auto"/>
              </w:rPr>
            </w:pPr>
            <w:r>
              <w:rPr>
                <w:rFonts w:ascii="Arial" w:cs="Arial" w:eastAsia="Arial" w:hAnsi="Arial"/>
                <w:sz w:val="18"/>
                <w:szCs w:val="18"/>
                <w:color w:val="auto"/>
              </w:rPr>
              <w:t>T.J. Maxx</w:t>
            </w:r>
          </w:p>
        </w:tc>
        <w:tc>
          <w:tcPr>
            <w:tcW w:w="720" w:type="dxa"/>
            <w:vAlign w:val="bottom"/>
          </w:tcPr>
          <w:p>
            <w:pPr>
              <w:spacing w:after="0"/>
              <w:rPr>
                <w:sz w:val="17"/>
                <w:szCs w:val="17"/>
                <w:color w:val="auto"/>
              </w:rPr>
            </w:pPr>
          </w:p>
        </w:tc>
        <w:tc>
          <w:tcPr>
            <w:tcW w:w="106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1,223</w:t>
            </w:r>
          </w:p>
        </w:tc>
        <w:tc>
          <w:tcPr>
            <w:tcW w:w="460" w:type="dxa"/>
            <w:vAlign w:val="bottom"/>
          </w:tcPr>
          <w:p>
            <w:pPr>
              <w:spacing w:after="0"/>
              <w:rPr>
                <w:sz w:val="17"/>
                <w:szCs w:val="17"/>
                <w:color w:val="auto"/>
              </w:rPr>
            </w:pPr>
          </w:p>
        </w:tc>
        <w:tc>
          <w:tcPr>
            <w:tcW w:w="11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1,186</w:t>
            </w:r>
          </w:p>
        </w:tc>
        <w:tc>
          <w:tcPr>
            <w:tcW w:w="400" w:type="dxa"/>
            <w:vAlign w:val="bottom"/>
          </w:tcPr>
          <w:p>
            <w:pPr>
              <w:spacing w:after="0"/>
              <w:rPr>
                <w:sz w:val="17"/>
                <w:szCs w:val="17"/>
                <w:color w:val="auto"/>
              </w:rPr>
            </w:pPr>
          </w:p>
        </w:tc>
        <w:tc>
          <w:tcPr>
            <w:tcW w:w="9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1,156</w:t>
            </w:r>
          </w:p>
        </w:tc>
      </w:tr>
      <w:tr>
        <w:trPr>
          <w:trHeight w:val="203"/>
        </w:trPr>
        <w:tc>
          <w:tcPr>
            <w:tcW w:w="6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Marshalls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1,062</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1,035</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1,007</w:t>
            </w:r>
          </w:p>
        </w:tc>
      </w:tr>
      <w:tr>
        <w:trPr>
          <w:trHeight w:val="203"/>
        </w:trPr>
        <w:tc>
          <w:tcPr>
            <w:tcW w:w="67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STP</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b w:val="1"/>
                <w:bCs w:val="1"/>
                <w:color w:val="auto"/>
              </w:rPr>
              <w:t>27</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4"/>
              <w:spacing w:after="0" w:line="202" w:lineRule="exact"/>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8</w:t>
            </w:r>
          </w:p>
        </w:tc>
      </w:tr>
      <w:tr>
        <w:trPr>
          <w:trHeight w:val="196"/>
        </w:trPr>
        <w:tc>
          <w:tcPr>
            <w:tcW w:w="674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4"/>
              <w:spacing w:after="0" w:line="196" w:lineRule="exact"/>
              <w:rPr>
                <w:sz w:val="20"/>
                <w:szCs w:val="20"/>
                <w:color w:val="auto"/>
              </w:rPr>
            </w:pPr>
            <w:r>
              <w:rPr>
                <w:rFonts w:ascii="Arial" w:cs="Arial" w:eastAsia="Arial" w:hAnsi="Arial"/>
                <w:sz w:val="18"/>
                <w:szCs w:val="18"/>
                <w:b w:val="1"/>
                <w:bCs w:val="1"/>
                <w:color w:val="auto"/>
              </w:rPr>
              <w:t>2,312</w:t>
            </w: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rPr>
              <w:t>2,233</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2,171</w:t>
            </w:r>
          </w:p>
        </w:tc>
      </w:tr>
      <w:tr>
        <w:trPr>
          <w:trHeight w:val="196"/>
        </w:trPr>
        <w:tc>
          <w:tcPr>
            <w:tcW w:w="6740" w:type="dxa"/>
            <w:vAlign w:val="bottom"/>
          </w:tcPr>
          <w:p>
            <w:pPr>
              <w:spacing w:after="0" w:line="196" w:lineRule="exact"/>
              <w:rPr>
                <w:sz w:val="20"/>
                <w:szCs w:val="20"/>
                <w:color w:val="auto"/>
              </w:rPr>
            </w:pPr>
            <w:r>
              <w:rPr>
                <w:rFonts w:ascii="Arial" w:cs="Arial" w:eastAsia="Arial" w:hAnsi="Arial"/>
                <w:sz w:val="18"/>
                <w:szCs w:val="18"/>
                <w:color w:val="auto"/>
              </w:rPr>
              <w:t>Selling square footage at end of period (in thousands)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T.J. Maxx</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27,077</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26,614</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26,158</w:t>
            </w:r>
          </w:p>
        </w:tc>
      </w:tr>
      <w:tr>
        <w:trPr>
          <w:trHeight w:val="203"/>
        </w:trPr>
        <w:tc>
          <w:tcPr>
            <w:tcW w:w="6740" w:type="dxa"/>
            <w:vAlign w:val="bottom"/>
          </w:tcPr>
          <w:p>
            <w:pPr>
              <w:ind w:left="220"/>
              <w:spacing w:after="0" w:line="202" w:lineRule="exact"/>
              <w:rPr>
                <w:sz w:val="20"/>
                <w:szCs w:val="20"/>
                <w:color w:val="auto"/>
              </w:rPr>
            </w:pPr>
            <w:r>
              <w:rPr>
                <w:rFonts w:ascii="Arial" w:cs="Arial" w:eastAsia="Arial" w:hAnsi="Arial"/>
                <w:sz w:val="18"/>
                <w:szCs w:val="18"/>
                <w:color w:val="auto"/>
              </w:rPr>
              <w:t>Marshalls</w:t>
            </w:r>
          </w:p>
        </w:tc>
        <w:tc>
          <w:tcPr>
            <w:tcW w:w="720" w:type="dxa"/>
            <w:vAlign w:val="bottom"/>
          </w:tcPr>
          <w:p>
            <w:pPr>
              <w:spacing w:after="0"/>
              <w:rPr>
                <w:sz w:val="17"/>
                <w:szCs w:val="17"/>
                <w:color w:val="auto"/>
              </w:rPr>
            </w:pPr>
          </w:p>
        </w:tc>
        <w:tc>
          <w:tcPr>
            <w:tcW w:w="106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24,916</w:t>
            </w:r>
          </w:p>
        </w:tc>
        <w:tc>
          <w:tcPr>
            <w:tcW w:w="460" w:type="dxa"/>
            <w:vAlign w:val="bottom"/>
          </w:tcPr>
          <w:p>
            <w:pPr>
              <w:spacing w:after="0"/>
              <w:rPr>
                <w:sz w:val="17"/>
                <w:szCs w:val="17"/>
                <w:color w:val="auto"/>
              </w:rPr>
            </w:pPr>
          </w:p>
        </w:tc>
        <w:tc>
          <w:tcPr>
            <w:tcW w:w="11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24,750</w:t>
            </w:r>
          </w:p>
        </w:tc>
        <w:tc>
          <w:tcPr>
            <w:tcW w:w="400" w:type="dxa"/>
            <w:vAlign w:val="bottom"/>
          </w:tcPr>
          <w:p>
            <w:pPr>
              <w:spacing w:after="0"/>
              <w:rPr>
                <w:sz w:val="17"/>
                <w:szCs w:val="17"/>
                <w:color w:val="auto"/>
              </w:rPr>
            </w:pPr>
          </w:p>
        </w:tc>
        <w:tc>
          <w:tcPr>
            <w:tcW w:w="9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24,308</w:t>
            </w:r>
          </w:p>
        </w:tc>
      </w:tr>
      <w:tr>
        <w:trPr>
          <w:trHeight w:val="203"/>
        </w:trPr>
        <w:tc>
          <w:tcPr>
            <w:tcW w:w="67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STP</w:t>
            </w: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470</w:t>
            </w:r>
          </w:p>
        </w:tc>
        <w:tc>
          <w:tcPr>
            <w:tcW w:w="4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227</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159</w:t>
            </w:r>
          </w:p>
        </w:tc>
      </w:tr>
      <w:tr>
        <w:trPr>
          <w:trHeight w:val="196"/>
        </w:trPr>
        <w:tc>
          <w:tcPr>
            <w:tcW w:w="674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4"/>
              <w:spacing w:after="0" w:line="196" w:lineRule="exact"/>
              <w:rPr>
                <w:sz w:val="20"/>
                <w:szCs w:val="20"/>
                <w:color w:val="auto"/>
              </w:rPr>
            </w:pPr>
            <w:r>
              <w:rPr>
                <w:rFonts w:ascii="Arial" w:cs="Arial" w:eastAsia="Arial" w:hAnsi="Arial"/>
                <w:sz w:val="18"/>
                <w:szCs w:val="18"/>
                <w:b w:val="1"/>
                <w:bCs w:val="1"/>
                <w:color w:val="auto"/>
              </w:rPr>
              <w:t>52,463</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51,591</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50,625</w:t>
            </w:r>
          </w:p>
        </w:tc>
      </w:tr>
    </w:tbl>
    <w:p>
      <w:pPr>
        <w:spacing w:after="0" w:line="84" w:lineRule="exact"/>
        <w:rPr>
          <w:sz w:val="20"/>
          <w:szCs w:val="20"/>
          <w:color w:val="auto"/>
        </w:rPr>
      </w:pPr>
    </w:p>
    <w:p>
      <w:pPr>
        <w:ind w:right="60" w:firstLine="342"/>
        <w:spacing w:after="0" w:line="229" w:lineRule="auto"/>
        <w:rPr>
          <w:sz w:val="20"/>
          <w:szCs w:val="20"/>
          <w:color w:val="auto"/>
        </w:rPr>
      </w:pPr>
      <w:r>
        <w:rPr>
          <w:rFonts w:ascii="Arial" w:cs="Arial" w:eastAsia="Arial" w:hAnsi="Arial"/>
          <w:sz w:val="18"/>
          <w:szCs w:val="18"/>
          <w:color w:val="auto"/>
        </w:rPr>
        <w:t>Net sales for Marmaxx increased 5% in fiscal 2018 on top of a 7% increase in fiscal 2017. The increase reflects a 2% increase from new store sales, a 2% increase from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and a 1% increase from comp sales. The comp sales increase of 1% in fiscal 2018 is on top of a 5% increase in the prior year. Comp sales growth at Marmaxx for fiscal 2018 was due to a 3% increase in customer traffic on top of a 4% increase in customer traffic in fiscal 2017, which was offset by a decrease in the average basket. Geographically, comp sales were strong throughout most of the country with the Southeast and Southwest regions particularly strong and the Northeast was below the segment average. Home fashions outperformed apparel for fiscal 2018, with apparel posting flat comp sales on top of strong comp sales in fiscal 2017. E-commerce sales represented approximately 2% of Marmaxx’s net sales.</w:t>
      </w:r>
    </w:p>
    <w:p>
      <w:pPr>
        <w:spacing w:after="0" w:line="73" w:lineRule="exact"/>
        <w:rPr>
          <w:sz w:val="20"/>
          <w:szCs w:val="20"/>
          <w:color w:val="auto"/>
        </w:rPr>
      </w:pPr>
    </w:p>
    <w:p>
      <w:pPr>
        <w:ind w:right="40" w:firstLine="342"/>
        <w:spacing w:after="0" w:line="228" w:lineRule="auto"/>
        <w:rPr>
          <w:sz w:val="20"/>
          <w:szCs w:val="20"/>
          <w:color w:val="auto"/>
        </w:rPr>
      </w:pPr>
      <w:r>
        <w:rPr>
          <w:rFonts w:ascii="Arial" w:cs="Arial" w:eastAsia="Arial" w:hAnsi="Arial"/>
          <w:sz w:val="18"/>
          <w:szCs w:val="18"/>
          <w:color w:val="auto"/>
        </w:rPr>
        <w:t>Segment margin decreased to 13.3% in fiscal 2018 compared to 14.1% in fiscal 2017. Marmaxx results for fiscal 2018 reflect a 0.4 percentage point negative impact from the STP impairment charge. In addition, higher store payroll costs, primarily due to wage increases, and higher distribution costs, primarily due to processing more units, collectively reduced segment margin by approximately 0.5 percentage points. The fiscal 2018 segment margin was also negatively impacted by expense deleverage on the 1% comp sales but was favorably impacted by approximately 0.1 percentage point due to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Merchandise margin was flat for fiscal 2018 compared to fiscal 2017. Tjmaxx.com and STP, excluding the impairment charge, did not have a significant impact on year-over-year segment margin comparisons.</w:t>
      </w:r>
    </w:p>
    <w:p>
      <w:pPr>
        <w:spacing w:after="0" w:line="73"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Segment margin in fiscal 2017 was 14.1% compared to 14.3% in fiscal 2016. Marmaxx results for fiscal 2017 reflect an increase in merchandise margin and buying and occupancy expense leverage, on comp sales growth, of approximately 0.7 percentage points. However, these gains were more than offset by higher store payroll costs, primarily due to wage increases and processing more units at the store level, higher distribution costs, as well as an increase in credit card chargeback costs. Tjmaxx.com and STP did not have a significant impact on year-over-year segment margin comparisons.</w:t>
      </w:r>
    </w:p>
    <w:p>
      <w:pPr>
        <w:spacing w:after="0" w:line="76" w:lineRule="exact"/>
        <w:rPr>
          <w:sz w:val="20"/>
          <w:szCs w:val="20"/>
          <w:color w:val="auto"/>
        </w:rPr>
      </w:pPr>
    </w:p>
    <w:p>
      <w:pPr>
        <w:jc w:val="center"/>
        <w:ind w:right="220"/>
        <w:spacing w:after="0" w:line="411" w:lineRule="auto"/>
        <w:rPr>
          <w:sz w:val="20"/>
          <w:szCs w:val="20"/>
          <w:color w:val="auto"/>
        </w:rPr>
      </w:pPr>
      <w:r>
        <w:rPr>
          <w:rFonts w:ascii="Arial" w:cs="Arial" w:eastAsia="Arial" w:hAnsi="Arial"/>
          <w:sz w:val="18"/>
          <w:szCs w:val="18"/>
          <w:color w:val="auto"/>
        </w:rPr>
        <w:t>In fiscal 2019, we expect to open approximately 65 Marmaxx stores, which would increase selling square footage by approximately 2%. 32</w:t>
      </w:r>
    </w:p>
    <w:p>
      <w:pPr>
        <w:sectPr>
          <w:pgSz w:w="11900" w:h="16838" w:orient="portrait"/>
          <w:cols w:equalWidth="0" w:num="1">
            <w:col w:w="11420"/>
          </w:cols>
          <w:pgMar w:left="240" w:top="29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HomeGoods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Fiscal Year Ended</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5"/>
        </w:trPr>
        <w:tc>
          <w:tcPr>
            <w:tcW w:w="7100" w:type="dxa"/>
            <w:vAlign w:val="bottom"/>
          </w:tcPr>
          <w:p>
            <w:pPr>
              <w:spacing w:after="0"/>
              <w:rPr>
                <w:sz w:val="10"/>
                <w:szCs w:val="10"/>
                <w:color w:val="auto"/>
              </w:rPr>
            </w:pPr>
          </w:p>
        </w:tc>
        <w:tc>
          <w:tcPr>
            <w:tcW w:w="1580" w:type="dxa"/>
            <w:vAlign w:val="bottom"/>
            <w:gridSpan w:val="2"/>
          </w:tcPr>
          <w:p>
            <w:pPr>
              <w:ind w:left="520"/>
              <w:spacing w:after="0" w:line="125" w:lineRule="exact"/>
              <w:rPr>
                <w:sz w:val="20"/>
                <w:szCs w:val="20"/>
                <w:color w:val="auto"/>
              </w:rPr>
            </w:pPr>
            <w:r>
              <w:rPr>
                <w:rFonts w:ascii="Arial" w:cs="Arial" w:eastAsia="Arial" w:hAnsi="Arial"/>
                <w:sz w:val="14"/>
                <w:szCs w:val="14"/>
                <w:b w:val="1"/>
                <w:bCs w:val="1"/>
                <w:color w:val="auto"/>
              </w:rPr>
              <w:t>February 3,</w:t>
            </w:r>
          </w:p>
        </w:tc>
        <w:tc>
          <w:tcPr>
            <w:tcW w:w="1540" w:type="dxa"/>
            <w:vAlign w:val="bottom"/>
            <w:gridSpan w:val="2"/>
          </w:tcPr>
          <w:p>
            <w:pPr>
              <w:ind w:left="380"/>
              <w:spacing w:after="0" w:line="125" w:lineRule="exact"/>
              <w:rPr>
                <w:sz w:val="20"/>
                <w:szCs w:val="20"/>
                <w:color w:val="auto"/>
              </w:rPr>
            </w:pPr>
            <w:r>
              <w:rPr>
                <w:rFonts w:ascii="Arial" w:cs="Arial" w:eastAsia="Arial" w:hAnsi="Arial"/>
                <w:sz w:val="14"/>
                <w:szCs w:val="14"/>
                <w:color w:val="auto"/>
              </w:rPr>
              <w:t>January 28,</w:t>
            </w:r>
          </w:p>
        </w:tc>
        <w:tc>
          <w:tcPr>
            <w:tcW w:w="120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254"/>
              <w:spacing w:after="0" w:line="196" w:lineRule="exact"/>
              <w:rPr>
                <w:sz w:val="20"/>
                <w:szCs w:val="20"/>
                <w:color w:val="auto"/>
              </w:rPr>
            </w:pPr>
            <w:r>
              <w:rPr>
                <w:rFonts w:ascii="Arial" w:cs="Arial" w:eastAsia="Arial" w:hAnsi="Arial"/>
                <w:sz w:val="18"/>
                <w:szCs w:val="18"/>
                <w:b w:val="1"/>
                <w:bCs w:val="1"/>
                <w:color w:val="auto"/>
                <w:w w:val="96"/>
              </w:rPr>
              <w:t>5,116.3</w:t>
            </w:r>
          </w:p>
        </w:tc>
        <w:tc>
          <w:tcPr>
            <w:tcW w:w="5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w w:val="96"/>
              </w:rPr>
              <w:t>4,404.6</w:t>
            </w:r>
          </w:p>
        </w:tc>
        <w:tc>
          <w:tcPr>
            <w:tcW w:w="3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w w:val="96"/>
              </w:rPr>
              <w:t>3,915.2</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Segment profit</w:t>
            </w:r>
          </w:p>
        </w:tc>
        <w:tc>
          <w:tcPr>
            <w:tcW w:w="64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674.5</w:t>
            </w:r>
          </w:p>
        </w:tc>
        <w:tc>
          <w:tcPr>
            <w:tcW w:w="50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613.8</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549.3</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profit as a percentage of net sales</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13.2%</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Increase in comp sales</w:t>
            </w:r>
          </w:p>
        </w:tc>
        <w:tc>
          <w:tcPr>
            <w:tcW w:w="640" w:type="dxa"/>
            <w:vAlign w:val="bottom"/>
          </w:tcPr>
          <w:p>
            <w:pPr>
              <w:spacing w:after="0"/>
              <w:rPr>
                <w:sz w:val="17"/>
                <w:szCs w:val="17"/>
                <w:color w:val="auto"/>
              </w:rPr>
            </w:pP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7"/>
                <w:szCs w:val="17"/>
                <w:color w:val="auto"/>
              </w:rPr>
            </w:pP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6%</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in operation at end of period</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HomeGoods</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667</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579</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526</w:t>
            </w:r>
          </w:p>
        </w:tc>
      </w:tr>
      <w:tr>
        <w:trPr>
          <w:trHeight w:val="203"/>
        </w:trPr>
        <w:tc>
          <w:tcPr>
            <w:tcW w:w="7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4</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r>
      <w:tr>
        <w:trPr>
          <w:trHeight w:val="196"/>
        </w:trPr>
        <w:tc>
          <w:tcPr>
            <w:tcW w:w="710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671</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579</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526</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Selling square footage at end of period (in thousands)</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HomeGoods</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12,448</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11,119</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10,234</w:t>
            </w:r>
          </w:p>
        </w:tc>
      </w:tr>
      <w:tr>
        <w:trPr>
          <w:trHeight w:val="203"/>
        </w:trPr>
        <w:tc>
          <w:tcPr>
            <w:tcW w:w="7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81</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r>
      <w:tr>
        <w:trPr>
          <w:trHeight w:val="196"/>
        </w:trPr>
        <w:tc>
          <w:tcPr>
            <w:tcW w:w="710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12,529</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11,119</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10,234</w:t>
            </w:r>
          </w:p>
        </w:tc>
      </w:tr>
    </w:tbl>
    <w:p>
      <w:pPr>
        <w:spacing w:after="0" w:line="84" w:lineRule="exact"/>
        <w:rPr>
          <w:sz w:val="20"/>
          <w:szCs w:val="20"/>
          <w:color w:val="auto"/>
        </w:rPr>
      </w:pPr>
    </w:p>
    <w:p>
      <w:pPr>
        <w:ind w:right="60" w:firstLine="342"/>
        <w:spacing w:after="0" w:line="226" w:lineRule="auto"/>
        <w:rPr>
          <w:sz w:val="20"/>
          <w:szCs w:val="20"/>
          <w:color w:val="auto"/>
        </w:rPr>
      </w:pPr>
      <w:r>
        <w:rPr>
          <w:rFonts w:ascii="Arial" w:cs="Arial" w:eastAsia="Arial" w:hAnsi="Arial"/>
          <w:sz w:val="18"/>
          <w:szCs w:val="18"/>
          <w:color w:val="auto"/>
        </w:rPr>
        <w:t>HomeGoods’ net sales increased 16% in fiscal 2018, on top of a 12% increase in fiscal 2017. The increase in fiscal 2018 reflected a 10% increase from new store sales, a 4% increase from comp sales and a 2% increase due to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The sales increase of 12% in fiscal 2017 reflected a 6% increase from new store sales and a 6% increase from comp sales. Comp sales growth at HomeGoods for fiscal 2018 was due to a 4% increase in customer traffic on top of a 5% increase in customer traffic in fiscal 2017. Comp sales growth in fiscal 2018 and fiscal 2017 was also due to an increase in units sold, which was partially offset by a decrease in the average ticket.</w:t>
      </w:r>
    </w:p>
    <w:p>
      <w:pPr>
        <w:spacing w:after="0" w:line="76" w:lineRule="exact"/>
        <w:rPr>
          <w:sz w:val="20"/>
          <w:szCs w:val="20"/>
          <w:color w:val="auto"/>
        </w:rPr>
      </w:pPr>
    </w:p>
    <w:p>
      <w:pPr>
        <w:ind w:right="40" w:firstLine="342"/>
        <w:spacing w:after="0" w:line="228" w:lineRule="auto"/>
        <w:rPr>
          <w:sz w:val="20"/>
          <w:szCs w:val="20"/>
          <w:color w:val="auto"/>
        </w:rPr>
      </w:pPr>
      <w:r>
        <w:rPr>
          <w:rFonts w:ascii="Arial" w:cs="Arial" w:eastAsia="Arial" w:hAnsi="Arial"/>
          <w:sz w:val="18"/>
          <w:szCs w:val="18"/>
          <w:color w:val="auto"/>
        </w:rPr>
        <w:t>Segment profit margin decreased to 13.2% for fiscal 2018 compared to 13.9% for fiscal 2017. The decrease in segment margin for fiscal 2018 includes a decline in merchandise margin of 0.5 percentage points, primarily as a result of increased freight costs. In addition, higher distribution center costs primarily due to opening a new distribution center, higher store payroll costs, primarily due to wage increases, as well as costs in connection with opening more stores as compared to fiscal 2017, including our first Homesense stores, collectively reduced segment margin by approximately 0.8 percentage points. These costs were partially offset by expense leverage on comp sales growth as well as the benefit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which lifted segment margin by approximately 0.2 percentage points.</w:t>
      </w:r>
    </w:p>
    <w:p>
      <w:pPr>
        <w:spacing w:after="0" w:line="73"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Segment profit margin for fiscal 2017 was 13.9% compared to 14.0% for fiscal 2016. Segment margin for fiscal 2017 was favorably impacted by an increase in merchandise margin and expense leverage, primarily occupancy costs, on strong comp sales growth. These increases in segment margin were more than offset by higher payroll costs related to wage increases, an increase in distribution costs, which includes the opening of a new distribution center in fiscal 2017, and an increase in credit card chargeback costs.</w:t>
      </w:r>
    </w:p>
    <w:p>
      <w:pPr>
        <w:spacing w:after="0" w:line="74"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In fiscal 2019, we plan an increase of approximately 85 HomeGoods stores and 15 Homesense stores, which would increase selling square footage by approximately 18%.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Segments: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TJX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Fiscal Year Ended</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5"/>
        </w:trPr>
        <w:tc>
          <w:tcPr>
            <w:tcW w:w="7100" w:type="dxa"/>
            <w:vAlign w:val="bottom"/>
          </w:tcPr>
          <w:p>
            <w:pPr>
              <w:spacing w:after="0"/>
              <w:rPr>
                <w:sz w:val="10"/>
                <w:szCs w:val="10"/>
                <w:color w:val="auto"/>
              </w:rPr>
            </w:pPr>
          </w:p>
        </w:tc>
        <w:tc>
          <w:tcPr>
            <w:tcW w:w="1580" w:type="dxa"/>
            <w:vAlign w:val="bottom"/>
            <w:gridSpan w:val="2"/>
          </w:tcPr>
          <w:p>
            <w:pPr>
              <w:ind w:left="520"/>
              <w:spacing w:after="0" w:line="125" w:lineRule="exact"/>
              <w:rPr>
                <w:sz w:val="20"/>
                <w:szCs w:val="20"/>
                <w:color w:val="auto"/>
              </w:rPr>
            </w:pPr>
            <w:r>
              <w:rPr>
                <w:rFonts w:ascii="Arial" w:cs="Arial" w:eastAsia="Arial" w:hAnsi="Arial"/>
                <w:sz w:val="14"/>
                <w:szCs w:val="14"/>
                <w:b w:val="1"/>
                <w:bCs w:val="1"/>
                <w:color w:val="auto"/>
              </w:rPr>
              <w:t>February 3,</w:t>
            </w:r>
          </w:p>
        </w:tc>
        <w:tc>
          <w:tcPr>
            <w:tcW w:w="1540" w:type="dxa"/>
            <w:vAlign w:val="bottom"/>
            <w:gridSpan w:val="2"/>
          </w:tcPr>
          <w:p>
            <w:pPr>
              <w:ind w:left="380"/>
              <w:spacing w:after="0" w:line="125" w:lineRule="exact"/>
              <w:rPr>
                <w:sz w:val="20"/>
                <w:szCs w:val="20"/>
                <w:color w:val="auto"/>
              </w:rPr>
            </w:pPr>
            <w:r>
              <w:rPr>
                <w:rFonts w:ascii="Arial" w:cs="Arial" w:eastAsia="Arial" w:hAnsi="Arial"/>
                <w:sz w:val="14"/>
                <w:szCs w:val="14"/>
                <w:color w:val="auto"/>
              </w:rPr>
              <w:t>January 28,</w:t>
            </w:r>
          </w:p>
        </w:tc>
        <w:tc>
          <w:tcPr>
            <w:tcW w:w="120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Dollars in millions</w:t>
            </w: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254"/>
              <w:spacing w:after="0" w:line="196" w:lineRule="exact"/>
              <w:rPr>
                <w:sz w:val="20"/>
                <w:szCs w:val="20"/>
                <w:color w:val="auto"/>
              </w:rPr>
            </w:pPr>
            <w:r>
              <w:rPr>
                <w:rFonts w:ascii="Arial" w:cs="Arial" w:eastAsia="Arial" w:hAnsi="Arial"/>
                <w:sz w:val="18"/>
                <w:szCs w:val="18"/>
                <w:b w:val="1"/>
                <w:bCs w:val="1"/>
                <w:color w:val="auto"/>
                <w:w w:val="96"/>
              </w:rPr>
              <w:t>3,642.3</w:t>
            </w:r>
          </w:p>
        </w:tc>
        <w:tc>
          <w:tcPr>
            <w:tcW w:w="5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w w:val="96"/>
              </w:rPr>
              <w:t>3,171.1</w:t>
            </w:r>
          </w:p>
        </w:tc>
        <w:tc>
          <w:tcPr>
            <w:tcW w:w="3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w w:val="96"/>
              </w:rPr>
              <w:t>2,854.6</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Segment profit</w:t>
            </w:r>
          </w:p>
        </w:tc>
        <w:tc>
          <w:tcPr>
            <w:tcW w:w="64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530.1</w:t>
            </w:r>
          </w:p>
        </w:tc>
        <w:tc>
          <w:tcPr>
            <w:tcW w:w="50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413.4</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375.3</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profit as a percentage of net sales</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14.6%</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Increase in comp sales</w:t>
            </w:r>
          </w:p>
        </w:tc>
        <w:tc>
          <w:tcPr>
            <w:tcW w:w="640" w:type="dxa"/>
            <w:vAlign w:val="bottom"/>
          </w:tcPr>
          <w:p>
            <w:pPr>
              <w:spacing w:after="0"/>
              <w:rPr>
                <w:sz w:val="17"/>
                <w:szCs w:val="17"/>
                <w:color w:val="auto"/>
              </w:rPr>
            </w:pP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5%</w:t>
            </w:r>
          </w:p>
        </w:tc>
        <w:tc>
          <w:tcPr>
            <w:tcW w:w="500" w:type="dxa"/>
            <w:vAlign w:val="bottom"/>
          </w:tcPr>
          <w:p>
            <w:pPr>
              <w:spacing w:after="0"/>
              <w:rPr>
                <w:sz w:val="17"/>
                <w:szCs w:val="17"/>
                <w:color w:val="auto"/>
              </w:rPr>
            </w:pP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in operation at end of period</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Winners</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264</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255</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245</w:t>
            </w:r>
          </w:p>
        </w:tc>
      </w:tr>
      <w:tr>
        <w:trPr>
          <w:trHeight w:val="203"/>
        </w:trPr>
        <w:tc>
          <w:tcPr>
            <w:tcW w:w="7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117</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101</w:t>
            </w:r>
          </w:p>
        </w:tc>
      </w:tr>
      <w:tr>
        <w:trPr>
          <w:trHeight w:val="203"/>
        </w:trPr>
        <w:tc>
          <w:tcPr>
            <w:tcW w:w="710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Marshalls</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b w:val="1"/>
                <w:bCs w:val="1"/>
                <w:color w:val="auto"/>
              </w:rPr>
              <w:t>73</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202" w:lineRule="exact"/>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41</w:t>
            </w:r>
          </w:p>
        </w:tc>
      </w:tr>
      <w:tr>
        <w:trPr>
          <w:trHeight w:val="196"/>
        </w:trPr>
        <w:tc>
          <w:tcPr>
            <w:tcW w:w="71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196" w:lineRule="exact"/>
              <w:rPr>
                <w:sz w:val="20"/>
                <w:szCs w:val="20"/>
                <w:color w:val="auto"/>
              </w:rPr>
            </w:pPr>
            <w:r>
              <w:rPr>
                <w:rFonts w:ascii="Arial" w:cs="Arial" w:eastAsia="Arial" w:hAnsi="Arial"/>
                <w:sz w:val="18"/>
                <w:szCs w:val="18"/>
                <w:b w:val="1"/>
                <w:bCs w:val="1"/>
                <w:color w:val="auto"/>
              </w:rPr>
              <w:t>454</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rPr>
              <w:t>418</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387</w:t>
            </w: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color w:val="auto"/>
              </w:rPr>
              <w:t>Selling square footage at end of period (in thousands)</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Winners</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5,780</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5,629</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5,470</w:t>
            </w: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2,179</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1,984</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1,900</w:t>
            </w:r>
          </w:p>
        </w:tc>
      </w:tr>
      <w:tr>
        <w:trPr>
          <w:trHeight w:val="203"/>
        </w:trPr>
        <w:tc>
          <w:tcPr>
            <w:tcW w:w="7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Marshalls</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1,621</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1,307</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975</w:t>
            </w:r>
          </w:p>
        </w:tc>
      </w:tr>
      <w:tr>
        <w:trPr>
          <w:trHeight w:val="196"/>
        </w:trPr>
        <w:tc>
          <w:tcPr>
            <w:tcW w:w="710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9,580</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8,920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8,345</w:t>
            </w:r>
          </w:p>
        </w:tc>
      </w:tr>
    </w:tbl>
    <w:p>
      <w:pPr>
        <w:spacing w:after="0" w:line="84" w:lineRule="exact"/>
        <w:rPr>
          <w:sz w:val="20"/>
          <w:szCs w:val="20"/>
          <w:color w:val="auto"/>
        </w:rPr>
      </w:pPr>
    </w:p>
    <w:p>
      <w:pPr>
        <w:ind w:right="60" w:firstLine="342"/>
        <w:spacing w:after="0" w:line="226" w:lineRule="auto"/>
        <w:rPr>
          <w:sz w:val="20"/>
          <w:szCs w:val="20"/>
          <w:color w:val="auto"/>
        </w:rPr>
      </w:pPr>
      <w:r>
        <w:rPr>
          <w:rFonts w:ascii="Arial" w:cs="Arial" w:eastAsia="Arial" w:hAnsi="Arial"/>
          <w:sz w:val="18"/>
          <w:szCs w:val="18"/>
          <w:color w:val="auto"/>
        </w:rPr>
        <w:t>Net sales for TJX Canada increased 15% in fiscal 2018, on top of an 11% increase in fiscal 2017. The increase in sales for fiscal 2018 reflected comp sales growth of 5%, a 5% increase from new stores, 3% from the positive impact of foreign currency translation and a 2% impact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The increase in sales for fiscal 2017 reflected comp sales growth of 8% and a 5% increase from new stores offset by 2% from the negative impact of foreign currency translation. The comp sales increases in fiscal 2018 and fiscal 2017 were primarily due to an increase in customer traffic.</w:t>
      </w:r>
    </w:p>
    <w:p>
      <w:pPr>
        <w:spacing w:after="0" w:line="76" w:lineRule="exact"/>
        <w:rPr>
          <w:sz w:val="20"/>
          <w:szCs w:val="20"/>
          <w:color w:val="auto"/>
        </w:rPr>
      </w:pPr>
    </w:p>
    <w:p>
      <w:pPr>
        <w:ind w:right="80" w:firstLine="342"/>
        <w:spacing w:after="0" w:line="242" w:lineRule="auto"/>
        <w:rPr>
          <w:sz w:val="20"/>
          <w:szCs w:val="20"/>
          <w:color w:val="auto"/>
        </w:rPr>
      </w:pPr>
      <w:r>
        <w:rPr>
          <w:rFonts w:ascii="Arial" w:cs="Arial" w:eastAsia="Arial" w:hAnsi="Arial"/>
          <w:sz w:val="18"/>
          <w:szCs w:val="18"/>
          <w:color w:val="auto"/>
        </w:rPr>
        <w:t>Segment profit margin increased 1.6 percentage points to 14.6% in fiscal 2018 compared to 13.0% in fiscal 2017. The increase in segment margin was primarily due to the combination of an increase in merchandise margin of 0.6 percentage points, which benefitted from the year-over-year increase in the Canadian dollar, and expense leverage on the strong comp sales. The increase in the segment margin also included a favorable impact of 0.3 percentage points due to foreign currency, primarily the mark-to-market impact of the inventory derivatives. The fiscal 2018 segment margin also benefitted from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which lifted the segment margin by approximately 0.1 percentage point.</w:t>
      </w:r>
    </w:p>
    <w:p>
      <w:pPr>
        <w:spacing w:after="0" w:line="4"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Segment profit margin decreased 0.1 percentage point to 13.0% in fiscal 2017. The decline in segment margin was driven by a decrease in merchandise margin and higher supply chain and distribution center costs, which included the opening of a new distribution center. The decline in merchandise margin was primarily due to transactional foreign exchange as the year-over-year changes in currency exchange rates increased TJX Canada’s cost of merchandise purchased in U.S. dollars. These declines in segment margin were largely offset by expense leverage, primarily buying and occupancy costs, on the comp sales growth, as well as the benefit of transactional foreign currency activity resulting in foreign currency gains in fiscal 2017 as compared to foreign currency losses in fiscal 2016. These foreign currency gains and losses result from the timing and settlement of payables denominated in currencies other than the Canadian Dollar.</w:t>
      </w:r>
    </w:p>
    <w:p>
      <w:pPr>
        <w:spacing w:after="0" w:line="74" w:lineRule="exact"/>
        <w:rPr>
          <w:sz w:val="20"/>
          <w:szCs w:val="20"/>
          <w:color w:val="auto"/>
        </w:rPr>
      </w:pPr>
    </w:p>
    <w:p>
      <w:pPr>
        <w:jc w:val="center"/>
        <w:ind w:left="440" w:right="160"/>
        <w:spacing w:after="0" w:line="411" w:lineRule="auto"/>
        <w:rPr>
          <w:sz w:val="20"/>
          <w:szCs w:val="20"/>
          <w:color w:val="auto"/>
        </w:rPr>
      </w:pPr>
      <w:r>
        <w:rPr>
          <w:rFonts w:ascii="Arial" w:cs="Arial" w:eastAsia="Arial" w:hAnsi="Arial"/>
          <w:sz w:val="18"/>
          <w:szCs w:val="18"/>
          <w:color w:val="auto"/>
        </w:rPr>
        <w:t>In fiscal 2019, we plan an increase of approximately 30 stores in Canada, which would increase selling square footage by approximately 6%. 34</w:t>
      </w:r>
    </w:p>
    <w:p>
      <w:pPr>
        <w:sectPr>
          <w:pgSz w:w="11900" w:h="16838" w:orient="portrait"/>
          <w:cols w:equalWidth="0" w:num="1">
            <w:col w:w="11420"/>
          </w:cols>
          <w:pgMar w:left="240" w:top="29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TJX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Fiscal Year Ended</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25"/>
        </w:trPr>
        <w:tc>
          <w:tcPr>
            <w:tcW w:w="7100" w:type="dxa"/>
            <w:vAlign w:val="bottom"/>
          </w:tcPr>
          <w:p>
            <w:pPr>
              <w:spacing w:after="0"/>
              <w:rPr>
                <w:sz w:val="10"/>
                <w:szCs w:val="10"/>
                <w:color w:val="auto"/>
              </w:rPr>
            </w:pPr>
          </w:p>
        </w:tc>
        <w:tc>
          <w:tcPr>
            <w:tcW w:w="1580" w:type="dxa"/>
            <w:vAlign w:val="bottom"/>
            <w:gridSpan w:val="2"/>
          </w:tcPr>
          <w:p>
            <w:pPr>
              <w:ind w:left="520"/>
              <w:spacing w:after="0" w:line="125" w:lineRule="exact"/>
              <w:rPr>
                <w:sz w:val="20"/>
                <w:szCs w:val="20"/>
                <w:color w:val="auto"/>
              </w:rPr>
            </w:pPr>
            <w:r>
              <w:rPr>
                <w:rFonts w:ascii="Arial" w:cs="Arial" w:eastAsia="Arial" w:hAnsi="Arial"/>
                <w:sz w:val="14"/>
                <w:szCs w:val="14"/>
                <w:b w:val="1"/>
                <w:bCs w:val="1"/>
                <w:color w:val="auto"/>
              </w:rPr>
              <w:t>February 3,</w:t>
            </w:r>
          </w:p>
        </w:tc>
        <w:tc>
          <w:tcPr>
            <w:tcW w:w="1540" w:type="dxa"/>
            <w:vAlign w:val="bottom"/>
            <w:gridSpan w:val="2"/>
          </w:tcPr>
          <w:p>
            <w:pPr>
              <w:ind w:left="380"/>
              <w:spacing w:after="0" w:line="125" w:lineRule="exact"/>
              <w:rPr>
                <w:sz w:val="20"/>
                <w:szCs w:val="20"/>
                <w:color w:val="auto"/>
              </w:rPr>
            </w:pPr>
            <w:r>
              <w:rPr>
                <w:rFonts w:ascii="Arial" w:cs="Arial" w:eastAsia="Arial" w:hAnsi="Arial"/>
                <w:sz w:val="14"/>
                <w:szCs w:val="14"/>
                <w:color w:val="auto"/>
              </w:rPr>
              <w:t>January 28,</w:t>
            </w:r>
          </w:p>
        </w:tc>
        <w:tc>
          <w:tcPr>
            <w:tcW w:w="1200" w:type="dxa"/>
            <w:vAlign w:val="bottom"/>
            <w:gridSpan w:val="2"/>
          </w:tcPr>
          <w:p>
            <w:pPr>
              <w:ind w:left="280"/>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Dollars in millions</w:t>
            </w: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2016</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ind w:left="520"/>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254"/>
              <w:spacing w:after="0" w:line="196" w:lineRule="exact"/>
              <w:rPr>
                <w:sz w:val="20"/>
                <w:szCs w:val="20"/>
                <w:color w:val="auto"/>
              </w:rPr>
            </w:pPr>
            <w:r>
              <w:rPr>
                <w:rFonts w:ascii="Arial" w:cs="Arial" w:eastAsia="Arial" w:hAnsi="Arial"/>
                <w:sz w:val="18"/>
                <w:szCs w:val="18"/>
                <w:b w:val="1"/>
                <w:bCs w:val="1"/>
                <w:color w:val="auto"/>
                <w:w w:val="96"/>
              </w:rPr>
              <w:t>4,856.9</w:t>
            </w:r>
          </w:p>
        </w:tc>
        <w:tc>
          <w:tcPr>
            <w:tcW w:w="5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w w:val="96"/>
              </w:rPr>
              <w:t>4,362.0</w:t>
            </w:r>
          </w:p>
        </w:tc>
        <w:tc>
          <w:tcPr>
            <w:tcW w:w="3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w w:val="96"/>
              </w:rPr>
              <w:t>4,226.9</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Segment profit</w:t>
            </w:r>
          </w:p>
        </w:tc>
        <w:tc>
          <w:tcPr>
            <w:tcW w:w="64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249.2</w:t>
            </w:r>
          </w:p>
        </w:tc>
        <w:tc>
          <w:tcPr>
            <w:tcW w:w="500" w:type="dxa"/>
            <w:vAlign w:val="bottom"/>
          </w:tcPr>
          <w:p>
            <w:pPr>
              <w:ind w:left="38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235.5</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316.9</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profit as a percentage of net sales</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5.1%</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Increase in comp sales</w:t>
            </w:r>
          </w:p>
        </w:tc>
        <w:tc>
          <w:tcPr>
            <w:tcW w:w="640" w:type="dxa"/>
            <w:vAlign w:val="bottom"/>
          </w:tcPr>
          <w:p>
            <w:pPr>
              <w:spacing w:after="0"/>
              <w:rPr>
                <w:sz w:val="17"/>
                <w:szCs w:val="17"/>
                <w:color w:val="auto"/>
              </w:rPr>
            </w:pP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w:t>
            </w:r>
          </w:p>
        </w:tc>
        <w:tc>
          <w:tcPr>
            <w:tcW w:w="500" w:type="dxa"/>
            <w:vAlign w:val="bottom"/>
          </w:tcPr>
          <w:p>
            <w:pPr>
              <w:spacing w:after="0"/>
              <w:rPr>
                <w:sz w:val="17"/>
                <w:szCs w:val="17"/>
                <w:color w:val="auto"/>
              </w:rPr>
            </w:pPr>
          </w:p>
        </w:tc>
        <w:tc>
          <w:tcPr>
            <w:tcW w:w="10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in operation at end of period</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T.K. Maxx</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540</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503</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456</w:t>
            </w:r>
          </w:p>
        </w:tc>
      </w:tr>
      <w:tr>
        <w:trPr>
          <w:trHeight w:val="203"/>
        </w:trPr>
        <w:tc>
          <w:tcPr>
            <w:tcW w:w="7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55</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39</w:t>
            </w:r>
          </w:p>
        </w:tc>
      </w:tr>
      <w:tr>
        <w:trPr>
          <w:trHeight w:val="203"/>
        </w:trPr>
        <w:tc>
          <w:tcPr>
            <w:tcW w:w="710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T.K. Maxx Australia</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b w:val="1"/>
                <w:bCs w:val="1"/>
                <w:color w:val="auto"/>
              </w:rPr>
              <w:t>38</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202" w:lineRule="exact"/>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35</w:t>
            </w:r>
          </w:p>
        </w:tc>
      </w:tr>
      <w:tr>
        <w:trPr>
          <w:trHeight w:val="196"/>
        </w:trPr>
        <w:tc>
          <w:tcPr>
            <w:tcW w:w="71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196" w:lineRule="exact"/>
              <w:rPr>
                <w:sz w:val="20"/>
                <w:szCs w:val="20"/>
                <w:color w:val="auto"/>
              </w:rPr>
            </w:pPr>
            <w:r>
              <w:rPr>
                <w:rFonts w:ascii="Arial" w:cs="Arial" w:eastAsia="Arial" w:hAnsi="Arial"/>
                <w:sz w:val="18"/>
                <w:szCs w:val="18"/>
                <w:b w:val="1"/>
                <w:bCs w:val="1"/>
                <w:color w:val="auto"/>
              </w:rPr>
              <w:t>633</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196" w:lineRule="exact"/>
              <w:rPr>
                <w:sz w:val="20"/>
                <w:szCs w:val="20"/>
                <w:color w:val="auto"/>
              </w:rPr>
            </w:pPr>
            <w:r>
              <w:rPr>
                <w:rFonts w:ascii="Arial" w:cs="Arial" w:eastAsia="Arial" w:hAnsi="Arial"/>
                <w:sz w:val="18"/>
                <w:szCs w:val="18"/>
                <w:color w:val="auto"/>
              </w:rPr>
              <w:t>582</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530</w:t>
            </w: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color w:val="auto"/>
              </w:rPr>
              <w:t>Selling square footage at end of period (in thousands)</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T.K. Maxx</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11,379</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10,787</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9,970</w:t>
            </w:r>
          </w:p>
        </w:tc>
      </w:tr>
      <w:tr>
        <w:trPr>
          <w:trHeight w:val="203"/>
        </w:trPr>
        <w:tc>
          <w:tcPr>
            <w:tcW w:w="7100" w:type="dxa"/>
            <w:vAlign w:val="bottom"/>
          </w:tcPr>
          <w:p>
            <w:pPr>
              <w:ind w:left="220"/>
              <w:spacing w:after="0" w:line="202" w:lineRule="exact"/>
              <w:rPr>
                <w:sz w:val="20"/>
                <w:szCs w:val="20"/>
                <w:color w:val="auto"/>
              </w:rPr>
            </w:pPr>
            <w:r>
              <w:rPr>
                <w:rFonts w:ascii="Arial" w:cs="Arial" w:eastAsia="Arial" w:hAnsi="Arial"/>
                <w:sz w:val="18"/>
                <w:szCs w:val="18"/>
                <w:color w:val="auto"/>
              </w:rPr>
              <w:t>Homesense</w:t>
            </w:r>
          </w:p>
        </w:tc>
        <w:tc>
          <w:tcPr>
            <w:tcW w:w="640" w:type="dxa"/>
            <w:vAlign w:val="bottom"/>
          </w:tcPr>
          <w:p>
            <w:pPr>
              <w:spacing w:after="0"/>
              <w:rPr>
                <w:sz w:val="17"/>
                <w:szCs w:val="17"/>
                <w:color w:val="auto"/>
              </w:rPr>
            </w:pPr>
          </w:p>
        </w:tc>
        <w:tc>
          <w:tcPr>
            <w:tcW w:w="9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883</w:t>
            </w:r>
          </w:p>
        </w:tc>
        <w:tc>
          <w:tcPr>
            <w:tcW w:w="500" w:type="dxa"/>
            <w:vAlign w:val="bottom"/>
          </w:tcPr>
          <w:p>
            <w:pPr>
              <w:spacing w:after="0"/>
              <w:rPr>
                <w:sz w:val="17"/>
                <w:szCs w:val="17"/>
                <w:color w:val="auto"/>
              </w:rPr>
            </w:pPr>
          </w:p>
        </w:tc>
        <w:tc>
          <w:tcPr>
            <w:tcW w:w="10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714</w:t>
            </w:r>
          </w:p>
        </w:tc>
        <w:tc>
          <w:tcPr>
            <w:tcW w:w="380" w:type="dxa"/>
            <w:vAlign w:val="bottom"/>
          </w:tcPr>
          <w:p>
            <w:pPr>
              <w:spacing w:after="0"/>
              <w:rPr>
                <w:sz w:val="17"/>
                <w:szCs w:val="17"/>
                <w:color w:val="auto"/>
              </w:rPr>
            </w:pPr>
          </w:p>
        </w:tc>
        <w:tc>
          <w:tcPr>
            <w:tcW w:w="8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639</w:t>
            </w:r>
          </w:p>
        </w:tc>
      </w:tr>
      <w:tr>
        <w:trPr>
          <w:trHeight w:val="203"/>
        </w:trPr>
        <w:tc>
          <w:tcPr>
            <w:tcW w:w="71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T.K. Maxx Australia</w:t>
            </w: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714</w:t>
            </w: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color w:val="auto"/>
              </w:rPr>
              <w:t>667</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667</w:t>
            </w:r>
          </w:p>
        </w:tc>
      </w:tr>
      <w:tr>
        <w:trPr>
          <w:trHeight w:val="196"/>
        </w:trPr>
        <w:tc>
          <w:tcPr>
            <w:tcW w:w="710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line="196" w:lineRule="exact"/>
              <w:rPr>
                <w:sz w:val="20"/>
                <w:szCs w:val="20"/>
                <w:color w:val="auto"/>
              </w:rPr>
            </w:pPr>
            <w:r>
              <w:rPr>
                <w:rFonts w:ascii="Arial" w:cs="Arial" w:eastAsia="Arial" w:hAnsi="Arial"/>
                <w:sz w:val="18"/>
                <w:szCs w:val="18"/>
                <w:b w:val="1"/>
                <w:bCs w:val="1"/>
                <w:color w:val="auto"/>
              </w:rPr>
              <w:t>12,976</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12,168</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11,276</w:t>
            </w:r>
          </w:p>
        </w:tc>
      </w:tr>
    </w:tbl>
    <w:p>
      <w:pPr>
        <w:spacing w:after="0" w:line="84" w:lineRule="exact"/>
        <w:rPr>
          <w:sz w:val="20"/>
          <w:szCs w:val="20"/>
          <w:color w:val="auto"/>
        </w:rPr>
      </w:pPr>
    </w:p>
    <w:p>
      <w:pPr>
        <w:jc w:val="both"/>
        <w:ind w:right="500" w:firstLine="342"/>
        <w:spacing w:after="0" w:line="224" w:lineRule="auto"/>
        <w:rPr>
          <w:sz w:val="20"/>
          <w:szCs w:val="20"/>
          <w:color w:val="auto"/>
        </w:rPr>
      </w:pPr>
      <w:r>
        <w:rPr>
          <w:rFonts w:ascii="Arial" w:cs="Arial" w:eastAsia="Arial" w:hAnsi="Arial"/>
          <w:sz w:val="18"/>
          <w:szCs w:val="18"/>
          <w:color w:val="auto"/>
        </w:rPr>
        <w:t>Net sales for TJX International increased 11% in fiscal 2018 on top of a 3% increase in fiscal 2017. The increase in sales for fiscal 2018 reflected a 7% increase from new stores, comp sales growth of 2%, and a 2% benefit from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Foreign currency translation had a neutral impact on fiscal 2018 sales growth. The increase in comp sales for fiscal 2018 was primarily driven by an increase in customer traffic. E-commerce sales represent less than 3% of TJX International’s net sales.</w:t>
      </w:r>
    </w:p>
    <w:p>
      <w:pPr>
        <w:spacing w:after="0" w:line="76"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The increase in fiscal 2017 reflected a 12% increase from new store sales (which includes a full fiscal year of T.K. Maxx in Australia) and a 2% increase from comp sales, offset by the unfavorable impact from currency translation of 11%. The increase in comp sales for fiscal 2017 was primarily driven by an increase in customer traffic.</w:t>
      </w:r>
    </w:p>
    <w:p>
      <w:pPr>
        <w:spacing w:after="0" w:line="73" w:lineRule="exact"/>
        <w:rPr>
          <w:sz w:val="20"/>
          <w:szCs w:val="20"/>
          <w:color w:val="auto"/>
        </w:rPr>
      </w:pPr>
    </w:p>
    <w:p>
      <w:pPr>
        <w:ind w:right="20" w:firstLine="342"/>
        <w:spacing w:after="0" w:line="228" w:lineRule="auto"/>
        <w:rPr>
          <w:sz w:val="20"/>
          <w:szCs w:val="20"/>
          <w:color w:val="auto"/>
        </w:rPr>
      </w:pPr>
      <w:r>
        <w:rPr>
          <w:rFonts w:ascii="Arial" w:cs="Arial" w:eastAsia="Arial" w:hAnsi="Arial"/>
          <w:sz w:val="18"/>
          <w:szCs w:val="18"/>
          <w:color w:val="auto"/>
        </w:rPr>
        <w:t>Segment profit margin decreased to 5.1% for fiscal 2018 compared to 5.4% for fiscal 2017. The decline in segment margin was driven by higher supply chain costs associated with the opening of a new distribution center and higher store payroll, which collectively reduced segment margin by approximately 0.7 percentage points. Segment margin was also negatively impacted by expense deleverage on the 2% comp sales growth. These declines in segment margin were partially offset by a favorable impact of 0.4 percentage points due to foreign currency, primarily the mark-to-market impact of the inventory derivatives as well as the benefit of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which lifted the segment margin by approximately 0.2 percentage points.</w:t>
      </w:r>
    </w:p>
    <w:p>
      <w:pPr>
        <w:spacing w:after="0" w:line="73" w:lineRule="exact"/>
        <w:rPr>
          <w:sz w:val="20"/>
          <w:szCs w:val="20"/>
          <w:color w:val="auto"/>
        </w:rPr>
      </w:pPr>
    </w:p>
    <w:p>
      <w:pPr>
        <w:ind w:right="240" w:firstLine="342"/>
        <w:spacing w:after="0" w:line="237" w:lineRule="auto"/>
        <w:rPr>
          <w:sz w:val="20"/>
          <w:szCs w:val="20"/>
          <w:color w:val="auto"/>
        </w:rPr>
      </w:pPr>
      <w:r>
        <w:rPr>
          <w:rFonts w:ascii="Arial" w:cs="Arial" w:eastAsia="Arial" w:hAnsi="Arial"/>
          <w:sz w:val="18"/>
          <w:szCs w:val="18"/>
          <w:color w:val="auto"/>
        </w:rPr>
        <w:t>Segment profit margin decreased 2.1% percentage points to 5.4% in fiscal 2017 compared to fiscal 2016. The inclusion of T.K. Maxx in Australia for the full year negatively impacted segment margin by 0.9 percentage points. In addition, fiscal 2017 segment margin was negatively affected by the unfavorable impact of the mark-to-market adjustment of inventory derivatives, higher store payroll costs and expense deleverage on the lower comp sales growth.</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add approximately 35 stores to TJX International in fiscal 2019, which would increase selling square footage by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color w:val="auto"/>
              </w:rPr>
              <w:t>Fiscal Year Ended</w:t>
            </w:r>
          </w:p>
        </w:tc>
        <w:tc>
          <w:tcPr>
            <w:tcW w:w="1020" w:type="dxa"/>
            <w:vAlign w:val="bottom"/>
            <w:tcBorders>
              <w:bottom w:val="single" w:sz="8" w:color="auto"/>
            </w:tcBorders>
          </w:tcPr>
          <w:p>
            <w:pPr>
              <w:spacing w:after="0"/>
              <w:rPr>
                <w:sz w:val="14"/>
                <w:szCs w:val="14"/>
                <w:color w:val="auto"/>
              </w:rPr>
            </w:pPr>
          </w:p>
        </w:tc>
      </w:tr>
      <w:tr>
        <w:trPr>
          <w:trHeight w:val="125"/>
        </w:trPr>
        <w:tc>
          <w:tcPr>
            <w:tcW w:w="3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58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February 3,</w:t>
            </w:r>
          </w:p>
        </w:tc>
        <w:tc>
          <w:tcPr>
            <w:tcW w:w="1580" w:type="dxa"/>
            <w:vAlign w:val="bottom"/>
          </w:tcPr>
          <w:p>
            <w:pPr>
              <w:jc w:val="right"/>
              <w:ind w:right="347"/>
              <w:spacing w:after="0" w:line="125" w:lineRule="exact"/>
              <w:rPr>
                <w:sz w:val="20"/>
                <w:szCs w:val="20"/>
                <w:color w:val="auto"/>
              </w:rPr>
            </w:pPr>
            <w:r>
              <w:rPr>
                <w:rFonts w:ascii="Arial" w:cs="Arial" w:eastAsia="Arial" w:hAnsi="Arial"/>
                <w:sz w:val="14"/>
                <w:szCs w:val="14"/>
                <w:color w:val="auto"/>
              </w:rPr>
              <w:t>January 28,</w:t>
            </w:r>
          </w:p>
        </w:tc>
        <w:tc>
          <w:tcPr>
            <w:tcW w:w="102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49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96"/>
        </w:trPr>
        <w:tc>
          <w:tcPr>
            <w:tcW w:w="3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General corporate expense</w:t>
            </w:r>
          </w:p>
        </w:tc>
        <w:tc>
          <w:tcPr>
            <w:tcW w:w="4940" w:type="dxa"/>
            <w:vAlign w:val="bottom"/>
            <w:tcBorders>
              <w:bottom w:val="single" w:sz="8" w:color="auto"/>
            </w:tcBorders>
            <w:gridSpan w:val="2"/>
            <w:shd w:val="clear" w:color="auto" w:fill="CCEEFF"/>
          </w:tcPr>
          <w:p>
            <w:pPr>
              <w:jc w:val="right"/>
              <w:ind w:right="172"/>
              <w:spacing w:after="0" w:line="196" w:lineRule="exact"/>
              <w:rPr>
                <w:sz w:val="20"/>
                <w:szCs w:val="20"/>
                <w:color w:val="auto"/>
              </w:rPr>
            </w:pPr>
            <w:r>
              <w:rPr>
                <w:rFonts w:ascii="Arial" w:cs="Arial" w:eastAsia="Arial" w:hAnsi="Arial"/>
                <w:sz w:val="18"/>
                <w:szCs w:val="18"/>
                <w:b w:val="1"/>
                <w:bCs w:val="1"/>
                <w:color w:val="auto"/>
              </w:rPr>
              <w:t>$  515.0</w:t>
            </w:r>
          </w:p>
        </w:tc>
        <w:tc>
          <w:tcPr>
            <w:tcW w:w="1580" w:type="dxa"/>
            <w:vAlign w:val="bottom"/>
            <w:tcBorders>
              <w:bottom w:val="single" w:sz="8" w:color="auto"/>
            </w:tcBorders>
            <w:shd w:val="clear" w:color="auto" w:fill="CCEEFF"/>
          </w:tcPr>
          <w:p>
            <w:pPr>
              <w:jc w:val="right"/>
              <w:ind w:right="347"/>
              <w:spacing w:after="0" w:line="196" w:lineRule="exact"/>
              <w:rPr>
                <w:sz w:val="20"/>
                <w:szCs w:val="20"/>
                <w:color w:val="auto"/>
              </w:rPr>
            </w:pPr>
            <w:r>
              <w:rPr>
                <w:rFonts w:ascii="Arial" w:cs="Arial" w:eastAsia="Arial" w:hAnsi="Arial"/>
                <w:sz w:val="18"/>
                <w:szCs w:val="18"/>
                <w:color w:val="auto"/>
              </w:rPr>
              <w:t>$  408.2</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395.6</w:t>
            </w:r>
          </w:p>
        </w:tc>
      </w:tr>
      <w:tr>
        <w:trPr>
          <w:trHeight w:val="356"/>
        </w:trPr>
        <w:tc>
          <w:tcPr>
            <w:tcW w:w="3880" w:type="dxa"/>
            <w:vAlign w:val="bottom"/>
          </w:tcPr>
          <w:p>
            <w:pPr>
              <w:spacing w:after="0"/>
              <w:rPr>
                <w:sz w:val="24"/>
                <w:szCs w:val="24"/>
                <w:color w:val="auto"/>
              </w:rPr>
            </w:pPr>
          </w:p>
        </w:tc>
        <w:tc>
          <w:tcPr>
            <w:tcW w:w="3360" w:type="dxa"/>
            <w:vAlign w:val="bottom"/>
          </w:tcPr>
          <w:p>
            <w:pPr>
              <w:jc w:val="right"/>
              <w:ind w:right="1339"/>
              <w:spacing w:after="0"/>
              <w:rPr>
                <w:sz w:val="20"/>
                <w:szCs w:val="20"/>
                <w:color w:val="auto"/>
              </w:rPr>
            </w:pPr>
            <w:r>
              <w:rPr>
                <w:rFonts w:ascii="Arial" w:cs="Arial" w:eastAsia="Arial" w:hAnsi="Arial"/>
                <w:sz w:val="18"/>
                <w:szCs w:val="18"/>
                <w:color w:val="auto"/>
              </w:rPr>
              <w:t>35</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35" w:name="page36"/>
    <w:bookmarkEnd w:id="35"/>
    <w:p>
      <w:pPr>
        <w:ind w:right="20" w:firstLine="342"/>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corporate expense for segment reporting purposes represents those costs not specifically related to the operations of our business segments. General corporate expenses are primarily included in SG&amp;A expenses. The mark-to-market adjustment of our fuel hedges is included in cost of sales, including buying and occupancy costs.</w:t>
      </w:r>
    </w:p>
    <w:p>
      <w:pPr>
        <w:spacing w:after="0" w:line="73"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increase in general corporate expense for fiscal 2018 was primarily driven by the incremental investments related to the 2017 Tax Act. These investments include a discretionary bonus to eligible non-bonus plan associates, additional retirement plan contributions and contributions to TJX’s charitable foundations, which totaled $100 million in fiscal 2018.</w:t>
      </w:r>
    </w:p>
    <w:p>
      <w:pPr>
        <w:spacing w:after="0" w:line="73" w:lineRule="exact"/>
        <w:rPr>
          <w:sz w:val="20"/>
          <w:szCs w:val="20"/>
          <w:color w:val="auto"/>
        </w:rPr>
      </w:pPr>
    </w:p>
    <w:p>
      <w:pPr>
        <w:ind w:right="340" w:firstLine="342"/>
        <w:spacing w:after="0" w:line="238" w:lineRule="auto"/>
        <w:rPr>
          <w:sz w:val="20"/>
          <w:szCs w:val="20"/>
          <w:color w:val="auto"/>
        </w:rPr>
      </w:pPr>
      <w:r>
        <w:rPr>
          <w:rFonts w:ascii="Arial" w:cs="Arial" w:eastAsia="Arial" w:hAnsi="Arial"/>
          <w:sz w:val="18"/>
          <w:szCs w:val="18"/>
          <w:color w:val="auto"/>
        </w:rPr>
        <w:t>The increase in general corporate expense for fiscal 2017 was primarily driven by incremental systems and technology costs as well as increases in compensation, benefits and professional services. These increases were partially offset by the impact of lower contributions to the TJX charitable foundations in fiscal 2017 as compared to fiscal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jc w:val="both"/>
        <w:ind w:right="200" w:firstLine="342"/>
        <w:spacing w:after="0" w:line="238" w:lineRule="auto"/>
        <w:rPr>
          <w:sz w:val="20"/>
          <w:szCs w:val="20"/>
          <w:color w:val="auto"/>
        </w:rPr>
      </w:pPr>
      <w:r>
        <w:rPr>
          <w:rFonts w:ascii="Arial" w:cs="Arial" w:eastAsia="Arial" w:hAnsi="Arial"/>
          <w:sz w:val="18"/>
          <w:szCs w:val="18"/>
          <w:color w:val="auto"/>
        </w:rPr>
        <w:t>Our liquidity requirements have traditionally been funded through cash generated from operations, supplemented, as needed, by short-term bank borrowings and the issuance of commercial paper. As of February 3, 2018, there were no short-term bank borrowings or commercial paper outstanding.</w:t>
      </w:r>
    </w:p>
    <w:p>
      <w:pPr>
        <w:spacing w:after="0" w:line="73" w:lineRule="exact"/>
        <w:rPr>
          <w:sz w:val="20"/>
          <w:szCs w:val="20"/>
          <w:color w:val="auto"/>
        </w:rPr>
      </w:pPr>
    </w:p>
    <w:p>
      <w:pPr>
        <w:ind w:right="160" w:firstLine="342"/>
        <w:spacing w:after="0" w:line="299" w:lineRule="auto"/>
        <w:rPr>
          <w:sz w:val="20"/>
          <w:szCs w:val="20"/>
          <w:color w:val="auto"/>
        </w:rPr>
      </w:pPr>
      <w:r>
        <w:rPr>
          <w:rFonts w:ascii="Arial" w:cs="Arial" w:eastAsia="Arial" w:hAnsi="Arial"/>
          <w:sz w:val="16"/>
          <w:szCs w:val="16"/>
          <w:color w:val="auto"/>
        </w:rPr>
        <w:t>We believe our existing cash and cash equivalents, internally generated funds and our credit facilities, described in Note J – Long Term Debt and Credit Lines of Notes to Consolidated Financial Statements, are more than adequate to meet our operating needs over the next fiscal year.</w:t>
      </w:r>
    </w:p>
    <w:p>
      <w:pPr>
        <w:spacing w:after="0" w:line="28"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As of February 3, 2018, TJX held $2.8 billion in cash and $0.5 billion in short-term investments. Approximately $1.8 billion of our cash was held by our foreign subsidiaries with $398.6 million held in countries where we provisionally intend to indefinitely reinvest any undistributed earnings. TJX has provided for all applicable state and foreign withholding taxes on all undistributed earnings of its foreign subsidiaries in Canada, Puerto Rico, Italy, India, Hong Kong and Vietnam through February 3, 2018. If we repatriate cash from such subsidiaries, we should not incur additional tax expense and our cash would be reduced by the amount of withholding taxes paid. We expect to repatriate more than $1 billion in cash from our subsidiary in Canada during fiscal 2019. Additionally, as part of the 2017 Tax Act we recorded a transition tax related to the undistributed earnings of our foreign subsidiaries of $193 million which is payable over 8 years.</w:t>
      </w:r>
    </w:p>
    <w:p>
      <w:pPr>
        <w:spacing w:after="0" w:line="54" w:lineRule="exact"/>
        <w:rPr>
          <w:sz w:val="20"/>
          <w:szCs w:val="20"/>
          <w:color w:val="auto"/>
        </w:rPr>
      </w:pPr>
    </w:p>
    <w:p>
      <w:pPr>
        <w:ind w:right="420" w:firstLine="342"/>
        <w:spacing w:after="0" w:line="262"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$3.0 billion in fiscal 2018, $3.6 billion in fiscal 2017 and $3.0 billion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2016. The cash generated from operating activities in each of these fiscal years was largely due to operating earnings.</w:t>
      </w:r>
    </w:p>
    <w:p>
      <w:pPr>
        <w:spacing w:after="0" w:line="54"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Operating cash flows for fiscal 2018 decreased by $0.6 billion compared to fiscal 2017. Net income, adjusted for non-cash items increased operating cash flows in fiscal 2018 as compared to fiscal 2017 by $0.3 billion. This increase in cash flows was more than offset by a $0.3 billion decrease in cash flows related to merchandise inventories, net of related accounts payable, a $0.3 billion decrease in cash flows related to accounts receivable and prepaid expenses and a $0.3 billion decrease in cash flows related to accrued expenses and other liabilities. Merchandise inventories, net of related accounts payable increased in fiscal 2018 due in part to the lower inventory levels we carried at fiscal 2017 year end. The increase in accounts receivable was driven by credit card receivables. The increase in prepaid expenses and other current assets was primarily due to the prefunding of certain service contracts as well as the timing of rent payments which was impacted by the change in our fiscal year end dates. The change in accrued expenses and other liabilities was driven by a reduction in sales taxes and income taxes payable, primarily due to timing of payments and benefits associated with the 2017 Tax Act, as well as a contribution of $100 million to the Company’s defined benefit pension plan in fiscal 2018, as compared to $50 million last year.</w:t>
      </w:r>
    </w:p>
    <w:p>
      <w:pPr>
        <w:spacing w:after="0" w:line="80"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Operating cash flows for fiscal 2017 increased by $0.7 billion compared to fiscal 2016. Net income, adjusted for non-cash items and the early extinguishment of debt, increased operating cash flows in fiscal 2017 as compared to fiscal 2016 by $0.1 billion. The remaining increase in operating cash flows was primarily due to a $0.3 billion increase in cash flows related to merchandise inventory, net of related accounts payable and a</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91" w:right="259" w:bottom="1440" w:gutter="0" w:footer="0" w:header="0"/>
        </w:sectPr>
      </w:pPr>
    </w:p>
    <w:bookmarkStart w:id="36" w:name="page37"/>
    <w:bookmarkEnd w:id="36"/>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$0.2 billion increase in cash flows related to accrued expenses and other liabilities. The positive cash flow impact from the change in inventory, net of related accounts payable in 2017 was due to lower inventory levels at fiscal 2017 year end and increased payments in fiscal 2016 due to merchandise received late in the fourth quarter of fiscal 2015 that was paid for in fiscal 2016. The positive impact from accrued expenses and other liabilities was driven primarily by increased liabilities for deferred compensation, gift cards and deferred revenue, sales taxes and income taxes payable.</w:t>
      </w:r>
    </w:p>
    <w:p>
      <w:pPr>
        <w:spacing w:after="0" w:line="56"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include capital expenditures for the last three fiscal years as set forth in the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color w:val="auto"/>
              </w:rPr>
              <w:t>Fiscal Year Ended</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5"/>
        </w:trPr>
        <w:tc>
          <w:tcPr>
            <w:tcW w:w="7800" w:type="dxa"/>
            <w:vAlign w:val="bottom"/>
          </w:tcPr>
          <w:p>
            <w:pPr>
              <w:spacing w:after="0"/>
              <w:rPr>
                <w:sz w:val="10"/>
                <w:szCs w:val="10"/>
                <w:color w:val="auto"/>
              </w:rPr>
            </w:pPr>
          </w:p>
        </w:tc>
        <w:tc>
          <w:tcPr>
            <w:tcW w:w="1300" w:type="dxa"/>
            <w:vAlign w:val="bottom"/>
            <w:gridSpan w:val="2"/>
          </w:tcPr>
          <w:p>
            <w:pPr>
              <w:ind w:left="440"/>
              <w:spacing w:after="0" w:line="125" w:lineRule="exact"/>
              <w:rPr>
                <w:sz w:val="20"/>
                <w:szCs w:val="20"/>
                <w:color w:val="auto"/>
              </w:rPr>
            </w:pPr>
            <w:r>
              <w:rPr>
                <w:rFonts w:ascii="Arial" w:cs="Arial" w:eastAsia="Arial" w:hAnsi="Arial"/>
                <w:sz w:val="14"/>
                <w:szCs w:val="14"/>
                <w:b w:val="1"/>
                <w:bCs w:val="1"/>
                <w:color w:val="auto"/>
              </w:rPr>
              <w:t>February 3,</w:t>
            </w:r>
          </w:p>
        </w:tc>
        <w:tc>
          <w:tcPr>
            <w:tcW w:w="1400" w:type="dxa"/>
            <w:vAlign w:val="bottom"/>
            <w:gridSpan w:val="2"/>
          </w:tcPr>
          <w:p>
            <w:pPr>
              <w:ind w:left="360"/>
              <w:spacing w:after="0" w:line="125" w:lineRule="exact"/>
              <w:rPr>
                <w:sz w:val="20"/>
                <w:szCs w:val="20"/>
                <w:color w:val="auto"/>
              </w:rPr>
            </w:pPr>
            <w:r>
              <w:rPr>
                <w:rFonts w:ascii="Arial" w:cs="Arial" w:eastAsia="Arial" w:hAnsi="Arial"/>
                <w:sz w:val="14"/>
                <w:szCs w:val="14"/>
                <w:color w:val="auto"/>
              </w:rPr>
              <w:t>January 28,</w:t>
            </w:r>
          </w:p>
        </w:tc>
        <w:tc>
          <w:tcPr>
            <w:tcW w:w="920" w:type="dxa"/>
            <w:vAlign w:val="bottom"/>
            <w:gridSpan w:val="2"/>
          </w:tcPr>
          <w:p>
            <w:pPr>
              <w:ind w:left="160"/>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7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New stores</w:t>
            </w:r>
          </w:p>
        </w:tc>
        <w:tc>
          <w:tcPr>
            <w:tcW w:w="56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b w:val="1"/>
                <w:bCs w:val="1"/>
                <w:color w:val="auto"/>
              </w:rPr>
              <w:t>226.0</w:t>
            </w:r>
          </w:p>
        </w:tc>
        <w:tc>
          <w:tcPr>
            <w:tcW w:w="4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191.2</w:t>
            </w:r>
          </w:p>
        </w:tc>
        <w:tc>
          <w:tcPr>
            <w:tcW w:w="3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199.1</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Store renovations and improvements</w:t>
            </w:r>
          </w:p>
        </w:tc>
        <w:tc>
          <w:tcPr>
            <w:tcW w:w="560" w:type="dxa"/>
            <w:vAlign w:val="bottom"/>
          </w:tcPr>
          <w:p>
            <w:pPr>
              <w:spacing w:after="0"/>
              <w:rPr>
                <w:sz w:val="17"/>
                <w:szCs w:val="17"/>
                <w:color w:val="auto"/>
              </w:rPr>
            </w:pPr>
          </w:p>
        </w:tc>
        <w:tc>
          <w:tcPr>
            <w:tcW w:w="7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335.2</w:t>
            </w:r>
          </w:p>
        </w:tc>
        <w:tc>
          <w:tcPr>
            <w:tcW w:w="460" w:type="dxa"/>
            <w:vAlign w:val="bottom"/>
          </w:tcPr>
          <w:p>
            <w:pPr>
              <w:spacing w:after="0"/>
              <w:rPr>
                <w:sz w:val="17"/>
                <w:szCs w:val="17"/>
                <w:color w:val="auto"/>
              </w:rPr>
            </w:pPr>
          </w:p>
        </w:tc>
        <w:tc>
          <w:tcPr>
            <w:tcW w:w="94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274.8</w:t>
            </w:r>
          </w:p>
        </w:tc>
        <w:tc>
          <w:tcPr>
            <w:tcW w:w="3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299.7</w:t>
            </w:r>
          </w:p>
        </w:tc>
      </w:tr>
      <w:tr>
        <w:trPr>
          <w:trHeight w:val="203"/>
        </w:trPr>
        <w:tc>
          <w:tcPr>
            <w:tcW w:w="7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Office and distribution centers</w:t>
            </w:r>
          </w:p>
        </w:tc>
        <w:tc>
          <w:tcPr>
            <w:tcW w:w="5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rPr>
              <w:t>496.4</w:t>
            </w: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558.7</w:t>
            </w: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390.6</w:t>
            </w:r>
          </w:p>
        </w:tc>
      </w:tr>
      <w:tr>
        <w:trPr>
          <w:trHeight w:val="196"/>
        </w:trPr>
        <w:tc>
          <w:tcPr>
            <w:tcW w:w="7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Capital expenditures</w:t>
            </w:r>
          </w:p>
        </w:tc>
        <w:tc>
          <w:tcPr>
            <w:tcW w:w="56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b w:val="1"/>
                <w:bCs w:val="1"/>
                <w:color w:val="auto"/>
                <w:w w:val="96"/>
              </w:rPr>
              <w:t>1,057.6</w:t>
            </w:r>
          </w:p>
        </w:tc>
        <w:tc>
          <w:tcPr>
            <w:tcW w:w="46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56"/>
              <w:spacing w:after="0" w:line="196" w:lineRule="exact"/>
              <w:rPr>
                <w:sz w:val="20"/>
                <w:szCs w:val="20"/>
                <w:color w:val="auto"/>
              </w:rPr>
            </w:pPr>
            <w:r>
              <w:rPr>
                <w:rFonts w:ascii="Arial" w:cs="Arial" w:eastAsia="Arial" w:hAnsi="Arial"/>
                <w:sz w:val="18"/>
                <w:szCs w:val="18"/>
                <w:color w:val="auto"/>
                <w:w w:val="96"/>
              </w:rPr>
              <w:t>1,024.7</w:t>
            </w:r>
          </w:p>
        </w:tc>
        <w:tc>
          <w:tcPr>
            <w:tcW w:w="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889.4</w:t>
            </w:r>
          </w:p>
        </w:tc>
      </w:tr>
    </w:tbl>
    <w:p>
      <w:pPr>
        <w:spacing w:after="0" w:line="84"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We expect our capital expenditures in fiscal 2019 will be approximately $1.4 billion, including approximately $800 million for our offices and distribution centers (including buying and merchandising systems and information systems) to support growth, approximately $400 million for store renovations and approximately $200 million for new stores. We plan to fund these expenditures through internally generated funds.</w:t>
      </w:r>
    </w:p>
    <w:p>
      <w:pPr>
        <w:spacing w:after="0" w:line="73" w:lineRule="exact"/>
        <w:rPr>
          <w:sz w:val="20"/>
          <w:szCs w:val="20"/>
          <w:color w:val="auto"/>
        </w:rPr>
      </w:pPr>
    </w:p>
    <w:p>
      <w:pPr>
        <w:ind w:right="220" w:firstLine="342"/>
        <w:spacing w:after="0" w:line="281" w:lineRule="auto"/>
        <w:rPr>
          <w:sz w:val="20"/>
          <w:szCs w:val="20"/>
          <w:color w:val="auto"/>
        </w:rPr>
      </w:pPr>
      <w:r>
        <w:rPr>
          <w:rFonts w:ascii="Arial" w:cs="Arial" w:eastAsia="Arial" w:hAnsi="Arial"/>
          <w:sz w:val="16"/>
          <w:szCs w:val="16"/>
          <w:color w:val="auto"/>
        </w:rPr>
        <w:t>In fiscal 2018, we purchased $0.9 billion of investments, compared to $0.7 billion in fiscal 2017. Additionally, $0.9 billion of investments were sold or matured during fiscal 2018 compared to $0.5 billion in the prior year. This activity primarily relates to short-term investments which had initial maturities in excess of 90 days and, per our policy, are not classified as cash on the consolidated balance sheets presented.</w:t>
      </w:r>
    </w:p>
    <w:p>
      <w:pPr>
        <w:spacing w:after="0" w:line="23" w:lineRule="exact"/>
        <w:rPr>
          <w:sz w:val="20"/>
          <w:szCs w:val="20"/>
          <w:color w:val="auto"/>
        </w:rPr>
      </w:pPr>
    </w:p>
    <w:p>
      <w:pPr>
        <w:ind w:right="120" w:firstLine="342"/>
        <w:spacing w:after="0" w:line="325"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resulted in net cash outflows of $2.3 billion in fiscal 2018, $1.6 billion in fiscal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$2.2 billion in fiscal 2016. These cash outflows were primarily driven by debt transactions, equity repurchases and dividend payments.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5"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During the fiscal 2017 third quarter we received net proceeds of $992.5 million from the issuance of $1 billion of 2.25% ten-year notes. A portion of the proceeds were used to redeem our $375 million 6.95% notes prior to their scheduled maturity. The redemption of the notes, including the prepayment penalty, resulted in cash outflows of $426 million. The remainder of the proceeds from the notes offering were used for working capital and other general corporate purposes.</w:t>
      </w:r>
    </w:p>
    <w:p>
      <w:pPr>
        <w:spacing w:after="0" w:line="74"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color w:val="auto"/>
        </w:rPr>
        <w:t xml:space="preserve">For further information regarding debt, see Note J – Long Term Debt and Credit Lines of Notes to Consolidated Financial Statements. </w:t>
      </w:r>
      <w:r>
        <w:rPr>
          <w:rFonts w:ascii="Arial" w:cs="Arial" w:eastAsia="Arial" w:hAnsi="Arial"/>
          <w:sz w:val="18"/>
          <w:szCs w:val="18"/>
          <w:i w:val="1"/>
          <w:iCs w:val="1"/>
          <w:color w:val="auto"/>
        </w:rPr>
        <w:t>Equity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TJX repurchased and retired 22.3 million shares of its common stock at a cost of $1.7 billion during fiscal 2018, on a “trade date basis.” TJX</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reflects stock repurchases in its financial statements on a “settlement date” or cash basis. Under our stock repurchase programs, we spent</w:t>
      </w:r>
    </w:p>
    <w:p>
      <w:pPr>
        <w:spacing w:after="0" w:line="234" w:lineRule="auto"/>
        <w:rPr>
          <w:sz w:val="20"/>
          <w:szCs w:val="20"/>
          <w:color w:val="auto"/>
        </w:rPr>
      </w:pPr>
      <w:r>
        <w:rPr>
          <w:rFonts w:ascii="Arial" w:cs="Arial" w:eastAsia="Arial" w:hAnsi="Arial"/>
          <w:sz w:val="18"/>
          <w:szCs w:val="18"/>
          <w:color w:val="auto"/>
        </w:rPr>
        <w:t>$1.6 billion to repurchase 22.2 million shares of our stock in fiscal 2018, $1.7 billion to repurchase 22.3 million shares of our stock in fiscal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$1.8 billion to repurchase 26.6 million shares of our stock in fiscal 2016.</w:t>
      </w:r>
    </w:p>
    <w:p>
      <w:pPr>
        <w:spacing w:after="0" w:line="77"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For further information regarding equity repurchases, see Note D – Capital Stock and Earnings Per Share of Notes to Consolidated Financial Statements.</w:t>
      </w:r>
    </w:p>
    <w:p>
      <w:pPr>
        <w:spacing w:after="0" w:line="74"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In February 2018, we announced that our Board of Directors authorized an additional repurchase program authorizing the repurchase of up to an additional $3.0 billion of TJX stock. We currently plan to repurchase approximately $2.5 billion to $3.0 billion of stock under our stock repurchase programs in fiscal 2019.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91" w:right="239" w:bottom="1440" w:gutter="0" w:footer="0" w:header="0"/>
        </w:sectPr>
      </w:pPr>
    </w:p>
    <w:bookmarkStart w:id="37" w:name="page38"/>
    <w:bookmarkEnd w:id="37"/>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the timing and amount of repurchases based on our assessment of various factors including excess cash flow, liquidity, economic and market conditions, our assessment of prospects for our business, legal requirements and other factors. The timing and amount of these purchases may change.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5"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We declared quarterly dividends on our common stock which totaled $1.25 per share in fiscal 2018, $1.04 per share in fiscal 2017 and $0.84 per share in fiscal 2016. Cash payments for dividends on our common stock totaled $764 million in fiscal 2018, $651 million in fiscal 2017 and $544 million in fiscal 2016. We also received proceeds from the exercise of employee stock options of $134 million in fiscal 2018, $164 million in fiscal 2017 and $132 million in fiscal 2016. We expect to pay quarterly dividends for fiscal 2019 of $0.39 per share, or an annual dividend of $1.56 per share, subject to the declaration and approval of our Board of Directors. This would represent a 25% increase over the per share dividends declared and paid in fiscal 2018.</w:t>
      </w:r>
    </w:p>
    <w:p>
      <w:pPr>
        <w:spacing w:after="0" w:line="55" w:lineRule="exact"/>
        <w:rPr>
          <w:sz w:val="20"/>
          <w:szCs w:val="20"/>
          <w:color w:val="auto"/>
        </w:rPr>
      </w:pPr>
    </w:p>
    <w:p>
      <w:pPr>
        <w:ind w:right="80" w:firstLine="342"/>
        <w:spacing w:after="0" w:line="325" w:lineRule="auto"/>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February 3, 2018, we had known contractual obligations under long-term debt arrangements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installments), other long-term obligations, operating leases for property and equipment and purchase obligations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color w:val="auto"/>
              </w:rPr>
              <w:t>Tabular Disclosure of</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Payments Due by Period</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Less Than</w:t>
            </w:r>
          </w:p>
        </w:tc>
        <w:tc>
          <w:tcPr>
            <w:tcW w:w="480" w:type="dxa"/>
            <w:vAlign w:val="bottom"/>
          </w:tcPr>
          <w:p>
            <w:pPr>
              <w:spacing w:after="0"/>
              <w:rPr>
                <w:sz w:val="12"/>
                <w:szCs w:val="12"/>
                <w:color w:val="auto"/>
              </w:rPr>
            </w:pPr>
          </w:p>
        </w:tc>
        <w:tc>
          <w:tcPr>
            <w:tcW w:w="1100" w:type="dxa"/>
            <w:vAlign w:val="bottom"/>
          </w:tcPr>
          <w:p>
            <w:pPr>
              <w:jc w:val="right"/>
              <w:ind w:right="239"/>
              <w:spacing w:after="0" w:line="141"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980" w:type="dxa"/>
            <w:vAlign w:val="bottom"/>
          </w:tcPr>
          <w:p>
            <w:pPr>
              <w:jc w:val="right"/>
              <w:ind w:right="119"/>
              <w:spacing w:after="0" w:line="141" w:lineRule="exact"/>
              <w:rPr>
                <w:sz w:val="20"/>
                <w:szCs w:val="20"/>
                <w:color w:val="auto"/>
              </w:rPr>
            </w:pPr>
            <w:r>
              <w:rPr>
                <w:rFonts w:ascii="Arial" w:cs="Arial" w:eastAsia="Arial" w:hAnsi="Arial"/>
                <w:sz w:val="14"/>
                <w:szCs w:val="14"/>
                <w:color w:val="auto"/>
              </w:rPr>
              <w:t>3-5</w:t>
            </w:r>
          </w:p>
        </w:tc>
        <w:tc>
          <w:tcPr>
            <w:tcW w:w="1140" w:type="dxa"/>
            <w:vAlign w:val="bottom"/>
          </w:tcPr>
          <w:p>
            <w:pPr>
              <w:jc w:val="right"/>
              <w:spacing w:after="0" w:line="141" w:lineRule="exact"/>
              <w:rPr>
                <w:sz w:val="20"/>
                <w:szCs w:val="20"/>
                <w:color w:val="auto"/>
              </w:rPr>
            </w:pPr>
            <w:r>
              <w:rPr>
                <w:rFonts w:ascii="Arial" w:cs="Arial" w:eastAsia="Arial" w:hAnsi="Arial"/>
                <w:sz w:val="14"/>
                <w:szCs w:val="14"/>
                <w:color w:val="auto"/>
              </w:rPr>
              <w:t>More Than</w:t>
            </w:r>
          </w:p>
        </w:tc>
        <w:tc>
          <w:tcPr>
            <w:tcW w:w="0" w:type="dxa"/>
            <w:vAlign w:val="bottom"/>
          </w:tcPr>
          <w:p>
            <w:pPr>
              <w:spacing w:after="0"/>
              <w:rPr>
                <w:sz w:val="1"/>
                <w:szCs w:val="1"/>
                <w:color w:val="auto"/>
              </w:rPr>
            </w:pPr>
          </w:p>
        </w:tc>
      </w:tr>
      <w:tr>
        <w:trPr>
          <w:trHeight w:val="163"/>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Contractual Obligations</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Year</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Years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 xml:space="preserve">Long-term debt and other long-term obligations </w:t>
            </w:r>
            <w:r>
              <w:rPr>
                <w:rFonts w:ascii="Arial" w:cs="Arial" w:eastAsia="Arial" w:hAnsi="Arial"/>
                <w:sz w:val="22"/>
                <w:szCs w:val="22"/>
                <w:color w:val="auto"/>
                <w:vertAlign w:val="superscript"/>
              </w:rPr>
              <w:t>(1)</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2,960,726</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83,782</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39"/>
              <w:spacing w:after="0" w:line="196" w:lineRule="exact"/>
              <w:rPr>
                <w:sz w:val="20"/>
                <w:szCs w:val="20"/>
                <w:color w:val="auto"/>
              </w:rPr>
            </w:pPr>
            <w:r>
              <w:rPr>
                <w:rFonts w:ascii="Arial" w:cs="Arial" w:eastAsia="Arial" w:hAnsi="Arial"/>
                <w:sz w:val="18"/>
                <w:szCs w:val="18"/>
                <w:color w:val="auto"/>
              </w:rPr>
              <w:t>166,810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886,782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$1,823,352</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2"/>
                <w:szCs w:val="22"/>
                <w:color w:val="auto"/>
                <w:vertAlign w:val="superscript"/>
              </w:rPr>
              <w:t>(2)</w:t>
            </w:r>
          </w:p>
        </w:tc>
        <w:tc>
          <w:tcPr>
            <w:tcW w:w="440" w:type="dxa"/>
            <w:vAlign w:val="bottom"/>
          </w:tcPr>
          <w:p>
            <w:pPr>
              <w:spacing w:after="0"/>
              <w:rPr>
                <w:sz w:val="17"/>
                <w:szCs w:val="17"/>
                <w:color w:val="auto"/>
              </w:rPr>
            </w:pPr>
          </w:p>
        </w:tc>
        <w:tc>
          <w:tcPr>
            <w:tcW w:w="10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9,494,751</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1,600,536</w:t>
            </w:r>
          </w:p>
        </w:tc>
        <w:tc>
          <w:tcPr>
            <w:tcW w:w="480" w:type="dxa"/>
            <w:vAlign w:val="bottom"/>
          </w:tcPr>
          <w:p>
            <w:pPr>
              <w:spacing w:after="0"/>
              <w:rPr>
                <w:sz w:val="17"/>
                <w:szCs w:val="17"/>
                <w:color w:val="auto"/>
              </w:rPr>
            </w:pPr>
          </w:p>
        </w:tc>
        <w:tc>
          <w:tcPr>
            <w:tcW w:w="1100" w:type="dxa"/>
            <w:vAlign w:val="bottom"/>
          </w:tcPr>
          <w:p>
            <w:pPr>
              <w:jc w:val="right"/>
              <w:ind w:right="239"/>
              <w:spacing w:after="0" w:line="202" w:lineRule="exact"/>
              <w:rPr>
                <w:sz w:val="20"/>
                <w:szCs w:val="20"/>
                <w:color w:val="auto"/>
              </w:rPr>
            </w:pPr>
            <w:r>
              <w:rPr>
                <w:rFonts w:ascii="Arial" w:cs="Arial" w:eastAsia="Arial" w:hAnsi="Arial"/>
                <w:sz w:val="18"/>
                <w:szCs w:val="18"/>
                <w:color w:val="auto"/>
                <w:w w:val="94"/>
              </w:rPr>
              <w:t>2,924,504</w:t>
            </w:r>
          </w:p>
        </w:tc>
        <w:tc>
          <w:tcPr>
            <w:tcW w:w="180" w:type="dxa"/>
            <w:vAlign w:val="bottom"/>
          </w:tcPr>
          <w:p>
            <w:pPr>
              <w:spacing w:after="0"/>
              <w:rPr>
                <w:sz w:val="17"/>
                <w:szCs w:val="17"/>
                <w:color w:val="auto"/>
              </w:rPr>
            </w:pPr>
          </w:p>
        </w:tc>
        <w:tc>
          <w:tcPr>
            <w:tcW w:w="980" w:type="dxa"/>
            <w:vAlign w:val="bottom"/>
          </w:tcPr>
          <w:p>
            <w:pPr>
              <w:jc w:val="right"/>
              <w:ind w:right="119"/>
              <w:spacing w:after="0" w:line="202" w:lineRule="exact"/>
              <w:rPr>
                <w:sz w:val="20"/>
                <w:szCs w:val="20"/>
                <w:color w:val="auto"/>
              </w:rPr>
            </w:pPr>
            <w:r>
              <w:rPr>
                <w:rFonts w:ascii="Arial" w:cs="Arial" w:eastAsia="Arial" w:hAnsi="Arial"/>
                <w:sz w:val="18"/>
                <w:szCs w:val="18"/>
                <w:color w:val="auto"/>
                <w:w w:val="94"/>
              </w:rPr>
              <w:t>2,233,360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2,736,351</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2"/>
                <w:szCs w:val="22"/>
                <w:color w:val="auto"/>
                <w:vertAlign w:val="superscript"/>
              </w:rPr>
              <w:t>(3)</w:t>
            </w: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3,689,892</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3,474,158</w:t>
            </w: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9"/>
              <w:spacing w:after="0" w:line="202" w:lineRule="exact"/>
              <w:rPr>
                <w:sz w:val="20"/>
                <w:szCs w:val="20"/>
                <w:color w:val="auto"/>
              </w:rPr>
            </w:pPr>
            <w:r>
              <w:rPr>
                <w:rFonts w:ascii="Arial" w:cs="Arial" w:eastAsia="Arial" w:hAnsi="Arial"/>
                <w:sz w:val="18"/>
                <w:szCs w:val="18"/>
                <w:color w:val="auto"/>
              </w:rPr>
              <w:t>153,249</w:t>
            </w: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62,485</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obligations</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w w:val="97"/>
              </w:rPr>
              <w:t>16,145,369</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5,158,476</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9"/>
              <w:spacing w:after="0" w:line="196" w:lineRule="exact"/>
              <w:rPr>
                <w:sz w:val="20"/>
                <w:szCs w:val="20"/>
                <w:color w:val="auto"/>
              </w:rPr>
            </w:pPr>
            <w:r>
              <w:rPr>
                <w:rFonts w:ascii="Arial" w:cs="Arial" w:eastAsia="Arial" w:hAnsi="Arial"/>
                <w:sz w:val="18"/>
                <w:szCs w:val="18"/>
                <w:color w:val="auto"/>
                <w:w w:val="94"/>
              </w:rPr>
              <w:t>3,244,563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w w:val="94"/>
              </w:rPr>
              <w:t>3,182,627</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$4,559,703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estimated interest costs, financing lease obligations and other long-term liabilities.</w:t>
      </w:r>
    </w:p>
    <w:p>
      <w:pPr>
        <w:spacing w:after="0" w:line="41" w:lineRule="exact"/>
        <w:rPr>
          <w:rFonts w:ascii="Arial" w:cs="Arial" w:eastAsia="Arial" w:hAnsi="Arial"/>
          <w:sz w:val="14"/>
          <w:szCs w:val="14"/>
          <w:color w:val="auto"/>
        </w:rPr>
      </w:pPr>
    </w:p>
    <w:p>
      <w:pPr>
        <w:ind w:left="220" w:right="120" w:hanging="212"/>
        <w:spacing w:after="0" w:line="231" w:lineRule="auto"/>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minimum rent. Does not include costs for insurance, real estate taxes, other operating expenses and, in some cases, rentals based on a percentage of sales; these items totaled approximately one-third of the total minimum rent for fiscal 2018.</w:t>
      </w:r>
    </w:p>
    <w:p>
      <w:pPr>
        <w:spacing w:after="0" w:line="41" w:lineRule="exact"/>
        <w:rPr>
          <w:rFonts w:ascii="Arial" w:cs="Arial" w:eastAsia="Arial" w:hAnsi="Arial"/>
          <w:sz w:val="14"/>
          <w:szCs w:val="14"/>
          <w:color w:val="auto"/>
        </w:rPr>
      </w:pPr>
    </w:p>
    <w:p>
      <w:pPr>
        <w:ind w:left="220" w:right="720" w:hanging="212"/>
        <w:spacing w:after="0" w:line="231" w:lineRule="auto"/>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estimated obligations under purchase orders for merchandise and under agreements for capital items, products and services used in our business, including executive employment and other agreements. Excludes agreements that can be cancelled without penalty.</w:t>
      </w:r>
    </w:p>
    <w:p>
      <w:pPr>
        <w:spacing w:after="0" w:line="72" w:lineRule="exact"/>
        <w:rPr>
          <w:sz w:val="20"/>
          <w:szCs w:val="20"/>
          <w:color w:val="auto"/>
        </w:rPr>
      </w:pPr>
    </w:p>
    <w:p>
      <w:pPr>
        <w:ind w:right="200" w:firstLine="342"/>
        <w:spacing w:after="0" w:line="239" w:lineRule="auto"/>
        <w:rPr>
          <w:sz w:val="20"/>
          <w:szCs w:val="20"/>
          <w:color w:val="auto"/>
        </w:rPr>
      </w:pPr>
      <w:r>
        <w:rPr>
          <w:rFonts w:ascii="Arial" w:cs="Arial" w:eastAsia="Arial" w:hAnsi="Arial"/>
          <w:sz w:val="18"/>
          <w:szCs w:val="18"/>
          <w:color w:val="auto"/>
        </w:rPr>
        <w:t>We also have long-term liabilities for which it is not reasonably possible for us to predict when they may be paid which include $442.6 million for employee compensation and benefits, and $44.8 million for uncertain tax positions.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77"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(“GAAP”) which require us to make certain estimates and judgments that impact our reported results. These judgments and estimates are based on historical experience and other factors which we continually review and believe are reasonable. We consider our most critical accounting policies, involving management estimates and judgments, to be those relating to the areas described below.</w:t>
      </w:r>
    </w:p>
    <w:p>
      <w:pPr>
        <w:spacing w:after="0" w:line="54"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use the retail method for valuing inventory for all our businesses except T.K. Maxx in Australia and STP.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that utilize the retail method have some inventory that is initially valued at cost before the retail method is applied as it has not been fully processed for sale (i.e. inventory in transit and unprocessed inventory in our distribution centers). Under the retail method, the cost value of inventory and gross margins are determined by calculating a cost-to-retail ratio and applying it to the retail value of inventory. It involves management estimates with regard to markdowns and inventory shrinkage. Under the retail method, permanent markdowns are reflected in inventory valuation when the price of an item is reduced. Typically, a significant area of judgment in the retail method is the amount and timing of permanent markdowns. However, as a normal business practice, we have a specific policy as to when and how markdowns are to be taken, greatly reducing management’s discretion and the need for management estimates as to markdowns. Inventory shrinkage requires estimating a shrinkage rate for interim periods, but we take a full physical inventory near the fiscal year end to determine shrinkage at year end. Historically, the variance between estimated shrinkage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91" w:right="239" w:bottom="1440" w:gutter="0" w:footer="0" w:header="0"/>
        </w:sectPr>
      </w:pPr>
    </w:p>
    <w:bookmarkStart w:id="38" w:name="page39"/>
    <w:bookmarkEnd w:id="38"/>
    <w:p>
      <w:pPr>
        <w:ind w:right="2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shrinkage has not been material to our annual financial results. We do not generally enter into arrangements with vendors that provide for rebates and allowances that could ultimately affect the value of inventory.</w:t>
      </w:r>
    </w:p>
    <w:p>
      <w:pPr>
        <w:spacing w:after="0" w:line="5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b w:val="1"/>
          <w:bCs w:val="1"/>
          <w:i w:val="1"/>
          <w:iCs w:val="1"/>
          <w:color w:val="auto"/>
        </w:rPr>
        <w:t xml:space="preserve">Impairment of long-lived assets, goodwill and tradenames: </w:t>
      </w:r>
      <w:r>
        <w:rPr>
          <w:rFonts w:ascii="Arial" w:cs="Arial" w:eastAsia="Arial" w:hAnsi="Arial"/>
          <w:sz w:val="18"/>
          <w:szCs w:val="18"/>
          <w:color w:val="auto"/>
        </w:rPr>
        <w:t>We test our long-lived assets, goodwill and tradenames at least annually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and whenever events or circumstances occur that would indicate that the carrying amounts of those assets may be impaired. Significant judgment is involved in projecting the cash flows of individual stores, as well as of our business units, which involve a number of factors including historical trends, recent performance and general economic assumptions. If we determine that an impairment of long-lived assets or tradenames has occurred, we record an impairment charge equal to the excess of the carrying value of those assets over the estimated fair value of the assets. If we determine that an impairment of goodwill has occurred, we record an impairment charge equal to the excess of the carrying value of the applicable reporting unit over the estimated fair value of the reporting unit, but not in excess of the carrying amount of goodwill. We determine the fair value of our business units using the discounted cash flow method which requires assumptions for the weighted average cost of capital (“WACC”) and revenue growth for the related business unit. The fair value of our business units exceeds their carrying value by a significant amount with the exception of STP. As a result of a reduction in the projected revenue growth rates of STP the estimated fair value of this reporting unit was less than its carrying value, and therefore we have recorded an impairment charge of $97.3 million for the goodwill recorded at the time of acquisition. We continue to transition STP from a promotional model to the off-price model and expand its store base. Although we are optimistic about the future of STP, since its acquisition, operating results have not met our short term expectations. The operating results of STP are not material to TJX’s consolidated results.</w:t>
      </w:r>
    </w:p>
    <w:p>
      <w:pPr>
        <w:spacing w:after="0" w:line="56"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b w:val="1"/>
          <w:bCs w:val="1"/>
          <w:i w:val="1"/>
          <w:iCs w:val="1"/>
          <w:color w:val="auto"/>
        </w:rPr>
        <w:t xml:space="preserve">Retirement obligations: </w:t>
      </w:r>
      <w:r>
        <w:rPr>
          <w:rFonts w:ascii="Arial" w:cs="Arial" w:eastAsia="Arial" w:hAnsi="Arial"/>
          <w:sz w:val="18"/>
          <w:szCs w:val="18"/>
          <w:color w:val="auto"/>
        </w:rPr>
        <w:t>Retirement costs are accrued over the service life of an employee and represent, in the aggregate, obligations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ultimately be settled far in the future and are therefore subject to estimates. We are required to make economic, demographic and other assumptions regarding variables, such as the discount rate for valuing pension obligations, the long-term rate of return assumed to be earned on pension assets and assumptions about mortality, all of which impact the net periodic pension cost for the period. These assumptions, including the discount rate, which we determine annually based on market interest rates, and our estimated long-term rate of return, which can differ considerably from actual returns, can have a significant impact on the annual cost of retirement benefits and the funded status of our qualified pension plan. If our discount rate decreased 0.25 percentage points, our fiscal 2018 pension cost for our funded plan would have increased by approximately $7 million. Similarly, an increase in the discount of rate of 0.25 percentage points would result in a comparable reduction of pension cost. A change of 0.25 percentage points in our long-term rate of return would increase or decrease our fiscal 2018 pension cost by approximately $3 million. When the discount rate, market performance of our plan assets, changes in laws, regulations, actuarial standards or other factors have a negative impact on the funded status of our plan, any required contributions may increase. We also consider these factors in determining the amount of voluntary contributions we may make to the plan in excess of mandatory funding requirements. In fiscal 2018, we funded our qualified pension plan with a voluntary contribution of $100 million.</w:t>
      </w:r>
    </w:p>
    <w:p>
      <w:pPr>
        <w:spacing w:after="0" w:line="57"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In accordance with GAAP, we estimate the fair value of stock awards issued to employees and directors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 Incentive Plan. The fair value of the awards is amortized as “share-based compensation” over the vesting periods during which the recipients are required to provide service. We use the Black-Scholes option pricing model for determining the fair value of stock options granted, which requires management to make significant judgments and estimates such as participant activity and market results. The use of different assumptions and estimates could have a material impact on the estimated fair value of stock option grants and the related compensation cost. A 5% increase in expected volatility would increase the per-option value of our most recent option award by 4% while a decrease of the same amount would decrease the per-option value of our most recent option award by 5%.</w:t>
      </w:r>
    </w:p>
    <w:p>
      <w:pPr>
        <w:spacing w:after="0" w:line="56" w:lineRule="exact"/>
        <w:rPr>
          <w:sz w:val="20"/>
          <w:szCs w:val="20"/>
          <w:color w:val="auto"/>
        </w:rPr>
      </w:pPr>
    </w:p>
    <w:p>
      <w:pPr>
        <w:ind w:right="20" w:firstLine="342"/>
        <w:spacing w:after="0" w:line="244" w:lineRule="auto"/>
        <w:rPr>
          <w:sz w:val="20"/>
          <w:szCs w:val="20"/>
          <w:color w:val="auto"/>
        </w:rPr>
      </w:pPr>
      <w:r>
        <w:rPr>
          <w:rFonts w:ascii="Arial" w:cs="Arial" w:eastAsia="Arial" w:hAnsi="Arial"/>
          <w:sz w:val="18"/>
          <w:szCs w:val="18"/>
          <w:b w:val="1"/>
          <w:bCs w:val="1"/>
          <w:i w:val="1"/>
          <w:iCs w:val="1"/>
          <w:color w:val="auto"/>
        </w:rPr>
        <w:t xml:space="preserve">Casualty insurance: </w:t>
      </w:r>
      <w:r>
        <w:rPr>
          <w:rFonts w:ascii="Arial" w:cs="Arial" w:eastAsia="Arial" w:hAnsi="Arial"/>
          <w:sz w:val="18"/>
          <w:szCs w:val="18"/>
          <w:color w:val="auto"/>
        </w:rPr>
        <w:t>Our casualty insurance program is a self-insured program which requires us to estimate the total claims we would incur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component of our annual insurance cost. The estimated claims are developed, with the assistance of an actuary, based on historical experience and other factors. These estimates involve significant judgments and assumptions, and actual results could differ from these estimates. If our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91" w:right="259" w:bottom="1440" w:gutter="0" w:footer="0" w:header="0"/>
        </w:sectPr>
      </w:pPr>
    </w:p>
    <w:bookmarkStart w:id="39" w:name="page40"/>
    <w:bookmarkEnd w:id="3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 for the claims component of our casualty insurance for fiscal 2018 were to change by 5%, the fiscal 2018 pre-tax cost would increase or decrease by approximately $5 million. A large portion of these claims is funded with a non-refundable payment during the policy year, offsetting our estimated claims accrual. We had a net accrual of $39.6 million for the unfunded portion of our casualty insurance program as of February 3, 2018.</w:t>
      </w:r>
    </w:p>
    <w:p>
      <w:pPr>
        <w:spacing w:after="0" w:line="23"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b w:val="1"/>
          <w:bCs w:val="1"/>
          <w:i w:val="1"/>
          <w:iCs w:val="1"/>
          <w:color w:val="auto"/>
        </w:rPr>
        <w:t xml:space="preserve">Reserves for uncertain tax positions: </w:t>
      </w:r>
      <w:r>
        <w:rPr>
          <w:rFonts w:ascii="Arial" w:cs="Arial" w:eastAsia="Arial" w:hAnsi="Arial"/>
          <w:sz w:val="18"/>
          <w:szCs w:val="18"/>
          <w:color w:val="auto"/>
        </w:rPr>
        <w:t>Like many large corporations, our income and other tax returns and reports are regularly audited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state and local tax authorities in the United States and in foreign jurisdictions where we operate and such authorities may challenge positions we take. We are engaged in various administrative and judicial proceedings in multiple jurisdictions with respect to assessments, claims, deficiencies and refunds and other tax matters, which proceedings are in various stages of negotiation, assessment, examination, litigation and settlement. The outcomes of these proceedings are uncertain. In accordance with GAAP, we evaluate our uncertain tax positions based on our understanding of the facts, circumstances and information available at the reporting date, and we accrue for exposure when we believe that it is more likely than not, based on the technical merits, that the positions we have taken will not be sustained. However, in the next twelve months and in future periods, the amounts we accrue for uncertain tax positions from time to time or ultimately pay, as the result of the final resolutions of examinations, judicial or administrative proceedings, changes in facts, law, or legal interpretations, expirations of applicable statute of limitations or other resolutions of, or changes in, tax positions may differ either positively or negatively from the amounts we have accrued, and may result in reductions to or additions to accruals, refund claims or payments for periods not currently under examination or for which no claims have been made, such as the recently enacted tax reform. Finally, foreign governments may enact tax laws in response to the 2017 Tax Act that could result in further changes to global taxation and materially affect our financial position and results of operations. Final resolutions of our tax positions or changes in accruals for uncertain tax positions could result in additional tax expense or benefit and could have a material impact on our results of operations of the period in which an examination or proceeding is resolved or in the period in which a changed outcome becomes probable and reasonably estimable.</w:t>
      </w:r>
    </w:p>
    <w:p>
      <w:pPr>
        <w:spacing w:after="0" w:line="167"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 2017 Tax Act significantly changes how corporations are taxed, requiring complex computations to be performed that were not previously required in U.S. tax law, significant judgments to be made in interpretation of the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54" w:lineRule="exact"/>
        <w:rPr>
          <w:sz w:val="20"/>
          <w:szCs w:val="20"/>
          <w:color w:val="auto"/>
        </w:rPr>
      </w:pPr>
    </w:p>
    <w:p>
      <w:pPr>
        <w:ind w:right="40" w:firstLine="342"/>
        <w:spacing w:after="0" w:line="241" w:lineRule="auto"/>
        <w:rPr>
          <w:sz w:val="20"/>
          <w:szCs w:val="20"/>
          <w:color w:val="auto"/>
        </w:rPr>
      </w:pPr>
      <w:r>
        <w:rPr>
          <w:rFonts w:ascii="Arial" w:cs="Arial" w:eastAsia="Arial" w:hAnsi="Arial"/>
          <w:sz w:val="18"/>
          <w:szCs w:val="18"/>
          <w:b w:val="1"/>
          <w:bCs w:val="1"/>
          <w:i w:val="1"/>
          <w:iCs w:val="1"/>
          <w:color w:val="auto"/>
        </w:rPr>
        <w:t xml:space="preserve">Loss contingencies: </w:t>
      </w:r>
      <w:r>
        <w:rPr>
          <w:rFonts w:ascii="Arial" w:cs="Arial" w:eastAsia="Arial" w:hAnsi="Arial"/>
          <w:sz w:val="18"/>
          <w:szCs w:val="18"/>
          <w:color w:val="auto"/>
        </w:rPr>
        <w:t>Certain conditions may exist as of the date the financial statements are issued that may result in a loss to us but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resolved until one or more future events occur or fail to occur. Our management, with the assistance of our legal counsel, assesses such contingent liabilities. Such assessments inherently involve the exercise of judgment. In assessing loss contingencies related to legal proceedings that are pending against us or claims that may result in such proceedings, our legal counsel assists us in evaluating the perceived merits of any legal proceedings or claims as well as the perceived merits of the relief sought or expected to be sought therein.</w:t>
      </w:r>
    </w:p>
    <w:p>
      <w:pPr>
        <w:spacing w:after="0" w:line="75" w:lineRule="exact"/>
        <w:rPr>
          <w:sz w:val="20"/>
          <w:szCs w:val="20"/>
          <w:color w:val="auto"/>
        </w:rPr>
      </w:pPr>
    </w:p>
    <w:p>
      <w:pPr>
        <w:ind w:right="160" w:firstLine="342"/>
        <w:spacing w:after="0" w:line="275" w:lineRule="auto"/>
        <w:rPr>
          <w:sz w:val="20"/>
          <w:szCs w:val="20"/>
          <w:color w:val="auto"/>
        </w:rPr>
      </w:pPr>
      <w:r>
        <w:rPr>
          <w:rFonts w:ascii="Arial" w:cs="Arial" w:eastAsia="Arial" w:hAnsi="Arial"/>
          <w:sz w:val="16"/>
          <w:szCs w:val="16"/>
          <w:color w:val="auto"/>
        </w:rPr>
        <w:t>If the assessment of a contingency indicates that it is probable that a material loss has been incurred and the amount of the liability can be reasonably estimated, we will accrue for the estimated liability in the financial statements. If the assessment indicates that a potentially material loss contingency is not probable, but is reasonably possible, or is probable but cannot be reasonably estimated, we will disclose the nature of the contingent liability, together with an estimate of the range of the possible loss or a statement that such loss is not reasonably estimable.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9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ACCOUNTING PRONOUNCEMENTS</w:t>
      </w:r>
    </w:p>
    <w:p>
      <w:pPr>
        <w:spacing w:after="0" w:line="77" w:lineRule="exact"/>
        <w:rPr>
          <w:sz w:val="20"/>
          <w:szCs w:val="20"/>
          <w:color w:val="auto"/>
        </w:rPr>
      </w:pPr>
    </w:p>
    <w:p>
      <w:pPr>
        <w:ind w:right="500" w:firstLine="342"/>
        <w:spacing w:after="0" w:line="238" w:lineRule="auto"/>
        <w:rPr>
          <w:sz w:val="20"/>
          <w:szCs w:val="20"/>
          <w:color w:val="auto"/>
        </w:rPr>
      </w:pPr>
      <w:r>
        <w:rPr>
          <w:rFonts w:ascii="Arial" w:cs="Arial" w:eastAsia="Arial" w:hAnsi="Arial"/>
          <w:sz w:val="18"/>
          <w:szCs w:val="18"/>
          <w:color w:val="auto"/>
        </w:rPr>
        <w:t>For a discussion of accounting pronouncements, see Note A- Basis of Presentation and Summary of Accounting Policies of Notes to Consolidated Financial Statements included in this annual report on Form 10-K, including the dates of adoption and estimated effects on our results of operations, financial position or cash flows.</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TJX is exposed to market risks in the ordinary course of business. Some potential market risks are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RISK</w:t>
      </w:r>
    </w:p>
    <w:p>
      <w:pPr>
        <w:spacing w:after="0" w:line="77"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We are exposed to foreign currency exchange rate risk on the translation of our foreign operations into the U.S. dollar and on purchases of goods in currencies that are not the local currencies of stores where the goods are sold and on intercompany debt and interest payable between and among our domestic and international operations. Our currency risk primarily relates to our activity in the Canadian dollar, British pound and Euro. As more fully described in Note E- Financial Instruments of Notes to Consolidated Financial Statements, we use derivative financial instruments to hedge a portion of certain merchandise purchase commitments, primarily at our international operations, and a portion of our intercompany transactions with and within our international operations. We enter into derivative contracts only for the purpose of hedging the underlying economic exposure. We utilize currency forward and swap contracts, designed to offset the gains or losses on the underlying exposures. The contracts are executed with banks we believe are creditworthy and are denominated in currencies of major industrial countries. Our foreign exchange risk management policy prohibits us from using derivative financial instruments for trading or other speculative purposes and we do not use any leveraged derivative financial instruments. We have performed a sensitivity analysis assuming a hypothetical 10% adverse movement in foreign currency exchange rates applied to the hedging contracts and the underlying exposures described above as well as the translation of our foreign operations into our reporting currency. As of February 3, 2018 and January 28, 2017, the analysis indicated that such an adverse movement would not have a material effect on our consolidated financial position but could have reduced our pre-tax income by approximately $78 million and $65 million, in fiscal years 2018 and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PRICE AND OTHER MARKET RISK</w:t>
      </w:r>
    </w:p>
    <w:p>
      <w:pPr>
        <w:spacing w:after="0" w:line="77" w:lineRule="exact"/>
        <w:rPr>
          <w:sz w:val="20"/>
          <w:szCs w:val="20"/>
          <w:color w:val="auto"/>
        </w:rPr>
      </w:pPr>
    </w:p>
    <w:p>
      <w:pPr>
        <w:ind w:right="40" w:firstLine="342"/>
        <w:spacing w:after="0" w:line="271" w:lineRule="auto"/>
        <w:rPr>
          <w:sz w:val="20"/>
          <w:szCs w:val="20"/>
          <w:color w:val="auto"/>
        </w:rPr>
      </w:pPr>
      <w:r>
        <w:rPr>
          <w:rFonts w:ascii="Arial" w:cs="Arial" w:eastAsia="Arial" w:hAnsi="Arial"/>
          <w:sz w:val="16"/>
          <w:szCs w:val="16"/>
          <w:color w:val="auto"/>
        </w:rPr>
        <w:t>The assets of our funded qualified pension plan, a portion of which are equity securities, are subject to the risks and uncertainties of the financial markets. We invest the pension assets (described further in Note I- Pension Plans and Other Retirement Benefits of Notes to Consolidated Financial Statements) in a manner that attempts to minimize and control our exposure to market uncertainties. Investments, in general, are exposed to various risks, such as interest rate, credit, and overall market volatility risks. A significant decline in the financial markets could adversely affect the value of our pension plan assets and the funded status of our pension plan, resulting in increased required contributions to the plan or other plan-related liabilities. Our pension plan investment policy prohibits the use of derivatives for speculative purposes.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may be found on pages F-1 through F-36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91" w:right="279" w:bottom="1440" w:gutter="0" w:footer="0" w:header="0"/>
        </w:sectPr>
      </w:pPr>
    </w:p>
    <w:bookmarkStart w:id="41" w:name="page42"/>
    <w:bookmarkEnd w:id="4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9A.</w:t>
      </w:r>
      <w:r>
        <w:rPr>
          <w:sz w:val="20"/>
          <w:szCs w:val="20"/>
          <w:color w:val="auto"/>
        </w:rPr>
        <w:tab/>
      </w:r>
      <w:r>
        <w:rPr>
          <w:rFonts w:ascii="Arial" w:cs="Arial" w:eastAsia="Arial" w:hAnsi="Arial"/>
          <w:sz w:val="16"/>
          <w:szCs w:val="16"/>
          <w:b w:val="1"/>
          <w:bCs w:val="1"/>
          <w:color w:val="auto"/>
        </w:rPr>
        <w:t>Controls and Procedures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Evaluation of Disclosure Controls and Procedures</w:t>
      </w:r>
    </w:p>
    <w:p>
      <w:pPr>
        <w:spacing w:after="0" w:line="77" w:lineRule="exact"/>
        <w:rPr>
          <w:sz w:val="20"/>
          <w:szCs w:val="20"/>
          <w:color w:val="auto"/>
        </w:rPr>
      </w:pPr>
    </w:p>
    <w:p>
      <w:pPr>
        <w:ind w:right="140" w:firstLine="342"/>
        <w:spacing w:after="0" w:line="264"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as defined in Rules</w:t>
      </w:r>
    </w:p>
    <w:p>
      <w:pPr>
        <w:spacing w:after="0" w:line="236" w:lineRule="auto"/>
        <w:rPr>
          <w:sz w:val="20"/>
          <w:szCs w:val="20"/>
          <w:color w:val="auto"/>
        </w:rPr>
      </w:pPr>
      <w:r>
        <w:rPr>
          <w:rFonts w:ascii="Arial" w:cs="Arial" w:eastAsia="Arial" w:hAnsi="Arial"/>
          <w:sz w:val="18"/>
          <w:szCs w:val="18"/>
          <w:color w:val="auto"/>
        </w:rPr>
        <w:t>13a-15(e) and 15d-15(e) under the Exchange Act, as of the end of the period covered by this report pursuant to Rules 13a-15 and 15d-15 of the Exchange Act. Based upon that evaluation, our Chief Executive Officer and Chief Financial Officer concluded that our disclosure controls and procedures are effective at a reasonable assurance level in ensuring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Changes in Internal Control Over Financial Reporting</w:t>
      </w:r>
    </w:p>
    <w:p>
      <w:pPr>
        <w:spacing w:after="0" w:line="77"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Effective January 26, 2018, we implemented a new merchandise accounting system at TJX Europe that resulted in material changes to our process and procedures affecting internal control over financial reporting. Otherwise, there were no changes in our internal control over financial reporting (as defined in Rules 13a-15(f) and 15d-15(f) under the Exchange Act) during the fourth quarter of fiscal 2018 identified in connection with our Chief Executive Officer’s and Chief Financial Officer’s evaluation that have materially affected, or are reasonably likely to materially affect, our internal control over financial reporting.</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Management’s Annual Report on Internal Control Over Financial Reporting</w:t>
      </w:r>
    </w:p>
    <w:p>
      <w:pPr>
        <w:spacing w:after="0" w:line="77"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6" w:lineRule="exact"/>
        <w:rPr>
          <w:sz w:val="20"/>
          <w:szCs w:val="20"/>
          <w:color w:val="auto"/>
        </w:rPr>
      </w:pPr>
    </w:p>
    <w:p>
      <w:pPr>
        <w:ind w:left="660" w:right="140" w:hanging="324"/>
        <w:spacing w:after="0" w:line="239" w:lineRule="auto"/>
        <w:rPr>
          <w:sz w:val="20"/>
          <w:szCs w:val="20"/>
          <w:color w:val="auto"/>
        </w:rPr>
      </w:pPr>
      <w:r>
        <w:rPr>
          <w:rFonts w:ascii="Arial" w:cs="Arial" w:eastAsia="Arial" w:hAnsi="Arial"/>
          <w:sz w:val="18"/>
          <w:szCs w:val="18"/>
          <w:color w:val="auto"/>
        </w:rPr>
        <w:t>— Pertain to the maintenance of records that in reasonable detail accurately and fairly reflect the transactions and dispositions of the assets of TJX;</w:t>
      </w:r>
    </w:p>
    <w:p>
      <w:pPr>
        <w:spacing w:after="0" w:line="73" w:lineRule="exact"/>
        <w:rPr>
          <w:sz w:val="20"/>
          <w:szCs w:val="20"/>
          <w:color w:val="auto"/>
        </w:rPr>
      </w:pPr>
    </w:p>
    <w:p>
      <w:pPr>
        <w:ind w:left="660" w:right="300" w:hanging="324"/>
        <w:spacing w:after="0" w:line="238" w:lineRule="auto"/>
        <w:rPr>
          <w:sz w:val="20"/>
          <w:szCs w:val="20"/>
          <w:color w:val="auto"/>
        </w:rPr>
      </w:pPr>
      <w:r>
        <w:rPr>
          <w:rFonts w:ascii="Arial" w:cs="Arial" w:eastAsia="Arial" w:hAnsi="Arial"/>
          <w:sz w:val="18"/>
          <w:szCs w:val="18"/>
          <w:color w:val="auto"/>
        </w:rPr>
        <w:t>— Provide reasonable assurance that transactions are recorded as necessary to permit preparation of financial statements in accordance with GAAP, and that receipts and expenditures of TJX are being made only in accordance with authorizations of management and directors of TJX; and</w:t>
      </w:r>
    </w:p>
    <w:p>
      <w:pPr>
        <w:spacing w:after="0" w:line="72" w:lineRule="exact"/>
        <w:rPr>
          <w:sz w:val="20"/>
          <w:szCs w:val="20"/>
          <w:color w:val="auto"/>
        </w:rPr>
      </w:pPr>
    </w:p>
    <w:p>
      <w:pPr>
        <w:ind w:left="660" w:right="60" w:hanging="324"/>
        <w:spacing w:after="0" w:line="239" w:lineRule="auto"/>
        <w:rPr>
          <w:sz w:val="20"/>
          <w:szCs w:val="20"/>
          <w:color w:val="auto"/>
        </w:rPr>
      </w:pPr>
      <w:r>
        <w:rPr>
          <w:rFonts w:ascii="Arial" w:cs="Arial" w:eastAsia="Arial" w:hAnsi="Arial"/>
          <w:sz w:val="18"/>
          <w:szCs w:val="18"/>
          <w:color w:val="auto"/>
        </w:rPr>
        <w:t>— Provide reasonable assurance regarding prevention or timely detection of unauthorized acquisition, use or disposition of TJX’s assets that could have a material effect on the financial statements.</w:t>
      </w:r>
    </w:p>
    <w:p>
      <w:pPr>
        <w:spacing w:after="0" w:line="74" w:lineRule="exact"/>
        <w:rPr>
          <w:sz w:val="20"/>
          <w:szCs w:val="20"/>
          <w:color w:val="auto"/>
        </w:rPr>
      </w:pPr>
    </w:p>
    <w:p>
      <w:pPr>
        <w:ind w:right="100" w:firstLine="34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February 3, 2018 based on criteria established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issued by the Committee of Sponsoring Organizations of the Treadway Commission (COSO).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that evaluation, management concluded that its internal control over financial reporting was effective as of February 3, 2018.</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9" w:right="239" w:bottom="1440" w:gutter="0" w:footer="0" w:header="0"/>
        </w:sectPr>
      </w:pPr>
    </w:p>
    <w:bookmarkStart w:id="42" w:name="page43"/>
    <w:bookmarkEnd w:id="42"/>
    <w:p>
      <w:pPr>
        <w:ind w:left="760" w:hanging="41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Attestation Report of the Independent Registered Public Accounting Firm</w:t>
      </w:r>
    </w:p>
    <w:p>
      <w:pPr>
        <w:spacing w:after="0" w:line="77"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PricewaterhouseCoopers LLP, the independent registered public accounting firm that audited and reported on our consolidated financial statements contained herein, has audited the effectiveness of our internal control over financial reporting as of February 3, 2018, and has issued an attestation report on the effectiveness of our internal control over financial reporting included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291" w:right="459" w:bottom="1440" w:gutter="0" w:footer="0" w:header="0"/>
        </w:sectPr>
      </w:pPr>
    </w:p>
    <w:bookmarkStart w:id="43" w:name="page44"/>
    <w:bookmarkEnd w:id="43"/>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information concerning our executive officers is set forth under the heading “Executive Officers of the Registrant” in Part I of this report. TJX will file with the Securities and Exchange Commission (SEC) a definitive proxy statement no later than 120 days after the close of its fiscal year ended February 3, 2018 (Proxy Statement). The other information required by this Item and not given in this Item will appear under the headings “Election of Directors” and “Corporate Governance,” including in “Board Committees and Meetings,” and “Audit Committee Report” and in “Beneficial Ownership” in “Section 16(a) Beneficial Ownership Reporting Compliance” in our Proxy Statement, which sections are incorporated herein by reference.</w:t>
      </w:r>
    </w:p>
    <w:p>
      <w:pPr>
        <w:spacing w:after="0" w:line="156"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addition to our Global Code of Conduct, TJX has a Code of Ethics for TJX Executives governing its Executive Chairman, Chief Executive Officer and President, Chief Financial Officer, Principal Accounting Officer and other senior operating, financial and legal executives. The Code of Ethics for TJX Executives is designed to ensure integrity in TJX’s financial reports and public disclosures. TJX also has a Directors Code of Business Conduct and Ethics which promotes honest and ethical conduct, compliance with applicable laws, rules and regulations and the avoidance of conflicts of interest. Both of these codes of conduct are published at tjx.com. We intend to disclose any future amendments to, or waivers from, the Code of Ethics for TJX Executives or the Directors Code of Business Conduct and Ethics within four business days of the waiver or amendment through a website posting or by filing a Current Report on Form 8-K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9" w:lineRule="exact"/>
        <w:rPr>
          <w:sz w:val="20"/>
          <w:szCs w:val="20"/>
          <w:color w:val="auto"/>
        </w:rPr>
      </w:pPr>
    </w:p>
    <w:p>
      <w:pPr>
        <w:jc w:val="both"/>
        <w:ind w:right="560" w:firstLine="342"/>
        <w:spacing w:after="0" w:line="238" w:lineRule="auto"/>
        <w:rPr>
          <w:sz w:val="20"/>
          <w:szCs w:val="20"/>
          <w:color w:val="auto"/>
        </w:rPr>
      </w:pPr>
      <w:r>
        <w:rPr>
          <w:rFonts w:ascii="Arial" w:cs="Arial" w:eastAsia="Arial" w:hAnsi="Arial"/>
          <w:sz w:val="18"/>
          <w:szCs w:val="18"/>
          <w:color w:val="auto"/>
        </w:rPr>
        <w:t>The information required by this Item will appear under the headings “Compensation Discussion and Analysis,” “Compensation Tables,” “Director Compensation” and “Compensation Program Risk Assessment” in our Proxy Statement, which sections are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The information required by this Item will appear under the headings “Equity Compensation Plan Information” and “Beneficial Ownership” in our Proxy Statement, which sections are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9"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information required by this Item will appear under the heading “Corporate Governance,” including in “Transactions with Related Persons” and “Board Independence,” in our Proxy Statement, which section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9"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The information required by this Item will appear under the headings “Audit Committee Report” and “Auditor Fees” in our Proxy Statement, which sections are incorporated herein by reference.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92" w:right="259" w:bottom="1440" w:gutter="0" w:footer="0" w:header="0"/>
        </w:sectPr>
      </w:pPr>
    </w:p>
    <w:bookmarkStart w:id="44" w:name="page45"/>
    <w:bookmarkEnd w:id="44"/>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Financial Statement Schedules</w:t>
      </w:r>
    </w:p>
    <w:p>
      <w:pPr>
        <w:spacing w:after="0" w:line="77" w:lineRule="exact"/>
        <w:rPr>
          <w:sz w:val="20"/>
          <w:szCs w:val="20"/>
          <w:color w:val="auto"/>
        </w:rPr>
      </w:pPr>
    </w:p>
    <w:p>
      <w:pPr>
        <w:ind w:left="360" w:right="880"/>
        <w:spacing w:after="0" w:line="333" w:lineRule="auto"/>
        <w:rPr>
          <w:sz w:val="20"/>
          <w:szCs w:val="20"/>
          <w:color w:val="auto"/>
        </w:rPr>
      </w:pPr>
      <w:r>
        <w:rPr>
          <w:rFonts w:ascii="Arial" w:cs="Arial" w:eastAsia="Arial" w:hAnsi="Arial"/>
          <w:sz w:val="18"/>
          <w:szCs w:val="18"/>
          <w:color w:val="auto"/>
        </w:rPr>
        <w:t>For a list of the consolidated financial information included herein, see Index to the Consolidated Financial Statements on page F-1. Schedule II – Valuation and Qualifying Accounts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Borders>
              <w:top w:val="single" w:sz="8" w:color="auto"/>
            </w:tcBorders>
          </w:tcPr>
          <w:p>
            <w:pPr>
              <w:spacing w:after="0"/>
              <w:rPr>
                <w:sz w:val="14"/>
                <w:szCs w:val="14"/>
                <w:color w:val="auto"/>
              </w:rPr>
            </w:pPr>
          </w:p>
        </w:tc>
        <w:tc>
          <w:tcPr>
            <w:tcW w:w="3740" w:type="dxa"/>
            <w:vAlign w:val="bottom"/>
            <w:tcBorders>
              <w:top w:val="single" w:sz="8" w:color="auto"/>
            </w:tcBorders>
          </w:tcPr>
          <w:p>
            <w:pPr>
              <w:jc w:val="right"/>
              <w:ind w:right="118"/>
              <w:spacing w:after="0"/>
              <w:rPr>
                <w:sz w:val="20"/>
                <w:szCs w:val="20"/>
                <w:color w:val="auto"/>
              </w:rPr>
            </w:pPr>
            <w:r>
              <w:rPr>
                <w:rFonts w:ascii="Arial" w:cs="Arial" w:eastAsia="Arial" w:hAnsi="Arial"/>
                <w:sz w:val="14"/>
                <w:szCs w:val="14"/>
                <w:color w:val="auto"/>
              </w:rPr>
              <w:t>Balance</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color w:val="auto"/>
              </w:rPr>
              <w:t>Amounts</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color w:val="auto"/>
              </w:rPr>
              <w:t>Write-Offs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Balance</w:t>
            </w:r>
          </w:p>
        </w:tc>
      </w:tr>
      <w:tr>
        <w:trPr>
          <w:trHeight w:val="149"/>
        </w:trPr>
        <w:tc>
          <w:tcPr>
            <w:tcW w:w="4220" w:type="dxa"/>
            <w:vAlign w:val="bottom"/>
          </w:tcPr>
          <w:p>
            <w:pPr>
              <w:spacing w:after="0"/>
              <w:rPr>
                <w:sz w:val="12"/>
                <w:szCs w:val="12"/>
                <w:color w:val="auto"/>
              </w:rPr>
            </w:pPr>
          </w:p>
        </w:tc>
        <w:tc>
          <w:tcPr>
            <w:tcW w:w="374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Beginning</w:t>
            </w:r>
          </w:p>
        </w:tc>
        <w:tc>
          <w:tcPr>
            <w:tcW w:w="300" w:type="dxa"/>
            <w:vAlign w:val="bottom"/>
          </w:tcPr>
          <w:p>
            <w:pPr>
              <w:spacing w:after="0"/>
              <w:rPr>
                <w:sz w:val="12"/>
                <w:szCs w:val="12"/>
                <w:color w:val="auto"/>
              </w:rPr>
            </w:pPr>
          </w:p>
        </w:tc>
        <w:tc>
          <w:tcPr>
            <w:tcW w:w="980" w:type="dxa"/>
            <w:vAlign w:val="bottom"/>
          </w:tcPr>
          <w:p>
            <w:pPr>
              <w:jc w:val="right"/>
              <w:ind w:right="119"/>
              <w:spacing w:after="0" w:line="149" w:lineRule="exact"/>
              <w:rPr>
                <w:sz w:val="20"/>
                <w:szCs w:val="20"/>
                <w:color w:val="auto"/>
              </w:rPr>
            </w:pPr>
            <w:r>
              <w:rPr>
                <w:rFonts w:ascii="Arial" w:cs="Arial" w:eastAsia="Arial" w:hAnsi="Arial"/>
                <w:sz w:val="14"/>
                <w:szCs w:val="14"/>
                <w:color w:val="auto"/>
              </w:rPr>
              <w:t>Charged to</w:t>
            </w:r>
          </w:p>
        </w:tc>
        <w:tc>
          <w:tcPr>
            <w:tcW w:w="300" w:type="dxa"/>
            <w:vAlign w:val="bottom"/>
          </w:tcPr>
          <w:p>
            <w:pPr>
              <w:spacing w:after="0"/>
              <w:rPr>
                <w:sz w:val="12"/>
                <w:szCs w:val="12"/>
                <w:color w:val="auto"/>
              </w:rPr>
            </w:pPr>
          </w:p>
        </w:tc>
        <w:tc>
          <w:tcPr>
            <w:tcW w:w="980" w:type="dxa"/>
            <w:vAlign w:val="bottom"/>
          </w:tcPr>
          <w:p>
            <w:pPr>
              <w:jc w:val="right"/>
              <w:ind w:right="119"/>
              <w:spacing w:after="0" w:line="149" w:lineRule="exact"/>
              <w:rPr>
                <w:sz w:val="20"/>
                <w:szCs w:val="20"/>
                <w:color w:val="auto"/>
              </w:rPr>
            </w:pPr>
            <w:r>
              <w:rPr>
                <w:rFonts w:ascii="Arial" w:cs="Arial" w:eastAsia="Arial" w:hAnsi="Arial"/>
                <w:sz w:val="14"/>
                <w:szCs w:val="14"/>
                <w:color w:val="auto"/>
              </w:rPr>
              <w:t>Against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End of</w:t>
            </w:r>
          </w:p>
        </w:tc>
      </w:tr>
      <w:tr>
        <w:trPr>
          <w:trHeight w:val="163"/>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of Period</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Reserve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Period</w:t>
            </w: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Sales Return Reserve:</w:t>
            </w:r>
          </w:p>
        </w:tc>
        <w:tc>
          <w:tcPr>
            <w:tcW w:w="3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Fiscal Year Ended February 3, 2018</w:t>
            </w:r>
          </w:p>
        </w:tc>
        <w:tc>
          <w:tcPr>
            <w:tcW w:w="3740" w:type="dxa"/>
            <w:vAlign w:val="bottom"/>
            <w:tcBorders>
              <w:bottom w:val="single" w:sz="8" w:color="auto"/>
            </w:tcBorders>
          </w:tcPr>
          <w:p>
            <w:pPr>
              <w:jc w:val="right"/>
              <w:ind w:right="118"/>
              <w:spacing w:after="0" w:line="202" w:lineRule="exact"/>
              <w:rPr>
                <w:sz w:val="20"/>
                <w:szCs w:val="20"/>
                <w:color w:val="auto"/>
              </w:rPr>
            </w:pPr>
            <w:r>
              <w:rPr>
                <w:rFonts w:ascii="Arial" w:cs="Arial" w:eastAsia="Arial" w:hAnsi="Arial"/>
                <w:sz w:val="18"/>
                <w:szCs w:val="18"/>
                <w:b w:val="1"/>
                <w:bCs w:val="1"/>
                <w:color w:val="auto"/>
              </w:rPr>
              <w:t>$43,236</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19"/>
              <w:spacing w:after="0" w:line="202" w:lineRule="exact"/>
              <w:rPr>
                <w:sz w:val="20"/>
                <w:szCs w:val="20"/>
                <w:color w:val="auto"/>
              </w:rPr>
            </w:pPr>
            <w:r>
              <w:rPr>
                <w:rFonts w:ascii="Arial" w:cs="Arial" w:eastAsia="Arial" w:hAnsi="Arial"/>
                <w:sz w:val="18"/>
                <w:szCs w:val="18"/>
                <w:b w:val="1"/>
                <w:bCs w:val="1"/>
                <w:color w:val="auto"/>
                <w:w w:val="94"/>
              </w:rPr>
              <w:t>1,539,854</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19"/>
              <w:spacing w:after="0" w:line="202" w:lineRule="exact"/>
              <w:rPr>
                <w:sz w:val="20"/>
                <w:szCs w:val="20"/>
                <w:color w:val="auto"/>
              </w:rPr>
            </w:pPr>
            <w:r>
              <w:rPr>
                <w:rFonts w:ascii="Arial" w:cs="Arial" w:eastAsia="Arial" w:hAnsi="Arial"/>
                <w:sz w:val="18"/>
                <w:szCs w:val="18"/>
                <w:b w:val="1"/>
                <w:bCs w:val="1"/>
                <w:color w:val="auto"/>
                <w:w w:val="94"/>
              </w:rPr>
              <w:t>1,537,945</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$45,145</w:t>
            </w:r>
          </w:p>
        </w:tc>
      </w:tr>
      <w:tr>
        <w:trPr>
          <w:trHeight w:val="196"/>
        </w:trPr>
        <w:tc>
          <w:tcPr>
            <w:tcW w:w="4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Fiscal Year Ended January 28, 2017</w:t>
            </w:r>
          </w:p>
        </w:tc>
        <w:tc>
          <w:tcPr>
            <w:tcW w:w="3740" w:type="dxa"/>
            <w:vAlign w:val="bottom"/>
            <w:tcBorders>
              <w:bottom w:val="single" w:sz="8" w:color="auto"/>
            </w:tcBorders>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$41,723</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94"/>
              </w:rPr>
              <w:t>1,483,146</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94"/>
              </w:rPr>
              <w:t>1,481,633</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$43,236</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Fiscal Year Ended January 30, 2016</w:t>
            </w:r>
          </w:p>
        </w:tc>
        <w:tc>
          <w:tcPr>
            <w:tcW w:w="3740" w:type="dxa"/>
            <w:vAlign w:val="bottom"/>
            <w:tcBorders>
              <w:bottom w:val="single" w:sz="8" w:color="auto"/>
            </w:tcBorders>
          </w:tcPr>
          <w:p>
            <w:pPr>
              <w:jc w:val="right"/>
              <w:ind w:right="118"/>
              <w:spacing w:after="0" w:line="196" w:lineRule="exact"/>
              <w:rPr>
                <w:sz w:val="20"/>
                <w:szCs w:val="20"/>
                <w:color w:val="auto"/>
              </w:rPr>
            </w:pPr>
            <w:r>
              <w:rPr>
                <w:rFonts w:ascii="Arial" w:cs="Arial" w:eastAsia="Arial" w:hAnsi="Arial"/>
                <w:sz w:val="18"/>
                <w:szCs w:val="18"/>
                <w:color w:val="auto"/>
              </w:rPr>
              <w:t>$35,476</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w w:val="94"/>
              </w:rPr>
              <w:t>1,497,963</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w w:val="94"/>
              </w:rPr>
              <w:t>1,491,716</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$41,723</w:t>
            </w: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Casualty Insurance Reserve:</w:t>
            </w:r>
          </w:p>
        </w:tc>
        <w:tc>
          <w:tcPr>
            <w:tcW w:w="3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Fiscal Year Ended February 3, 2018</w:t>
            </w:r>
          </w:p>
        </w:tc>
        <w:tc>
          <w:tcPr>
            <w:tcW w:w="3740" w:type="dxa"/>
            <w:vAlign w:val="bottom"/>
            <w:tcBorders>
              <w:bottom w:val="single" w:sz="8" w:color="auto"/>
            </w:tcBorders>
          </w:tcPr>
          <w:p>
            <w:pPr>
              <w:jc w:val="right"/>
              <w:ind w:right="118"/>
              <w:spacing w:after="0" w:line="202" w:lineRule="exact"/>
              <w:rPr>
                <w:sz w:val="20"/>
                <w:szCs w:val="20"/>
                <w:color w:val="auto"/>
              </w:rPr>
            </w:pPr>
            <w:r>
              <w:rPr>
                <w:rFonts w:ascii="Arial" w:cs="Arial" w:eastAsia="Arial" w:hAnsi="Arial"/>
                <w:sz w:val="18"/>
                <w:szCs w:val="18"/>
                <w:b w:val="1"/>
                <w:bCs w:val="1"/>
                <w:color w:val="auto"/>
              </w:rPr>
              <w:t>$30,810</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19"/>
              <w:spacing w:after="0" w:line="202" w:lineRule="exact"/>
              <w:rPr>
                <w:sz w:val="20"/>
                <w:szCs w:val="20"/>
                <w:color w:val="auto"/>
              </w:rPr>
            </w:pPr>
            <w:r>
              <w:rPr>
                <w:rFonts w:ascii="Arial" w:cs="Arial" w:eastAsia="Arial" w:hAnsi="Arial"/>
                <w:sz w:val="18"/>
                <w:szCs w:val="18"/>
                <w:b w:val="1"/>
                <w:bCs w:val="1"/>
                <w:color w:val="auto"/>
              </w:rPr>
              <w:t>96,975</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19"/>
              <w:spacing w:after="0" w:line="202" w:lineRule="exact"/>
              <w:rPr>
                <w:sz w:val="20"/>
                <w:szCs w:val="20"/>
                <w:color w:val="auto"/>
              </w:rPr>
            </w:pPr>
            <w:r>
              <w:rPr>
                <w:rFonts w:ascii="Arial" w:cs="Arial" w:eastAsia="Arial" w:hAnsi="Arial"/>
                <w:sz w:val="18"/>
                <w:szCs w:val="18"/>
                <w:b w:val="1"/>
                <w:bCs w:val="1"/>
                <w:color w:val="auto"/>
              </w:rPr>
              <w:t>88,214</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$39,571</w:t>
            </w:r>
          </w:p>
        </w:tc>
      </w:tr>
      <w:tr>
        <w:trPr>
          <w:trHeight w:val="196"/>
        </w:trPr>
        <w:tc>
          <w:tcPr>
            <w:tcW w:w="4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Fiscal Year Ended January 28, 2017</w:t>
            </w:r>
          </w:p>
        </w:tc>
        <w:tc>
          <w:tcPr>
            <w:tcW w:w="3740" w:type="dxa"/>
            <w:vAlign w:val="bottom"/>
            <w:tcBorders>
              <w:bottom w:val="single" w:sz="8" w:color="auto"/>
            </w:tcBorders>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$19,686</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87,110</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75,986</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$30,810</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Fiscal Year Ended January 30, 2016</w:t>
            </w:r>
          </w:p>
        </w:tc>
        <w:tc>
          <w:tcPr>
            <w:tcW w:w="3740" w:type="dxa"/>
            <w:vAlign w:val="bottom"/>
            <w:tcBorders>
              <w:bottom w:val="single" w:sz="8" w:color="auto"/>
            </w:tcBorders>
          </w:tcPr>
          <w:p>
            <w:pPr>
              <w:jc w:val="right"/>
              <w:ind w:right="118"/>
              <w:spacing w:after="0" w:line="196" w:lineRule="exact"/>
              <w:rPr>
                <w:sz w:val="20"/>
                <w:szCs w:val="20"/>
                <w:color w:val="auto"/>
              </w:rPr>
            </w:pPr>
            <w:r>
              <w:rPr>
                <w:rFonts w:ascii="Arial" w:cs="Arial" w:eastAsia="Arial" w:hAnsi="Arial"/>
                <w:sz w:val="18"/>
                <w:szCs w:val="18"/>
                <w:color w:val="auto"/>
              </w:rPr>
              <w:t>$14,303</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rPr>
              <w:t>80,738</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rPr>
              <w:t>75,355</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$19,686</w:t>
            </w:r>
          </w:p>
        </w:tc>
      </w:tr>
      <w:tr>
        <w:trPr>
          <w:trHeight w:val="356"/>
        </w:trPr>
        <w:tc>
          <w:tcPr>
            <w:tcW w:w="4220" w:type="dxa"/>
            <w:vAlign w:val="bottom"/>
          </w:tcPr>
          <w:p>
            <w:pPr>
              <w:spacing w:after="0"/>
              <w:rPr>
                <w:sz w:val="24"/>
                <w:szCs w:val="24"/>
                <w:color w:val="auto"/>
              </w:rPr>
            </w:pPr>
          </w:p>
        </w:tc>
        <w:tc>
          <w:tcPr>
            <w:tcW w:w="3740" w:type="dxa"/>
            <w:vAlign w:val="bottom"/>
          </w:tcPr>
          <w:p>
            <w:pPr>
              <w:jc w:val="right"/>
              <w:ind w:right="2058"/>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92" w:right="239" w:bottom="1440" w:gutter="0" w:footer="0" w:header="0"/>
        </w:sectPr>
      </w:pPr>
    </w:p>
    <w:bookmarkStart w:id="45" w:name="page46"/>
    <w:bookmarkEnd w:id="45"/>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Exhibits</w:t>
      </w:r>
    </w:p>
    <w:p>
      <w:pPr>
        <w:spacing w:after="0" w:line="77"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Listed below are all exhibits filed as part of this report. Some exhibits are filed by the Registrant with the Securities and Exchange Commission pursuant to Rule 12b-32 under the Exchange 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color w:val="auto"/>
              </w:rPr>
              <w:t>Exhibit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No.</w:t>
            </w:r>
          </w:p>
        </w:tc>
        <w:tc>
          <w:tcPr>
            <w:tcW w:w="10320" w:type="dxa"/>
            <w:vAlign w:val="bottom"/>
            <w:tcBorders>
              <w:bottom w:val="single" w:sz="8" w:color="auto"/>
            </w:tcBorders>
            <w:gridSpan w:val="37"/>
          </w:tcPr>
          <w:p>
            <w:pPr>
              <w:spacing w:after="0" w:line="149" w:lineRule="exact"/>
              <w:rPr>
                <w:sz w:val="20"/>
                <w:szCs w:val="20"/>
                <w:color w:val="auto"/>
              </w:rPr>
            </w:pPr>
            <w:r>
              <w:rPr>
                <w:rFonts w:ascii="Arial" w:cs="Arial" w:eastAsia="Arial" w:hAnsi="Arial"/>
                <w:sz w:val="14"/>
                <w:szCs w:val="14"/>
                <w:color w:val="auto"/>
              </w:rPr>
              <w:t>Description of Exhibit</w:t>
            </w:r>
          </w:p>
        </w:tc>
      </w:tr>
      <w:tr>
        <w:trPr>
          <w:trHeight w:val="169"/>
        </w:trPr>
        <w:tc>
          <w:tcPr>
            <w:tcW w:w="1100" w:type="dxa"/>
            <w:vAlign w:val="bottom"/>
          </w:tcPr>
          <w:p>
            <w:pPr>
              <w:spacing w:after="0" w:line="170" w:lineRule="exact"/>
              <w:rPr>
                <w:sz w:val="20"/>
                <w:szCs w:val="20"/>
                <w:color w:val="auto"/>
              </w:rPr>
            </w:pPr>
            <w:r>
              <w:rPr>
                <w:rFonts w:ascii="Arial" w:cs="Arial" w:eastAsia="Arial" w:hAnsi="Arial"/>
                <w:sz w:val="18"/>
                <w:szCs w:val="18"/>
                <w:color w:val="auto"/>
              </w:rPr>
              <w:t>3(i).1</w:t>
            </w:r>
          </w:p>
        </w:tc>
        <w:tc>
          <w:tcPr>
            <w:tcW w:w="10320" w:type="dxa"/>
            <w:vAlign w:val="bottom"/>
            <w:gridSpan w:val="37"/>
          </w:tcPr>
          <w:p>
            <w:pPr>
              <w:spacing w:after="0" w:line="170" w:lineRule="exact"/>
              <w:rPr>
                <w:rFonts w:ascii="Arial" w:cs="Arial" w:eastAsia="Arial" w:hAnsi="Arial"/>
                <w:sz w:val="18"/>
                <w:szCs w:val="18"/>
                <w:color w:val="auto"/>
                <w:w w:val="99"/>
              </w:rPr>
            </w:pPr>
            <w:hyperlink r:id="rId71">
              <w:r>
                <w:rPr>
                  <w:rFonts w:ascii="Arial" w:cs="Arial" w:eastAsia="Arial" w:hAnsi="Arial"/>
                  <w:sz w:val="18"/>
                  <w:szCs w:val="18"/>
                  <w:color w:val="auto"/>
                  <w:w w:val="99"/>
                </w:rPr>
                <w:t xml:space="preserve">Fourth Restated Certificate of Incorporation, </w:t>
              </w:r>
              <w:r>
                <w:rPr>
                  <w:rFonts w:ascii="Arial" w:cs="Arial" w:eastAsia="Arial" w:hAnsi="Arial"/>
                  <w:sz w:val="18"/>
                  <w:szCs w:val="18"/>
                  <w:color w:val="0000EE"/>
                  <w:w w:val="99"/>
                </w:rPr>
                <w:t>incorporated herein by reference to Exhibit 99.1 to the Form 8-A/A filed September 9,</w:t>
              </w:r>
            </w:hyperlink>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0320" w:type="dxa"/>
            <w:vAlign w:val="bottom"/>
            <w:gridSpan w:val="37"/>
          </w:tcPr>
          <w:p>
            <w:pPr>
              <w:spacing w:after="0" w:line="182" w:lineRule="exact"/>
              <w:rPr>
                <w:rFonts w:ascii="Arial" w:cs="Arial" w:eastAsia="Arial" w:hAnsi="Arial"/>
                <w:sz w:val="18"/>
                <w:szCs w:val="18"/>
                <w:color w:val="0000EE"/>
                <w:w w:val="97"/>
              </w:rPr>
            </w:pPr>
            <w:hyperlink r:id="rId72">
              <w:r>
                <w:rPr>
                  <w:rFonts w:ascii="Arial" w:cs="Arial" w:eastAsia="Arial" w:hAnsi="Arial"/>
                  <w:sz w:val="18"/>
                  <w:szCs w:val="18"/>
                  <w:color w:val="0000EE"/>
                  <w:w w:val="97"/>
                </w:rPr>
                <w:t>1999</w:t>
              </w:r>
              <w:r>
                <w:rPr>
                  <w:rFonts w:ascii="Arial" w:cs="Arial" w:eastAsia="Arial" w:hAnsi="Arial"/>
                  <w:sz w:val="18"/>
                  <w:szCs w:val="18"/>
                  <w:color w:val="000000"/>
                  <w:w w:val="97"/>
                </w:rPr>
                <w:t>. Certificate of Amendment of Fourth Restated Certificate of Incorporation,</w:t>
              </w:r>
              <w:r>
                <w:rPr>
                  <w:rFonts w:ascii="Arial" w:cs="Arial" w:eastAsia="Arial" w:hAnsi="Arial"/>
                  <w:sz w:val="18"/>
                  <w:szCs w:val="18"/>
                  <w:color w:val="0000EE"/>
                  <w:w w:val="97"/>
                </w:rPr>
                <w:t xml:space="preserve"> incorporated herein by reference to Exhibit 3(i) to the</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0320" w:type="dxa"/>
            <w:vAlign w:val="bottom"/>
            <w:gridSpan w:val="37"/>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Form 10-Q filed for the quarter ended July 30, 2005</w:t>
              </w:r>
              <w:r>
                <w:rPr>
                  <w:rFonts w:ascii="Arial" w:cs="Arial" w:eastAsia="Arial" w:hAnsi="Arial"/>
                  <w:sz w:val="18"/>
                  <w:szCs w:val="18"/>
                  <w:color w:val="000000"/>
                </w:rPr>
                <w:t>.</w:t>
              </w:r>
            </w:hyperlink>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3(ii).1</w:t>
            </w:r>
          </w:p>
        </w:tc>
        <w:tc>
          <w:tcPr>
            <w:tcW w:w="10320" w:type="dxa"/>
            <w:vAlign w:val="bottom"/>
            <w:gridSpan w:val="37"/>
          </w:tcPr>
          <w:p>
            <w:pPr>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By-laws of TJX, as amended, </w:t>
            </w:r>
            <w:hyperlink r:id="rId73">
              <w:r>
                <w:rPr>
                  <w:rFonts w:ascii="Arial" w:cs="Arial" w:eastAsia="Arial" w:hAnsi="Arial"/>
                  <w:sz w:val="18"/>
                  <w:szCs w:val="18"/>
                  <w:color w:val="0000EE"/>
                </w:rPr>
                <w:t>incorporated herein by reference to Exhibit 3.1 to the Form 8-K filed on February 5, 2018</w:t>
              </w:r>
            </w:hyperlink>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4.1</w:t>
            </w:r>
          </w:p>
        </w:tc>
        <w:tc>
          <w:tcPr>
            <w:tcW w:w="10320" w:type="dxa"/>
            <w:vAlign w:val="bottom"/>
            <w:gridSpan w:val="37"/>
          </w:tcPr>
          <w:p>
            <w:pPr>
              <w:spacing w:after="0" w:line="182" w:lineRule="exact"/>
              <w:rPr>
                <w:rFonts w:ascii="Arial" w:cs="Arial" w:eastAsia="Arial" w:hAnsi="Arial"/>
                <w:sz w:val="18"/>
                <w:szCs w:val="18"/>
                <w:color w:val="auto"/>
              </w:rPr>
            </w:pPr>
            <w:hyperlink r:id="rId74">
              <w:r>
                <w:rPr>
                  <w:rFonts w:ascii="Arial" w:cs="Arial" w:eastAsia="Arial" w:hAnsi="Arial"/>
                  <w:sz w:val="18"/>
                  <w:szCs w:val="18"/>
                  <w:color w:val="auto"/>
                </w:rPr>
                <w:t xml:space="preserve">Indenture between TJX and U.S. Bank National Association dated as of April 2, 2009, </w:t>
              </w:r>
              <w:r>
                <w:rPr>
                  <w:rFonts w:ascii="Arial" w:cs="Arial" w:eastAsia="Arial" w:hAnsi="Arial"/>
                  <w:sz w:val="18"/>
                  <w:szCs w:val="18"/>
                  <w:color w:val="0000EE"/>
                </w:rPr>
                <w:t>incorporated herein by reference to Exhibit</w:t>
              </w:r>
            </w:hyperlink>
          </w:p>
        </w:tc>
      </w:tr>
      <w:tr>
        <w:trPr>
          <w:trHeight w:val="183"/>
        </w:trPr>
        <w:tc>
          <w:tcPr>
            <w:tcW w:w="1100" w:type="dxa"/>
            <w:vAlign w:val="bottom"/>
          </w:tcPr>
          <w:p>
            <w:pPr>
              <w:spacing w:after="0"/>
              <w:rPr>
                <w:sz w:val="15"/>
                <w:szCs w:val="15"/>
                <w:color w:val="auto"/>
              </w:rPr>
            </w:pPr>
          </w:p>
        </w:tc>
        <w:tc>
          <w:tcPr>
            <w:tcW w:w="6740" w:type="dxa"/>
            <w:vAlign w:val="bottom"/>
            <w:gridSpan w:val="15"/>
          </w:tcPr>
          <w:p>
            <w:pPr>
              <w:spacing w:after="0" w:line="182" w:lineRule="exact"/>
              <w:rPr>
                <w:rFonts w:ascii="Arial" w:cs="Arial" w:eastAsia="Arial" w:hAnsi="Arial"/>
                <w:sz w:val="18"/>
                <w:szCs w:val="18"/>
                <w:color w:val="0000EE"/>
                <w:w w:val="97"/>
              </w:rPr>
            </w:pPr>
            <w:hyperlink r:id="rId74">
              <w:r>
                <w:rPr>
                  <w:rFonts w:ascii="Arial" w:cs="Arial" w:eastAsia="Arial" w:hAnsi="Arial"/>
                  <w:sz w:val="18"/>
                  <w:szCs w:val="18"/>
                  <w:color w:val="0000EE"/>
                  <w:w w:val="97"/>
                </w:rPr>
                <w:t>4.</w:t>
              </w:r>
              <w:r>
                <w:rPr>
                  <w:rFonts w:ascii="Arial" w:cs="Arial" w:eastAsia="Arial" w:hAnsi="Arial"/>
                  <w:sz w:val="18"/>
                  <w:szCs w:val="18"/>
                  <w:u w:val="single" w:color="auto"/>
                  <w:color w:val="0000EE"/>
                  <w:w w:val="97"/>
                </w:rPr>
                <w:t>1</w:t>
              </w:r>
              <w:r>
                <w:rPr>
                  <w:rFonts w:ascii="Arial" w:cs="Arial" w:eastAsia="Arial" w:hAnsi="Arial"/>
                  <w:sz w:val="18"/>
                  <w:szCs w:val="18"/>
                  <w:color w:val="0000EE"/>
                  <w:w w:val="97"/>
                </w:rPr>
                <w:t xml:space="preserve"> of the Registration Statement on Form S-3 filed on April 2, 2009 (File 333-158360)</w:t>
              </w:r>
              <w:r>
                <w:rPr>
                  <w:rFonts w:ascii="Arial" w:cs="Arial" w:eastAsia="Arial" w:hAnsi="Arial"/>
                  <w:sz w:val="18"/>
                  <w:szCs w:val="18"/>
                  <w:color w:val="000000"/>
                  <w:w w:val="97"/>
                </w:rPr>
                <w:t>.</w:t>
              </w:r>
            </w:hyperlink>
          </w:p>
        </w:tc>
        <w:tc>
          <w:tcPr>
            <w:tcW w:w="3300" w:type="dxa"/>
            <w:vAlign w:val="bottom"/>
            <w:tcBorders>
              <w:top w:val="single" w:sz="8" w:color="0000EE"/>
            </w:tcBorders>
            <w:gridSpan w:val="17"/>
          </w:tcPr>
          <w:p>
            <w:pPr>
              <w:spacing w:after="0"/>
              <w:rPr>
                <w:sz w:val="15"/>
                <w:szCs w:val="15"/>
                <w:color w:val="auto"/>
              </w:rPr>
            </w:pPr>
          </w:p>
        </w:tc>
        <w:tc>
          <w:tcPr>
            <w:tcW w:w="280" w:type="dxa"/>
            <w:vAlign w:val="bottom"/>
            <w:gridSpan w:val="5"/>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4.2</w:t>
            </w:r>
          </w:p>
        </w:tc>
        <w:tc>
          <w:tcPr>
            <w:tcW w:w="10320" w:type="dxa"/>
            <w:vAlign w:val="bottom"/>
            <w:gridSpan w:val="37"/>
          </w:tcPr>
          <w:p>
            <w:pPr>
              <w:spacing w:after="0"/>
              <w:rPr>
                <w:sz w:val="20"/>
                <w:szCs w:val="20"/>
                <w:color w:val="auto"/>
              </w:rPr>
            </w:pPr>
            <w:r>
              <w:rPr>
                <w:rFonts w:ascii="Arial" w:cs="Arial" w:eastAsia="Arial" w:hAnsi="Arial"/>
                <w:sz w:val="18"/>
                <w:szCs w:val="18"/>
                <w:color w:val="auto"/>
              </w:rPr>
              <w:t>Third Supplemental Indenture dated as of May 2, 2013 by and between The TJX Companies, Inc. and U.S. Bank National</w:t>
            </w:r>
          </w:p>
        </w:tc>
      </w:tr>
      <w:tr>
        <w:trPr>
          <w:trHeight w:val="172"/>
        </w:trPr>
        <w:tc>
          <w:tcPr>
            <w:tcW w:w="1100" w:type="dxa"/>
            <w:vAlign w:val="bottom"/>
          </w:tcPr>
          <w:p>
            <w:pPr>
              <w:spacing w:after="0"/>
              <w:rPr>
                <w:sz w:val="14"/>
                <w:szCs w:val="14"/>
                <w:color w:val="auto"/>
              </w:rPr>
            </w:pPr>
          </w:p>
        </w:tc>
        <w:tc>
          <w:tcPr>
            <w:tcW w:w="10320" w:type="dxa"/>
            <w:vAlign w:val="bottom"/>
            <w:gridSpan w:val="37"/>
          </w:tcPr>
          <w:p>
            <w:pPr>
              <w:spacing w:after="0" w:line="172" w:lineRule="exact"/>
              <w:rPr>
                <w:rFonts w:ascii="Arial" w:cs="Arial" w:eastAsia="Arial" w:hAnsi="Arial"/>
                <w:sz w:val="18"/>
                <w:szCs w:val="18"/>
                <w:color w:val="auto"/>
                <w:w w:val="98"/>
              </w:rPr>
            </w:pPr>
            <w:hyperlink r:id="rId75">
              <w:r>
                <w:rPr>
                  <w:rFonts w:ascii="Arial" w:cs="Arial" w:eastAsia="Arial" w:hAnsi="Arial"/>
                  <w:sz w:val="18"/>
                  <w:szCs w:val="18"/>
                  <w:color w:val="auto"/>
                  <w:w w:val="98"/>
                </w:rPr>
                <w:t xml:space="preserve">Association, as Trustee, including the form of Global Note attached as Annex A thereto, </w:t>
              </w:r>
              <w:r>
                <w:rPr>
                  <w:rFonts w:ascii="Arial" w:cs="Arial" w:eastAsia="Arial" w:hAnsi="Arial"/>
                  <w:sz w:val="18"/>
                  <w:szCs w:val="18"/>
                  <w:color w:val="0000EE"/>
                  <w:w w:val="98"/>
                </w:rPr>
                <w:t>incorporated herein by reference to Exhibit</w:t>
              </w:r>
            </w:hyperlink>
          </w:p>
        </w:tc>
      </w:tr>
      <w:tr>
        <w:trPr>
          <w:trHeight w:val="183"/>
        </w:trPr>
        <w:tc>
          <w:tcPr>
            <w:tcW w:w="1100" w:type="dxa"/>
            <w:vAlign w:val="bottom"/>
          </w:tcPr>
          <w:p>
            <w:pPr>
              <w:spacing w:after="0"/>
              <w:rPr>
                <w:sz w:val="15"/>
                <w:szCs w:val="15"/>
                <w:color w:val="auto"/>
              </w:rPr>
            </w:pPr>
          </w:p>
        </w:tc>
        <w:tc>
          <w:tcPr>
            <w:tcW w:w="6820" w:type="dxa"/>
            <w:vAlign w:val="bottom"/>
            <w:gridSpan w:val="16"/>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Form 8-K filed on May 2, 2013</w:t>
              </w:r>
              <w:r>
                <w:rPr>
                  <w:rFonts w:ascii="Arial" w:cs="Arial" w:eastAsia="Arial" w:hAnsi="Arial"/>
                  <w:sz w:val="18"/>
                  <w:szCs w:val="18"/>
                  <w:color w:val="000000"/>
                </w:rPr>
                <w:t>.</w:t>
              </w:r>
            </w:hyperlink>
          </w:p>
        </w:tc>
        <w:tc>
          <w:tcPr>
            <w:tcW w:w="3320" w:type="dxa"/>
            <w:vAlign w:val="bottom"/>
            <w:tcBorders>
              <w:top w:val="single" w:sz="8" w:color="0000EE"/>
            </w:tcBorders>
            <w:gridSpan w:val="18"/>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4.3</w:t>
            </w:r>
          </w:p>
        </w:tc>
        <w:tc>
          <w:tcPr>
            <w:tcW w:w="10320" w:type="dxa"/>
            <w:vAlign w:val="bottom"/>
            <w:gridSpan w:val="37"/>
          </w:tcPr>
          <w:p>
            <w:pPr>
              <w:spacing w:after="0"/>
              <w:rPr>
                <w:sz w:val="20"/>
                <w:szCs w:val="20"/>
                <w:color w:val="auto"/>
              </w:rPr>
            </w:pPr>
            <w:r>
              <w:rPr>
                <w:rFonts w:ascii="Arial" w:cs="Arial" w:eastAsia="Arial" w:hAnsi="Arial"/>
                <w:sz w:val="18"/>
                <w:szCs w:val="18"/>
                <w:color w:val="auto"/>
              </w:rPr>
              <w:t>Fourth Supplemental Indenture dated as of June 5, 2014 by and between The TJX Companies, Inc. and U.S. Bank National</w:t>
            </w:r>
          </w:p>
        </w:tc>
      </w:tr>
      <w:tr>
        <w:trPr>
          <w:trHeight w:val="172"/>
        </w:trPr>
        <w:tc>
          <w:tcPr>
            <w:tcW w:w="1100" w:type="dxa"/>
            <w:vAlign w:val="bottom"/>
          </w:tcPr>
          <w:p>
            <w:pPr>
              <w:spacing w:after="0"/>
              <w:rPr>
                <w:sz w:val="14"/>
                <w:szCs w:val="14"/>
                <w:color w:val="auto"/>
              </w:rPr>
            </w:pPr>
          </w:p>
        </w:tc>
        <w:tc>
          <w:tcPr>
            <w:tcW w:w="10320" w:type="dxa"/>
            <w:vAlign w:val="bottom"/>
            <w:gridSpan w:val="37"/>
          </w:tcPr>
          <w:p>
            <w:pPr>
              <w:spacing w:after="0" w:line="172" w:lineRule="exact"/>
              <w:rPr>
                <w:rFonts w:ascii="Arial" w:cs="Arial" w:eastAsia="Arial" w:hAnsi="Arial"/>
                <w:sz w:val="18"/>
                <w:szCs w:val="18"/>
                <w:color w:val="auto"/>
                <w:w w:val="98"/>
              </w:rPr>
            </w:pPr>
            <w:hyperlink r:id="rId76">
              <w:r>
                <w:rPr>
                  <w:rFonts w:ascii="Arial" w:cs="Arial" w:eastAsia="Arial" w:hAnsi="Arial"/>
                  <w:sz w:val="18"/>
                  <w:szCs w:val="18"/>
                  <w:color w:val="auto"/>
                  <w:w w:val="98"/>
                </w:rPr>
                <w:t xml:space="preserve">Association, as Trustee, including the form of Global Note attached as Annex A thereto, </w:t>
              </w:r>
              <w:r>
                <w:rPr>
                  <w:rFonts w:ascii="Arial" w:cs="Arial" w:eastAsia="Arial" w:hAnsi="Arial"/>
                  <w:sz w:val="18"/>
                  <w:szCs w:val="18"/>
                  <w:color w:val="0000EE"/>
                  <w:w w:val="98"/>
                </w:rPr>
                <w:t>incorporated herein by reference to Exhibit</w:t>
              </w:r>
            </w:hyperlink>
          </w:p>
        </w:tc>
      </w:tr>
      <w:tr>
        <w:trPr>
          <w:trHeight w:val="183"/>
        </w:trPr>
        <w:tc>
          <w:tcPr>
            <w:tcW w:w="1100" w:type="dxa"/>
            <w:vAlign w:val="bottom"/>
          </w:tcPr>
          <w:p>
            <w:pPr>
              <w:spacing w:after="0"/>
              <w:rPr>
                <w:sz w:val="15"/>
                <w:szCs w:val="15"/>
                <w:color w:val="auto"/>
              </w:rPr>
            </w:pPr>
          </w:p>
        </w:tc>
        <w:tc>
          <w:tcPr>
            <w:tcW w:w="6840" w:type="dxa"/>
            <w:vAlign w:val="bottom"/>
            <w:gridSpan w:val="17"/>
          </w:tcPr>
          <w:p>
            <w:pPr>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Form 8-K filed on June 5, 2014</w:t>
              </w:r>
              <w:r>
                <w:rPr>
                  <w:rFonts w:ascii="Arial" w:cs="Arial" w:eastAsia="Arial" w:hAnsi="Arial"/>
                  <w:sz w:val="18"/>
                  <w:szCs w:val="18"/>
                  <w:color w:val="000000"/>
                </w:rPr>
                <w:t>.</w:t>
              </w:r>
            </w:hyperlink>
          </w:p>
        </w:tc>
        <w:tc>
          <w:tcPr>
            <w:tcW w:w="3300" w:type="dxa"/>
            <w:vAlign w:val="bottom"/>
            <w:tcBorders>
              <w:top w:val="single" w:sz="8" w:color="0000EE"/>
            </w:tcBorders>
            <w:gridSpan w:val="17"/>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4.4</w:t>
            </w:r>
          </w:p>
        </w:tc>
        <w:tc>
          <w:tcPr>
            <w:tcW w:w="10320" w:type="dxa"/>
            <w:vAlign w:val="bottom"/>
            <w:gridSpan w:val="37"/>
          </w:tcPr>
          <w:p>
            <w:pPr>
              <w:spacing w:after="0" w:line="182" w:lineRule="exact"/>
              <w:rPr>
                <w:rFonts w:ascii="Arial" w:cs="Arial" w:eastAsia="Arial" w:hAnsi="Arial"/>
                <w:sz w:val="18"/>
                <w:szCs w:val="18"/>
                <w:color w:val="auto"/>
              </w:rPr>
            </w:pPr>
            <w:hyperlink r:id="rId77">
              <w:r>
                <w:rPr>
                  <w:rFonts w:ascii="Arial" w:cs="Arial" w:eastAsia="Arial" w:hAnsi="Arial"/>
                  <w:sz w:val="18"/>
                  <w:szCs w:val="18"/>
                  <w:color w:val="auto"/>
                </w:rPr>
                <w:t xml:space="preserve">Indenture between The TJX Companies, Inc. and U.S. Bank National Association dated September 12, 2016, </w:t>
              </w:r>
              <w:r>
                <w:rPr>
                  <w:rFonts w:ascii="Arial" w:cs="Arial" w:eastAsia="Arial" w:hAnsi="Arial"/>
                  <w:sz w:val="18"/>
                  <w:szCs w:val="18"/>
                  <w:color w:val="0000EE"/>
                </w:rPr>
                <w:t>incorporated herein</w:t>
              </w:r>
            </w:hyperlink>
          </w:p>
        </w:tc>
      </w:tr>
      <w:tr>
        <w:trPr>
          <w:trHeight w:val="183"/>
        </w:trPr>
        <w:tc>
          <w:tcPr>
            <w:tcW w:w="11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by reference to Exhibit 4.1 to the Form 8-K filed on September 12, 2016</w:t>
              </w:r>
              <w:r>
                <w:rPr>
                  <w:rFonts w:ascii="Arial" w:cs="Arial" w:eastAsia="Arial" w:hAnsi="Arial"/>
                  <w:sz w:val="18"/>
                  <w:szCs w:val="18"/>
                  <w:color w:val="000000"/>
                </w:rPr>
                <w:t>.</w:t>
              </w:r>
            </w:hyperlink>
          </w:p>
        </w:tc>
        <w:tc>
          <w:tcPr>
            <w:tcW w:w="1540" w:type="dxa"/>
            <w:vAlign w:val="bottom"/>
            <w:tcBorders>
              <w:top w:val="single" w:sz="8" w:color="0000EE"/>
            </w:tcBorders>
            <w:gridSpan w:val="8"/>
          </w:tcPr>
          <w:p>
            <w:pPr>
              <w:spacing w:after="0"/>
              <w:rPr>
                <w:sz w:val="15"/>
                <w:szCs w:val="15"/>
                <w:color w:val="auto"/>
              </w:rPr>
            </w:pPr>
          </w:p>
        </w:tc>
        <w:tc>
          <w:tcPr>
            <w:tcW w:w="200" w:type="dxa"/>
            <w:vAlign w:val="bottom"/>
            <w:gridSpan w:val="4"/>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4.5</w:t>
            </w:r>
          </w:p>
        </w:tc>
        <w:tc>
          <w:tcPr>
            <w:tcW w:w="10320" w:type="dxa"/>
            <w:vAlign w:val="bottom"/>
            <w:gridSpan w:val="37"/>
          </w:tcPr>
          <w:p>
            <w:pPr>
              <w:spacing w:after="0"/>
              <w:rPr>
                <w:sz w:val="20"/>
                <w:szCs w:val="20"/>
                <w:color w:val="auto"/>
              </w:rPr>
            </w:pPr>
            <w:r>
              <w:rPr>
                <w:rFonts w:ascii="Arial" w:cs="Arial" w:eastAsia="Arial" w:hAnsi="Arial"/>
                <w:sz w:val="18"/>
                <w:szCs w:val="18"/>
                <w:color w:val="auto"/>
              </w:rPr>
              <w:t>First Supplemental Indenture dated as of September 12, 2016 by and between The TJX Companies, Inc. and U.S. Bank National</w:t>
            </w:r>
          </w:p>
        </w:tc>
      </w:tr>
      <w:tr>
        <w:trPr>
          <w:trHeight w:val="172"/>
        </w:trPr>
        <w:tc>
          <w:tcPr>
            <w:tcW w:w="1100" w:type="dxa"/>
            <w:vAlign w:val="bottom"/>
          </w:tcPr>
          <w:p>
            <w:pPr>
              <w:spacing w:after="0"/>
              <w:rPr>
                <w:sz w:val="14"/>
                <w:szCs w:val="14"/>
                <w:color w:val="auto"/>
              </w:rPr>
            </w:pPr>
          </w:p>
        </w:tc>
        <w:tc>
          <w:tcPr>
            <w:tcW w:w="10320" w:type="dxa"/>
            <w:vAlign w:val="bottom"/>
            <w:gridSpan w:val="37"/>
          </w:tcPr>
          <w:p>
            <w:pPr>
              <w:spacing w:after="0" w:line="172" w:lineRule="exact"/>
              <w:rPr>
                <w:rFonts w:ascii="Arial" w:cs="Arial" w:eastAsia="Arial" w:hAnsi="Arial"/>
                <w:sz w:val="18"/>
                <w:szCs w:val="18"/>
                <w:color w:val="auto"/>
                <w:w w:val="98"/>
              </w:rPr>
            </w:pPr>
            <w:hyperlink r:id="rId78">
              <w:r>
                <w:rPr>
                  <w:rFonts w:ascii="Arial" w:cs="Arial" w:eastAsia="Arial" w:hAnsi="Arial"/>
                  <w:sz w:val="18"/>
                  <w:szCs w:val="18"/>
                  <w:color w:val="auto"/>
                  <w:w w:val="98"/>
                </w:rPr>
                <w:t xml:space="preserve">Association, as Trustee, including the form of Global Note attached as Annex A thereto, </w:t>
              </w:r>
              <w:r>
                <w:rPr>
                  <w:rFonts w:ascii="Arial" w:cs="Arial" w:eastAsia="Arial" w:hAnsi="Arial"/>
                  <w:sz w:val="18"/>
                  <w:szCs w:val="18"/>
                  <w:color w:val="0000EE"/>
                  <w:w w:val="98"/>
                </w:rPr>
                <w:t>incorporated herein by reference to Exhibit</w:t>
              </w:r>
            </w:hyperlink>
          </w:p>
        </w:tc>
      </w:tr>
      <w:tr>
        <w:trPr>
          <w:trHeight w:val="183"/>
        </w:trPr>
        <w:tc>
          <w:tcPr>
            <w:tcW w:w="1100" w:type="dxa"/>
            <w:vAlign w:val="bottom"/>
          </w:tcPr>
          <w:p>
            <w:pPr>
              <w:spacing w:after="0"/>
              <w:rPr>
                <w:sz w:val="15"/>
                <w:szCs w:val="15"/>
                <w:color w:val="auto"/>
              </w:rPr>
            </w:pPr>
          </w:p>
        </w:tc>
        <w:tc>
          <w:tcPr>
            <w:tcW w:w="6840" w:type="dxa"/>
            <w:vAlign w:val="bottom"/>
            <w:gridSpan w:val="17"/>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Form 8-K filed on September 12, 2016</w:t>
              </w:r>
              <w:r>
                <w:rPr>
                  <w:rFonts w:ascii="Arial" w:cs="Arial" w:eastAsia="Arial" w:hAnsi="Arial"/>
                  <w:sz w:val="18"/>
                  <w:szCs w:val="18"/>
                  <w:color w:val="000000"/>
                </w:rPr>
                <w:t>.</w:t>
              </w:r>
            </w:hyperlink>
          </w:p>
        </w:tc>
        <w:tc>
          <w:tcPr>
            <w:tcW w:w="3300" w:type="dxa"/>
            <w:vAlign w:val="bottom"/>
            <w:tcBorders>
              <w:top w:val="single" w:sz="8" w:color="0000EE"/>
            </w:tcBorders>
            <w:gridSpan w:val="17"/>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10320" w:type="dxa"/>
            <w:vAlign w:val="bottom"/>
            <w:gridSpan w:val="37"/>
          </w:tcPr>
          <w:p>
            <w:pPr>
              <w:spacing w:after="0" w:line="182" w:lineRule="exact"/>
              <w:rPr>
                <w:rFonts w:ascii="Arial" w:cs="Arial" w:eastAsia="Arial" w:hAnsi="Arial"/>
                <w:sz w:val="18"/>
                <w:szCs w:val="18"/>
                <w:color w:val="auto"/>
              </w:rPr>
            </w:pPr>
            <w:hyperlink r:id="rId79">
              <w:r>
                <w:rPr>
                  <w:rFonts w:ascii="Arial" w:cs="Arial" w:eastAsia="Arial" w:hAnsi="Arial"/>
                  <w:sz w:val="18"/>
                  <w:szCs w:val="18"/>
                  <w:color w:val="auto"/>
                </w:rPr>
                <w:t xml:space="preserve">The Amended and Restated Employment Agreement dated January 29, 2016 between Carol Meyrowitz and TJX, </w:t>
              </w:r>
              <w:r>
                <w:rPr>
                  <w:rFonts w:ascii="Arial" w:cs="Arial" w:eastAsia="Arial" w:hAnsi="Arial"/>
                  <w:sz w:val="18"/>
                  <w:szCs w:val="18"/>
                  <w:color w:val="0000EE"/>
                </w:rPr>
                <w:t>incorporated</w:t>
              </w:r>
            </w:hyperlink>
          </w:p>
        </w:tc>
      </w:tr>
      <w:tr>
        <w:trPr>
          <w:trHeight w:val="183"/>
        </w:trPr>
        <w:tc>
          <w:tcPr>
            <w:tcW w:w="1100" w:type="dxa"/>
            <w:vAlign w:val="bottom"/>
          </w:tcPr>
          <w:p>
            <w:pPr>
              <w:spacing w:after="0"/>
              <w:rPr>
                <w:sz w:val="15"/>
                <w:szCs w:val="15"/>
                <w:color w:val="auto"/>
              </w:rPr>
            </w:pPr>
          </w:p>
        </w:tc>
        <w:tc>
          <w:tcPr>
            <w:tcW w:w="8900" w:type="dxa"/>
            <w:vAlign w:val="bottom"/>
            <w:gridSpan w:val="27"/>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herein by reference to Exhibit 10.1 to the Form 10-K filed for the fiscal year ended January 30, 2016</w:t>
              </w:r>
              <w:r>
                <w:rPr>
                  <w:rFonts w:ascii="Arial" w:cs="Arial" w:eastAsia="Arial" w:hAnsi="Arial"/>
                  <w:sz w:val="18"/>
                  <w:szCs w:val="18"/>
                  <w:color w:val="000000"/>
                </w:rPr>
                <w:t>.*</w:t>
              </w:r>
            </w:hyperlink>
          </w:p>
        </w:tc>
        <w:tc>
          <w:tcPr>
            <w:tcW w:w="960" w:type="dxa"/>
            <w:vAlign w:val="bottom"/>
            <w:tcBorders>
              <w:top w:val="single" w:sz="8" w:color="0000EE"/>
            </w:tcBorders>
            <w:gridSpan w:val="4"/>
          </w:tcPr>
          <w:p>
            <w:pPr>
              <w:spacing w:after="0"/>
              <w:rPr>
                <w:sz w:val="15"/>
                <w:szCs w:val="15"/>
                <w:color w:val="auto"/>
              </w:rPr>
            </w:pPr>
          </w:p>
        </w:tc>
        <w:tc>
          <w:tcPr>
            <w:tcW w:w="460" w:type="dxa"/>
            <w:vAlign w:val="bottom"/>
            <w:gridSpan w:val="6"/>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10.2</w:t>
            </w:r>
          </w:p>
        </w:tc>
        <w:tc>
          <w:tcPr>
            <w:tcW w:w="10320" w:type="dxa"/>
            <w:vAlign w:val="bottom"/>
            <w:gridSpan w:val="37"/>
          </w:tcPr>
          <w:p>
            <w:pPr>
              <w:spacing w:after="0" w:line="182" w:lineRule="exact"/>
              <w:rPr>
                <w:rFonts w:ascii="Arial" w:cs="Arial" w:eastAsia="Arial" w:hAnsi="Arial"/>
                <w:sz w:val="18"/>
                <w:szCs w:val="18"/>
                <w:color w:val="auto"/>
                <w:w w:val="98"/>
              </w:rPr>
            </w:pPr>
            <w:hyperlink r:id="rId80">
              <w:r>
                <w:rPr>
                  <w:rFonts w:ascii="Arial" w:cs="Arial" w:eastAsia="Arial" w:hAnsi="Arial"/>
                  <w:sz w:val="18"/>
                  <w:szCs w:val="18"/>
                  <w:color w:val="auto"/>
                  <w:w w:val="98"/>
                </w:rPr>
                <w:t xml:space="preserve">The Amended and Restated Employment Agreement dated January 29, 2016 between Ernie Herrman and TJX, </w:t>
              </w:r>
              <w:r>
                <w:rPr>
                  <w:rFonts w:ascii="Arial" w:cs="Arial" w:eastAsia="Arial" w:hAnsi="Arial"/>
                  <w:sz w:val="18"/>
                  <w:szCs w:val="18"/>
                  <w:color w:val="0000EE"/>
                  <w:w w:val="98"/>
                </w:rPr>
                <w:t>incorporated herein</w:t>
              </w:r>
            </w:hyperlink>
          </w:p>
        </w:tc>
      </w:tr>
      <w:tr>
        <w:trPr>
          <w:trHeight w:val="183"/>
        </w:trPr>
        <w:tc>
          <w:tcPr>
            <w:tcW w:w="1100" w:type="dxa"/>
            <w:vAlign w:val="bottom"/>
          </w:tcPr>
          <w:p>
            <w:pPr>
              <w:spacing w:after="0"/>
              <w:rPr>
                <w:sz w:val="15"/>
                <w:szCs w:val="15"/>
                <w:color w:val="auto"/>
              </w:rPr>
            </w:pPr>
          </w:p>
        </w:tc>
        <w:tc>
          <w:tcPr>
            <w:tcW w:w="8780" w:type="dxa"/>
            <w:vAlign w:val="bottom"/>
            <w:gridSpan w:val="26"/>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by reference to Exhibit 10.2 to the Form 10-K filed for the fiscal year ended January 30, 2016</w:t>
              </w:r>
              <w:r>
                <w:rPr>
                  <w:rFonts w:ascii="Arial" w:cs="Arial" w:eastAsia="Arial" w:hAnsi="Arial"/>
                  <w:sz w:val="18"/>
                  <w:szCs w:val="18"/>
                  <w:color w:val="000000"/>
                </w:rPr>
                <w:t>.*</w:t>
              </w:r>
            </w:hyperlink>
          </w:p>
        </w:tc>
        <w:tc>
          <w:tcPr>
            <w:tcW w:w="152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3"/>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10320" w:type="dxa"/>
            <w:vAlign w:val="bottom"/>
            <w:gridSpan w:val="37"/>
          </w:tcPr>
          <w:p>
            <w:pPr>
              <w:spacing w:after="0"/>
              <w:rPr>
                <w:sz w:val="20"/>
                <w:szCs w:val="20"/>
                <w:color w:val="auto"/>
              </w:rPr>
            </w:pPr>
            <w:r>
              <w:rPr>
                <w:rFonts w:ascii="Arial" w:cs="Arial" w:eastAsia="Arial" w:hAnsi="Arial"/>
                <w:sz w:val="18"/>
                <w:szCs w:val="18"/>
                <w:color w:val="auto"/>
              </w:rPr>
              <w:t>The Employment Agreement dated March 10, 2017 between and among Michael MacMillan, Winners Merchants International LP</w:t>
            </w:r>
          </w:p>
        </w:tc>
      </w:tr>
      <w:tr>
        <w:trPr>
          <w:trHeight w:val="172"/>
        </w:trPr>
        <w:tc>
          <w:tcPr>
            <w:tcW w:w="1100" w:type="dxa"/>
            <w:vAlign w:val="bottom"/>
          </w:tcPr>
          <w:p>
            <w:pPr>
              <w:spacing w:after="0"/>
              <w:rPr>
                <w:sz w:val="14"/>
                <w:szCs w:val="14"/>
                <w:color w:val="auto"/>
              </w:rPr>
            </w:pPr>
          </w:p>
        </w:tc>
        <w:tc>
          <w:tcPr>
            <w:tcW w:w="10320" w:type="dxa"/>
            <w:vAlign w:val="bottom"/>
            <w:gridSpan w:val="37"/>
          </w:tcPr>
          <w:p>
            <w:pPr>
              <w:spacing w:after="0" w:line="172" w:lineRule="exact"/>
              <w:rPr>
                <w:rFonts w:ascii="Arial" w:cs="Arial" w:eastAsia="Arial" w:hAnsi="Arial"/>
                <w:sz w:val="18"/>
                <w:szCs w:val="18"/>
                <w:color w:val="auto"/>
              </w:rPr>
            </w:pPr>
            <w:r>
              <w:rPr>
                <w:rFonts w:ascii="Arial" w:cs="Arial" w:eastAsia="Arial" w:hAnsi="Arial"/>
                <w:sz w:val="18"/>
                <w:szCs w:val="18"/>
                <w:color w:val="auto"/>
              </w:rPr>
              <w:t xml:space="preserve">and TJX, </w:t>
            </w:r>
            <w:hyperlink r:id="rId81">
              <w:r>
                <w:rPr>
                  <w:rFonts w:ascii="Arial" w:cs="Arial" w:eastAsia="Arial" w:hAnsi="Arial"/>
                  <w:sz w:val="18"/>
                  <w:szCs w:val="18"/>
                  <w:color w:val="0000EE"/>
                </w:rPr>
                <w:t>incorporated herein by reference to Exhibit 10.4 to the Form 10-K filed for the fiscal year ended January 28, 2017</w:t>
              </w:r>
            </w:hyperlink>
            <w:r>
              <w:rPr>
                <w:rFonts w:ascii="Arial" w:cs="Arial" w:eastAsia="Arial" w:hAnsi="Arial"/>
                <w:sz w:val="18"/>
                <w:szCs w:val="18"/>
                <w:color w:val="auto"/>
              </w:rPr>
              <w:t>. The</w:t>
            </w:r>
          </w:p>
        </w:tc>
      </w:tr>
      <w:tr>
        <w:trPr>
          <w:trHeight w:val="20"/>
        </w:trPr>
        <w:tc>
          <w:tcPr>
            <w:tcW w:w="1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0320" w:type="dxa"/>
            <w:vAlign w:val="bottom"/>
            <w:gridSpan w:val="37"/>
          </w:tcPr>
          <w:p>
            <w:pPr>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Letter Agreement dated January 16, 2018 between Michael MacMillan and TJX, </w:t>
            </w:r>
            <w:hyperlink w:anchor="page87">
              <w:r>
                <w:rPr>
                  <w:rFonts w:ascii="Arial" w:cs="Arial" w:eastAsia="Arial" w:hAnsi="Arial"/>
                  <w:sz w:val="18"/>
                  <w:szCs w:val="18"/>
                  <w:color w:val="0000EE"/>
                </w:rPr>
                <w:t>filed herewith</w:t>
              </w:r>
            </w:hyperlink>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10.4</w:t>
            </w:r>
          </w:p>
        </w:tc>
        <w:tc>
          <w:tcPr>
            <w:tcW w:w="10320" w:type="dxa"/>
            <w:vAlign w:val="bottom"/>
            <w:gridSpan w:val="37"/>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The Employment Agreement dated February 2, 2018 between Richard Sherr and TJX, filed herewith.*</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600" w:type="dxa"/>
            <w:vAlign w:val="bottom"/>
            <w:gridSpan w:val="10"/>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10.5</w:t>
            </w:r>
          </w:p>
        </w:tc>
        <w:tc>
          <w:tcPr>
            <w:tcW w:w="10320" w:type="dxa"/>
            <w:vAlign w:val="bottom"/>
            <w:gridSpan w:val="37"/>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The Employment Agreement dated February 2, 2018 between Scott Goldenberg and TJX, filed herewith.*</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600" w:type="dxa"/>
            <w:vAlign w:val="bottom"/>
            <w:gridSpan w:val="10"/>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10.6</w:t>
            </w:r>
          </w:p>
        </w:tc>
        <w:tc>
          <w:tcPr>
            <w:tcW w:w="834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142">
              <w:r>
                <w:rPr>
                  <w:rFonts w:ascii="Arial" w:cs="Arial" w:eastAsia="Arial" w:hAnsi="Arial"/>
                  <w:sz w:val="18"/>
                  <w:szCs w:val="18"/>
                  <w:color w:val="0000EE"/>
                  <w:w w:val="97"/>
                </w:rPr>
                <w:t>The Employment Agreement dated February 2, 2018 between Kenneth Canestrari and TJX, filed herewith.*</w:t>
              </w:r>
            </w:hyperlink>
          </w:p>
        </w:tc>
        <w:tc>
          <w:tcPr>
            <w:tcW w:w="1980" w:type="dxa"/>
            <w:vAlign w:val="bottom"/>
            <w:gridSpan w:val="13"/>
          </w:tcPr>
          <w:p>
            <w:pPr>
              <w:spacing w:after="0"/>
              <w:rPr>
                <w:sz w:val="15"/>
                <w:szCs w:val="15"/>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10.7</w:t>
            </w:r>
          </w:p>
        </w:tc>
        <w:tc>
          <w:tcPr>
            <w:tcW w:w="79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67">
              <w:r>
                <w:rPr>
                  <w:rFonts w:ascii="Arial" w:cs="Arial" w:eastAsia="Arial" w:hAnsi="Arial"/>
                  <w:sz w:val="18"/>
                  <w:szCs w:val="18"/>
                  <w:color w:val="0000EE"/>
                  <w:w w:val="97"/>
                </w:rPr>
                <w:t>The Employment Agreement dated January 16, 2018 between Douglas Mizzi and TJX, filed herewith.*</w:t>
              </w:r>
            </w:hyperlink>
          </w:p>
        </w:tc>
        <w:tc>
          <w:tcPr>
            <w:tcW w:w="2380" w:type="dxa"/>
            <w:vAlign w:val="bottom"/>
            <w:gridSpan w:val="15"/>
          </w:tcPr>
          <w:p>
            <w:pPr>
              <w:spacing w:after="0"/>
              <w:rPr>
                <w:sz w:val="15"/>
                <w:szCs w:val="15"/>
                <w:color w:val="auto"/>
              </w:rPr>
            </w:pPr>
          </w:p>
        </w:tc>
      </w:tr>
      <w:tr>
        <w:trPr>
          <w:trHeight w:val="183"/>
        </w:trPr>
        <w:tc>
          <w:tcPr>
            <w:tcW w:w="1100" w:type="dxa"/>
            <w:vAlign w:val="bottom"/>
          </w:tcPr>
          <w:p>
            <w:pPr>
              <w:spacing w:after="0" w:line="182" w:lineRule="exact"/>
              <w:rPr>
                <w:sz w:val="20"/>
                <w:szCs w:val="20"/>
                <w:color w:val="auto"/>
              </w:rPr>
            </w:pPr>
            <w:r>
              <w:rPr>
                <w:rFonts w:ascii="Arial" w:cs="Arial" w:eastAsia="Arial" w:hAnsi="Arial"/>
                <w:sz w:val="18"/>
                <w:szCs w:val="18"/>
                <w:color w:val="auto"/>
              </w:rPr>
              <w:t>10.8</w:t>
            </w:r>
          </w:p>
        </w:tc>
        <w:tc>
          <w:tcPr>
            <w:tcW w:w="10320" w:type="dxa"/>
            <w:vAlign w:val="bottom"/>
            <w:gridSpan w:val="37"/>
          </w:tcPr>
          <w:p>
            <w:pPr>
              <w:spacing w:after="0" w:line="182" w:lineRule="exact"/>
              <w:rPr>
                <w:rFonts w:ascii="Arial" w:cs="Arial" w:eastAsia="Arial" w:hAnsi="Arial"/>
                <w:sz w:val="18"/>
                <w:szCs w:val="18"/>
                <w:color w:val="auto"/>
                <w:w w:val="98"/>
              </w:rPr>
            </w:pPr>
            <w:hyperlink r:id="rId82">
              <w:r>
                <w:rPr>
                  <w:rFonts w:ascii="Arial" w:cs="Arial" w:eastAsia="Arial" w:hAnsi="Arial"/>
                  <w:sz w:val="18"/>
                  <w:szCs w:val="18"/>
                  <w:color w:val="auto"/>
                  <w:w w:val="98"/>
                </w:rPr>
                <w:t xml:space="preserve">The Stock Incentive Plan (2013 Restatement), </w:t>
              </w:r>
              <w:r>
                <w:rPr>
                  <w:rFonts w:ascii="Arial" w:cs="Arial" w:eastAsia="Arial" w:hAnsi="Arial"/>
                  <w:sz w:val="18"/>
                  <w:szCs w:val="18"/>
                  <w:color w:val="0000EE"/>
                  <w:w w:val="98"/>
                </w:rPr>
                <w:t>incorporated herein by reference to Exhibit 10.1 to the Form 10-Q filed for the quarter</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600" w:type="dxa"/>
            <w:vAlign w:val="bottom"/>
            <w:gridSpan w:val="10"/>
            <w:shd w:val="clear" w:color="auto" w:fill="0000EE"/>
          </w:tcPr>
          <w:p>
            <w:pPr>
              <w:spacing w:after="0" w:line="20" w:lineRule="exact"/>
              <w:rPr>
                <w:sz w:val="1"/>
                <w:szCs w:val="1"/>
                <w:color w:val="auto"/>
              </w:rPr>
            </w:pPr>
          </w:p>
        </w:tc>
        <w:tc>
          <w:tcPr>
            <w:tcW w:w="2100" w:type="dxa"/>
            <w:vAlign w:val="bottom"/>
            <w:tcBorders>
              <w:left w:val="single" w:sz="8" w:color="0000EE"/>
            </w:tcBorders>
            <w:gridSpan w:val="11"/>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0320" w:type="dxa"/>
            <w:vAlign w:val="bottom"/>
            <w:gridSpan w:val="37"/>
          </w:tcPr>
          <w:p>
            <w:pPr>
              <w:spacing w:after="0" w:line="182" w:lineRule="exact"/>
              <w:rPr>
                <w:rFonts w:ascii="Arial" w:cs="Arial" w:eastAsia="Arial" w:hAnsi="Arial"/>
                <w:sz w:val="18"/>
                <w:szCs w:val="18"/>
                <w:color w:val="0000EE"/>
                <w:w w:val="97"/>
              </w:rPr>
            </w:pPr>
            <w:hyperlink r:id="rId83">
              <w:r>
                <w:rPr>
                  <w:rFonts w:ascii="Arial" w:cs="Arial" w:eastAsia="Arial" w:hAnsi="Arial"/>
                  <w:sz w:val="18"/>
                  <w:szCs w:val="18"/>
                  <w:color w:val="0000EE"/>
                  <w:w w:val="97"/>
                </w:rPr>
                <w:t>ended May 4, 2013</w:t>
              </w:r>
              <w:r>
                <w:rPr>
                  <w:rFonts w:ascii="Arial" w:cs="Arial" w:eastAsia="Arial" w:hAnsi="Arial"/>
                  <w:sz w:val="18"/>
                  <w:szCs w:val="18"/>
                  <w:color w:val="000000"/>
                  <w:w w:val="97"/>
                </w:rPr>
                <w:t>. The First Amendment to the Stock Incentive Plan (2013 Restatement) effective as of June 7, 2016,</w:t>
              </w:r>
              <w:r>
                <w:rPr>
                  <w:rFonts w:ascii="Arial" w:cs="Arial" w:eastAsia="Arial" w:hAnsi="Arial"/>
                  <w:sz w:val="18"/>
                  <w:szCs w:val="18"/>
                  <w:color w:val="0000EE"/>
                  <w:w w:val="97"/>
                </w:rPr>
                <w:t xml:space="preserve"> incorporated</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10320" w:type="dxa"/>
            <w:vAlign w:val="bottom"/>
            <w:gridSpan w:val="37"/>
          </w:tcPr>
          <w:p>
            <w:pPr>
              <w:spacing w:after="0" w:line="182"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herein by reference to Exhibit 10.1 to the Form 10-Q filed for the quarter ended July 30, 2016</w:t>
              </w:r>
              <w:r>
                <w:rPr>
                  <w:rFonts w:ascii="Arial" w:cs="Arial" w:eastAsia="Arial" w:hAnsi="Arial"/>
                  <w:sz w:val="18"/>
                  <w:szCs w:val="18"/>
                  <w:color w:val="000000"/>
                  <w:w w:val="98"/>
                </w:rPr>
                <w:t>. The Second Amendment to the Stock</w:t>
              </w:r>
            </w:hyperlink>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 w:lineRule="exact"/>
        <w:rPr>
          <w:sz w:val="20"/>
          <w:szCs w:val="20"/>
          <w:color w:val="auto"/>
        </w:rPr>
      </w:pPr>
    </w:p>
    <w:p>
      <w:pPr>
        <w:ind w:left="1100" w:right="80"/>
        <w:spacing w:after="0" w:line="239" w:lineRule="auto"/>
        <w:rPr>
          <w:rFonts w:ascii="Arial" w:cs="Arial" w:eastAsia="Arial" w:hAnsi="Arial"/>
          <w:sz w:val="18"/>
          <w:szCs w:val="18"/>
          <w:color w:val="0000EE"/>
        </w:rPr>
      </w:pPr>
      <w:hyperlink r:id="rId84">
        <w:r>
          <w:rPr>
            <w:rFonts w:ascii="Arial" w:cs="Arial" w:eastAsia="Arial" w:hAnsi="Arial"/>
            <w:sz w:val="18"/>
            <w:szCs w:val="18"/>
            <w:color w:val="auto"/>
          </w:rPr>
          <w:t xml:space="preserve">Incentive Plan (2013 Restatement) effective as of January 29, 2017, </w:t>
        </w:r>
        <w:r>
          <w:rPr>
            <w:rFonts w:ascii="Arial" w:cs="Arial" w:eastAsia="Arial" w:hAnsi="Arial"/>
            <w:sz w:val="18"/>
            <w:szCs w:val="18"/>
            <w:u w:val="single" w:color="auto"/>
            <w:color w:val="0000EE"/>
          </w:rPr>
          <w:t>incorporated by reference to Exhibit 10.8 to the Form 10-K filed</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for the fiscal year ended January 28, 2017</w:t>
        </w:r>
        <w:r>
          <w:rPr>
            <w:rFonts w:ascii="Arial" w:cs="Arial" w:eastAsia="Arial" w:hAnsi="Arial"/>
            <w:sz w:val="18"/>
            <w:szCs w:val="18"/>
            <w:color w:val="000000"/>
          </w:rPr>
          <w:t>.*</w:t>
        </w:r>
      </w:hyperlink>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9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360" w:type="dxa"/>
            <w:vAlign w:val="bottom"/>
            <w:gridSpan w:val="29"/>
          </w:tcPr>
          <w:p>
            <w:pPr>
              <w:spacing w:after="0"/>
              <w:rPr>
                <w:rFonts w:ascii="Arial" w:cs="Arial" w:eastAsia="Arial" w:hAnsi="Arial"/>
                <w:sz w:val="18"/>
                <w:szCs w:val="18"/>
                <w:color w:val="auto"/>
                <w:w w:val="99"/>
              </w:rPr>
            </w:pPr>
            <w:hyperlink r:id="rId85">
              <w:r>
                <w:rPr>
                  <w:rFonts w:ascii="Arial" w:cs="Arial" w:eastAsia="Arial" w:hAnsi="Arial"/>
                  <w:sz w:val="18"/>
                  <w:szCs w:val="18"/>
                  <w:color w:val="auto"/>
                  <w:w w:val="99"/>
                </w:rPr>
                <w:t xml:space="preserve">The Stock Incentive Plan Rules for U.K. Employees, as amended April 7, 2009, </w:t>
              </w:r>
              <w:r>
                <w:rPr>
                  <w:rFonts w:ascii="Arial" w:cs="Arial" w:eastAsia="Arial" w:hAnsi="Arial"/>
                  <w:sz w:val="18"/>
                  <w:szCs w:val="18"/>
                  <w:color w:val="0000EE"/>
                  <w:w w:val="99"/>
                </w:rPr>
                <w:t>incorporated herein by reference to Exhibit 10.3 to</w:t>
              </w:r>
            </w:hyperlink>
          </w:p>
        </w:tc>
      </w:tr>
      <w:tr>
        <w:trPr>
          <w:trHeight w:val="183"/>
        </w:trPr>
        <w:tc>
          <w:tcPr>
            <w:tcW w:w="1040" w:type="dxa"/>
            <w:vAlign w:val="bottom"/>
          </w:tcPr>
          <w:p>
            <w:pPr>
              <w:spacing w:after="0"/>
              <w:rPr>
                <w:sz w:val="15"/>
                <w:szCs w:val="15"/>
                <w:color w:val="auto"/>
              </w:rPr>
            </w:pPr>
          </w:p>
        </w:tc>
        <w:tc>
          <w:tcPr>
            <w:tcW w:w="6200" w:type="dxa"/>
            <w:vAlign w:val="bottom"/>
            <w:gridSpan w:val="6"/>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the Form 10-Q filed for the quarter ended July 31, 2010</w:t>
              </w:r>
              <w:r>
                <w:rPr>
                  <w:rFonts w:ascii="Arial" w:cs="Arial" w:eastAsia="Arial" w:hAnsi="Arial"/>
                  <w:sz w:val="18"/>
                  <w:szCs w:val="18"/>
                  <w:color w:val="000000"/>
                </w:rPr>
                <w:t>.*</w:t>
              </w:r>
            </w:hyperlink>
          </w:p>
        </w:tc>
        <w:tc>
          <w:tcPr>
            <w:tcW w:w="3900" w:type="dxa"/>
            <w:vAlign w:val="bottom"/>
            <w:tcBorders>
              <w:top w:val="single" w:sz="8" w:color="0000EE"/>
            </w:tcBorders>
            <w:gridSpan w:val="18"/>
          </w:tcPr>
          <w:p>
            <w:pPr>
              <w:spacing w:after="0"/>
              <w:rPr>
                <w:sz w:val="15"/>
                <w:szCs w:val="15"/>
                <w:color w:val="auto"/>
              </w:rPr>
            </w:pPr>
          </w:p>
        </w:tc>
        <w:tc>
          <w:tcPr>
            <w:tcW w:w="26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29"/>
          </w:tcPr>
          <w:p>
            <w:pPr>
              <w:spacing w:after="0"/>
              <w:rPr>
                <w:sz w:val="20"/>
                <w:szCs w:val="20"/>
                <w:color w:val="auto"/>
              </w:rPr>
            </w:pPr>
            <w:r>
              <w:rPr>
                <w:rFonts w:ascii="Arial" w:cs="Arial" w:eastAsia="Arial" w:hAnsi="Arial"/>
                <w:sz w:val="18"/>
                <w:szCs w:val="18"/>
                <w:color w:val="auto"/>
                <w:w w:val="97"/>
              </w:rPr>
              <w:t>The Form of Non-Qualified Stock Option Certificate granted under the Stock Incentive Plan as amended and restated through June 1,</w:t>
            </w:r>
          </w:p>
        </w:tc>
      </w:tr>
      <w:tr>
        <w:trPr>
          <w:trHeight w:val="172"/>
        </w:trPr>
        <w:tc>
          <w:tcPr>
            <w:tcW w:w="1040" w:type="dxa"/>
            <w:vAlign w:val="bottom"/>
          </w:tcPr>
          <w:p>
            <w:pPr>
              <w:spacing w:after="0"/>
              <w:rPr>
                <w:sz w:val="14"/>
                <w:szCs w:val="14"/>
                <w:color w:val="auto"/>
              </w:rPr>
            </w:pPr>
          </w:p>
        </w:tc>
        <w:tc>
          <w:tcPr>
            <w:tcW w:w="10360" w:type="dxa"/>
            <w:vAlign w:val="bottom"/>
            <w:gridSpan w:val="29"/>
          </w:tcPr>
          <w:p>
            <w:pPr>
              <w:spacing w:after="0" w:line="172" w:lineRule="exact"/>
              <w:rPr>
                <w:rFonts w:ascii="Arial" w:cs="Arial" w:eastAsia="Arial" w:hAnsi="Arial"/>
                <w:sz w:val="18"/>
                <w:szCs w:val="18"/>
                <w:color w:val="auto"/>
              </w:rPr>
            </w:pPr>
            <w:r>
              <w:rPr>
                <w:rFonts w:ascii="Arial" w:cs="Arial" w:eastAsia="Arial" w:hAnsi="Arial"/>
                <w:sz w:val="18"/>
                <w:szCs w:val="18"/>
                <w:color w:val="auto"/>
              </w:rPr>
              <w:t xml:space="preserve">2004, </w:t>
            </w:r>
            <w:hyperlink r:id="rId86">
              <w:r>
                <w:rPr>
                  <w:rFonts w:ascii="Arial" w:cs="Arial" w:eastAsia="Arial" w:hAnsi="Arial"/>
                  <w:sz w:val="18"/>
                  <w:szCs w:val="18"/>
                  <w:color w:val="0000EE"/>
                </w:rPr>
                <w:t>incorporated herein by reference to Exhibit 10.2 to the Form 10-Q filed for the quarter ended July 31, 2004.</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10.11</w:t>
            </w:r>
          </w:p>
        </w:tc>
        <w:tc>
          <w:tcPr>
            <w:tcW w:w="10360" w:type="dxa"/>
            <w:vAlign w:val="bottom"/>
            <w:gridSpan w:val="29"/>
          </w:tcPr>
          <w:p>
            <w:pPr>
              <w:spacing w:after="0" w:line="182" w:lineRule="exact"/>
              <w:rPr>
                <w:rFonts w:ascii="Arial" w:cs="Arial" w:eastAsia="Arial" w:hAnsi="Arial"/>
                <w:sz w:val="18"/>
                <w:szCs w:val="18"/>
                <w:color w:val="auto"/>
                <w:w w:val="98"/>
              </w:rPr>
            </w:pPr>
            <w:hyperlink r:id="rId87">
              <w:r>
                <w:rPr>
                  <w:rFonts w:ascii="Arial" w:cs="Arial" w:eastAsia="Arial" w:hAnsi="Arial"/>
                  <w:sz w:val="18"/>
                  <w:szCs w:val="18"/>
                  <w:color w:val="auto"/>
                  <w:w w:val="98"/>
                </w:rPr>
                <w:t xml:space="preserve">The Form of Non-Qualified Stock Option Certificate granted under the Stock Incentive Plan as of September 17, 2009, </w:t>
              </w:r>
              <w:r>
                <w:rPr>
                  <w:rFonts w:ascii="Arial" w:cs="Arial" w:eastAsia="Arial" w:hAnsi="Arial"/>
                  <w:sz w:val="18"/>
                  <w:szCs w:val="18"/>
                  <w:color w:val="0000EE"/>
                  <w:w w:val="98"/>
                </w:rPr>
                <w:t>incorporated</w:t>
              </w:r>
            </w:hyperlink>
          </w:p>
        </w:tc>
      </w:tr>
      <w:tr>
        <w:trPr>
          <w:trHeight w:val="20"/>
        </w:trPr>
        <w:tc>
          <w:tcPr>
            <w:tcW w:w="104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herein by reference to Exhibit 12.1 to the Form 10-Q filed for the quarter ended October 31, 2009</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88">
              <w:r>
                <w:rPr>
                  <w:rFonts w:ascii="Arial" w:cs="Arial" w:eastAsia="Arial" w:hAnsi="Arial"/>
                  <w:sz w:val="18"/>
                  <w:szCs w:val="18"/>
                  <w:color w:val="auto"/>
                  <w:w w:val="98"/>
                </w:rPr>
                <w:t xml:space="preserve">Option Terms and Conditions granted under the Stock Incentive Plan as of September 17, 2009, </w:t>
              </w:r>
              <w:r>
                <w:rPr>
                  <w:rFonts w:ascii="Arial" w:cs="Arial" w:eastAsia="Arial" w:hAnsi="Arial"/>
                  <w:sz w:val="18"/>
                  <w:szCs w:val="18"/>
                  <w:color w:val="0000EE"/>
                  <w:w w:val="98"/>
                </w:rPr>
                <w:t>incorporated herein by reference to</w:t>
              </w:r>
            </w:hyperlink>
          </w:p>
        </w:tc>
      </w:tr>
      <w:tr>
        <w:trPr>
          <w:trHeight w:val="183"/>
        </w:trPr>
        <w:tc>
          <w:tcPr>
            <w:tcW w:w="1040" w:type="dxa"/>
            <w:vAlign w:val="bottom"/>
          </w:tcPr>
          <w:p>
            <w:pPr>
              <w:spacing w:after="0"/>
              <w:rPr>
                <w:sz w:val="15"/>
                <w:szCs w:val="15"/>
                <w:color w:val="auto"/>
              </w:rPr>
            </w:pPr>
          </w:p>
        </w:tc>
        <w:tc>
          <w:tcPr>
            <w:tcW w:w="7460" w:type="dxa"/>
            <w:vAlign w:val="bottom"/>
            <w:gridSpan w:val="11"/>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Exhibit 12.2 to the Form 10-Q filed for the quarter ended October 31, 2009.</w:t>
              </w:r>
              <w:r>
                <w:rPr>
                  <w:rFonts w:ascii="Arial" w:cs="Arial" w:eastAsia="Arial" w:hAnsi="Arial"/>
                  <w:sz w:val="18"/>
                  <w:szCs w:val="18"/>
                  <w:color w:val="000000"/>
                </w:rPr>
                <w:t>*</w:t>
              </w:r>
            </w:hyperlink>
          </w:p>
        </w:tc>
        <w:tc>
          <w:tcPr>
            <w:tcW w:w="2780" w:type="dxa"/>
            <w:vAlign w:val="bottom"/>
            <w:tcBorders>
              <w:top w:val="single" w:sz="8" w:color="0000EE"/>
            </w:tcBorders>
            <w:gridSpan w:val="17"/>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10.12</w:t>
            </w:r>
          </w:p>
        </w:tc>
        <w:tc>
          <w:tcPr>
            <w:tcW w:w="10360" w:type="dxa"/>
            <w:vAlign w:val="bottom"/>
            <w:gridSpan w:val="29"/>
          </w:tcPr>
          <w:p>
            <w:pPr>
              <w:spacing w:after="0" w:line="182" w:lineRule="exact"/>
              <w:rPr>
                <w:rFonts w:ascii="Arial" w:cs="Arial" w:eastAsia="Arial" w:hAnsi="Arial"/>
                <w:sz w:val="18"/>
                <w:szCs w:val="18"/>
                <w:color w:val="auto"/>
                <w:w w:val="99"/>
              </w:rPr>
            </w:pPr>
            <w:hyperlink r:id="rId89">
              <w:r>
                <w:rPr>
                  <w:rFonts w:ascii="Arial" w:cs="Arial" w:eastAsia="Arial" w:hAnsi="Arial"/>
                  <w:sz w:val="18"/>
                  <w:szCs w:val="18"/>
                  <w:color w:val="auto"/>
                  <w:w w:val="99"/>
                </w:rPr>
                <w:t xml:space="preserve">The Form of Non-Qualified Stock Option Certificate granted under the Stock Incentive Plan as of September 9, 2010, </w:t>
              </w:r>
              <w:r>
                <w:rPr>
                  <w:rFonts w:ascii="Arial" w:cs="Arial" w:eastAsia="Arial" w:hAnsi="Arial"/>
                  <w:sz w:val="18"/>
                  <w:szCs w:val="18"/>
                  <w:color w:val="0000EE"/>
                  <w:w w:val="99"/>
                </w:rPr>
                <w:t>incorporated</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herein by reference to Exhibit 10.2 to the Form 10-Q filed for the quarter ended October 30, 2010</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9"/>
              </w:rPr>
            </w:pPr>
            <w:hyperlink r:id="rId90">
              <w:r>
                <w:rPr>
                  <w:rFonts w:ascii="Arial" w:cs="Arial" w:eastAsia="Arial" w:hAnsi="Arial"/>
                  <w:sz w:val="18"/>
                  <w:szCs w:val="18"/>
                  <w:color w:val="auto"/>
                  <w:w w:val="99"/>
                </w:rPr>
                <w:t xml:space="preserve">Option Terms and Conditions granted under the Stock Incentive Plan as of September 9, 2010, </w:t>
              </w:r>
              <w:r>
                <w:rPr>
                  <w:rFonts w:ascii="Arial" w:cs="Arial" w:eastAsia="Arial" w:hAnsi="Arial"/>
                  <w:sz w:val="18"/>
                  <w:szCs w:val="18"/>
                  <w:color w:val="0000EE"/>
                  <w:w w:val="99"/>
                </w:rPr>
                <w:t>incorporated herein by reference to</w:t>
              </w:r>
            </w:hyperlink>
          </w:p>
        </w:tc>
      </w:tr>
      <w:tr>
        <w:trPr>
          <w:trHeight w:val="183"/>
        </w:trPr>
        <w:tc>
          <w:tcPr>
            <w:tcW w:w="1040" w:type="dxa"/>
            <w:vAlign w:val="bottom"/>
          </w:tcPr>
          <w:p>
            <w:pPr>
              <w:spacing w:after="0"/>
              <w:rPr>
                <w:sz w:val="15"/>
                <w:szCs w:val="15"/>
                <w:color w:val="auto"/>
              </w:rPr>
            </w:pPr>
          </w:p>
        </w:tc>
        <w:tc>
          <w:tcPr>
            <w:tcW w:w="7420" w:type="dxa"/>
            <w:vAlign w:val="bottom"/>
            <w:gridSpan w:val="10"/>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Exhibit 10.19 to the Form 10-K filed for the fiscal year ended January 28, 2012.</w:t>
              </w:r>
              <w:r>
                <w:rPr>
                  <w:rFonts w:ascii="Arial" w:cs="Arial" w:eastAsia="Arial" w:hAnsi="Arial"/>
                  <w:sz w:val="18"/>
                  <w:szCs w:val="18"/>
                  <w:color w:val="000000"/>
                </w:rPr>
                <w:t>*</w:t>
              </w:r>
            </w:hyperlink>
          </w:p>
        </w:tc>
        <w:tc>
          <w:tcPr>
            <w:tcW w:w="2720" w:type="dxa"/>
            <w:vAlign w:val="bottom"/>
            <w:tcBorders>
              <w:top w:val="single" w:sz="8" w:color="0000EE"/>
            </w:tcBorders>
            <w:gridSpan w:val="15"/>
          </w:tcPr>
          <w:p>
            <w:pPr>
              <w:spacing w:after="0"/>
              <w:rPr>
                <w:sz w:val="15"/>
                <w:szCs w:val="15"/>
                <w:color w:val="auto"/>
              </w:rPr>
            </w:pPr>
          </w:p>
        </w:tc>
        <w:tc>
          <w:tcPr>
            <w:tcW w:w="220" w:type="dxa"/>
            <w:vAlign w:val="bottom"/>
            <w:gridSpan w:val="4"/>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10.13</w:t>
            </w:r>
          </w:p>
        </w:tc>
        <w:tc>
          <w:tcPr>
            <w:tcW w:w="10360" w:type="dxa"/>
            <w:vAlign w:val="bottom"/>
            <w:gridSpan w:val="29"/>
          </w:tcPr>
          <w:p>
            <w:pPr>
              <w:spacing w:after="0" w:line="182" w:lineRule="exact"/>
              <w:rPr>
                <w:rFonts w:ascii="Arial" w:cs="Arial" w:eastAsia="Arial" w:hAnsi="Arial"/>
                <w:sz w:val="18"/>
                <w:szCs w:val="18"/>
                <w:color w:val="auto"/>
                <w:w w:val="98"/>
              </w:rPr>
            </w:pPr>
            <w:hyperlink r:id="rId91">
              <w:r>
                <w:rPr>
                  <w:rFonts w:ascii="Arial" w:cs="Arial" w:eastAsia="Arial" w:hAnsi="Arial"/>
                  <w:sz w:val="18"/>
                  <w:szCs w:val="18"/>
                  <w:color w:val="auto"/>
                  <w:w w:val="98"/>
                </w:rPr>
                <w:t xml:space="preserve">The Form of Non-Qualified Stock Option Certificate granted under the Stock Incentive Plan as of September 20, 2012, </w:t>
              </w:r>
              <w:r>
                <w:rPr>
                  <w:rFonts w:ascii="Arial" w:cs="Arial" w:eastAsia="Arial" w:hAnsi="Arial"/>
                  <w:sz w:val="18"/>
                  <w:szCs w:val="18"/>
                  <w:color w:val="0000EE"/>
                  <w:w w:val="98"/>
                </w:rPr>
                <w:t>incorporated</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91">
              <w:r>
                <w:rPr>
                  <w:rFonts w:ascii="Arial" w:cs="Arial" w:eastAsia="Arial" w:hAnsi="Arial"/>
                  <w:sz w:val="18"/>
                  <w:szCs w:val="18"/>
                  <w:color w:val="0000EE"/>
                  <w:w w:val="98"/>
                </w:rPr>
                <w:t>herein by reference to Exhibit 10.1 to the Form 10-Q filed for the quarter ended October 27, 2012</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92">
              <w:r>
                <w:rPr>
                  <w:rFonts w:ascii="Arial" w:cs="Arial" w:eastAsia="Arial" w:hAnsi="Arial"/>
                  <w:sz w:val="18"/>
                  <w:szCs w:val="18"/>
                  <w:color w:val="auto"/>
                  <w:w w:val="98"/>
                </w:rPr>
                <w:t xml:space="preserve">Option Terms and Conditions granted under the Stock Incentive Plan as of September 20, 2012, </w:t>
              </w:r>
              <w:r>
                <w:rPr>
                  <w:rFonts w:ascii="Arial" w:cs="Arial" w:eastAsia="Arial" w:hAnsi="Arial"/>
                  <w:sz w:val="18"/>
                  <w:szCs w:val="18"/>
                  <w:color w:val="0000EE"/>
                  <w:w w:val="98"/>
                </w:rPr>
                <w:t>incorporated herein by reference to</w:t>
              </w:r>
            </w:hyperlink>
          </w:p>
        </w:tc>
      </w:tr>
      <w:tr>
        <w:trPr>
          <w:trHeight w:val="183"/>
        </w:trPr>
        <w:tc>
          <w:tcPr>
            <w:tcW w:w="1040" w:type="dxa"/>
            <w:vAlign w:val="bottom"/>
          </w:tcPr>
          <w:p>
            <w:pPr>
              <w:spacing w:after="0"/>
              <w:rPr>
                <w:sz w:val="15"/>
                <w:szCs w:val="15"/>
                <w:color w:val="auto"/>
              </w:rPr>
            </w:pPr>
          </w:p>
        </w:tc>
        <w:tc>
          <w:tcPr>
            <w:tcW w:w="7540" w:type="dxa"/>
            <w:vAlign w:val="bottom"/>
            <w:gridSpan w:val="12"/>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Exhibit 10.2 to the Form 10-Q filed for the quarter ended October 27, 2012.</w:t>
              </w:r>
              <w:r>
                <w:rPr>
                  <w:rFonts w:ascii="Arial" w:cs="Arial" w:eastAsia="Arial" w:hAnsi="Arial"/>
                  <w:sz w:val="18"/>
                  <w:szCs w:val="18"/>
                  <w:color w:val="000000"/>
                </w:rPr>
                <w:t>*</w:t>
              </w:r>
            </w:hyperlink>
          </w:p>
        </w:tc>
        <w:tc>
          <w:tcPr>
            <w:tcW w:w="2700" w:type="dxa"/>
            <w:vAlign w:val="bottom"/>
            <w:tcBorders>
              <w:top w:val="single" w:sz="8" w:color="0000EE"/>
            </w:tcBorders>
            <w:gridSpan w:val="16"/>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10.14</w:t>
            </w:r>
          </w:p>
        </w:tc>
        <w:tc>
          <w:tcPr>
            <w:tcW w:w="10360" w:type="dxa"/>
            <w:vAlign w:val="bottom"/>
            <w:gridSpan w:val="29"/>
          </w:tcPr>
          <w:p>
            <w:pPr>
              <w:spacing w:after="0" w:line="182" w:lineRule="exact"/>
              <w:rPr>
                <w:rFonts w:ascii="Arial" w:cs="Arial" w:eastAsia="Arial" w:hAnsi="Arial"/>
                <w:sz w:val="18"/>
                <w:szCs w:val="18"/>
                <w:color w:val="auto"/>
                <w:w w:val="98"/>
              </w:rPr>
            </w:pPr>
            <w:hyperlink r:id="rId93">
              <w:r>
                <w:rPr>
                  <w:rFonts w:ascii="Arial" w:cs="Arial" w:eastAsia="Arial" w:hAnsi="Arial"/>
                  <w:sz w:val="18"/>
                  <w:szCs w:val="18"/>
                  <w:color w:val="auto"/>
                  <w:w w:val="98"/>
                </w:rPr>
                <w:t xml:space="preserve">The Form of Non-Qualified Stock Option Certificate granted under the Stock Incentive Plan as of September 19, 2013, </w:t>
              </w:r>
              <w:r>
                <w:rPr>
                  <w:rFonts w:ascii="Arial" w:cs="Arial" w:eastAsia="Arial" w:hAnsi="Arial"/>
                  <w:sz w:val="18"/>
                  <w:szCs w:val="18"/>
                  <w:color w:val="0000EE"/>
                  <w:w w:val="98"/>
                </w:rPr>
                <w:t>incorporated</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93">
              <w:r>
                <w:rPr>
                  <w:rFonts w:ascii="Arial" w:cs="Arial" w:eastAsia="Arial" w:hAnsi="Arial"/>
                  <w:sz w:val="18"/>
                  <w:szCs w:val="18"/>
                  <w:color w:val="0000EE"/>
                  <w:w w:val="98"/>
                </w:rPr>
                <w:t>herein by reference to Exhibit 10.1 to the Form 10-Q filed for the quarter ended November 2, 2013</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94">
              <w:r>
                <w:rPr>
                  <w:rFonts w:ascii="Arial" w:cs="Arial" w:eastAsia="Arial" w:hAnsi="Arial"/>
                  <w:sz w:val="18"/>
                  <w:szCs w:val="18"/>
                  <w:color w:val="auto"/>
                  <w:w w:val="98"/>
                </w:rPr>
                <w:t xml:space="preserve">Option Terms and Conditions granted under the Stock Incentive Plan as of September 19, 2013, </w:t>
              </w:r>
              <w:r>
                <w:rPr>
                  <w:rFonts w:ascii="Arial" w:cs="Arial" w:eastAsia="Arial" w:hAnsi="Arial"/>
                  <w:sz w:val="18"/>
                  <w:szCs w:val="18"/>
                  <w:color w:val="0000EE"/>
                  <w:w w:val="98"/>
                </w:rPr>
                <w:t>incorporated herein by reference to</w:t>
              </w:r>
            </w:hyperlink>
          </w:p>
        </w:tc>
      </w:tr>
      <w:tr>
        <w:trPr>
          <w:trHeight w:val="183"/>
        </w:trPr>
        <w:tc>
          <w:tcPr>
            <w:tcW w:w="1040" w:type="dxa"/>
            <w:vAlign w:val="bottom"/>
          </w:tcPr>
          <w:p>
            <w:pPr>
              <w:spacing w:after="0"/>
              <w:rPr>
                <w:sz w:val="15"/>
                <w:szCs w:val="15"/>
                <w:color w:val="auto"/>
              </w:rPr>
            </w:pPr>
          </w:p>
        </w:tc>
        <w:tc>
          <w:tcPr>
            <w:tcW w:w="7540" w:type="dxa"/>
            <w:vAlign w:val="bottom"/>
            <w:gridSpan w:val="12"/>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Exhibit 10.2 to the Form 10-Q filed for the quarter ended November 2, 2013</w:t>
              </w:r>
              <w:r>
                <w:rPr>
                  <w:rFonts w:ascii="Arial" w:cs="Arial" w:eastAsia="Arial" w:hAnsi="Arial"/>
                  <w:sz w:val="18"/>
                  <w:szCs w:val="18"/>
                  <w:color w:val="000000"/>
                </w:rPr>
                <w:t>.*</w:t>
              </w:r>
            </w:hyperlink>
          </w:p>
        </w:tc>
        <w:tc>
          <w:tcPr>
            <w:tcW w:w="2700" w:type="dxa"/>
            <w:vAlign w:val="bottom"/>
            <w:tcBorders>
              <w:top w:val="single" w:sz="8" w:color="0000EE"/>
            </w:tcBorders>
            <w:gridSpan w:val="16"/>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10.15</w:t>
            </w:r>
          </w:p>
        </w:tc>
        <w:tc>
          <w:tcPr>
            <w:tcW w:w="10360" w:type="dxa"/>
            <w:vAlign w:val="bottom"/>
            <w:gridSpan w:val="29"/>
          </w:tcPr>
          <w:p>
            <w:pPr>
              <w:spacing w:after="0" w:line="182" w:lineRule="exact"/>
              <w:rPr>
                <w:rFonts w:ascii="Arial" w:cs="Arial" w:eastAsia="Arial" w:hAnsi="Arial"/>
                <w:sz w:val="18"/>
                <w:szCs w:val="18"/>
                <w:color w:val="auto"/>
                <w:w w:val="98"/>
              </w:rPr>
            </w:pPr>
            <w:hyperlink r:id="rId95">
              <w:r>
                <w:rPr>
                  <w:rFonts w:ascii="Arial" w:cs="Arial" w:eastAsia="Arial" w:hAnsi="Arial"/>
                  <w:sz w:val="18"/>
                  <w:szCs w:val="18"/>
                  <w:color w:val="auto"/>
                  <w:w w:val="98"/>
                </w:rPr>
                <w:t xml:space="preserve">The Form of Non-Qualified Stock Option Certificate granted under the Stock Incentive Plan as of September 10, 2014, </w:t>
              </w:r>
              <w:r>
                <w:rPr>
                  <w:rFonts w:ascii="Arial" w:cs="Arial" w:eastAsia="Arial" w:hAnsi="Arial"/>
                  <w:sz w:val="18"/>
                  <w:szCs w:val="18"/>
                  <w:color w:val="0000EE"/>
                  <w:w w:val="98"/>
                </w:rPr>
                <w:t>incorporated</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95">
              <w:r>
                <w:rPr>
                  <w:rFonts w:ascii="Arial" w:cs="Arial" w:eastAsia="Arial" w:hAnsi="Arial"/>
                  <w:sz w:val="18"/>
                  <w:szCs w:val="18"/>
                  <w:color w:val="0000EE"/>
                  <w:w w:val="98"/>
                </w:rPr>
                <w:t>herein by reference to Exhibit 10.4 to the Form 10-Q filed for the quarter ended November 1, 2014</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96">
              <w:r>
                <w:rPr>
                  <w:rFonts w:ascii="Arial" w:cs="Arial" w:eastAsia="Arial" w:hAnsi="Arial"/>
                  <w:sz w:val="18"/>
                  <w:szCs w:val="18"/>
                  <w:color w:val="auto"/>
                  <w:w w:val="98"/>
                </w:rPr>
                <w:t xml:space="preserve">Option Terms and Conditions granted under the Stock Incentive Plan as of September 10, 2014, </w:t>
              </w:r>
              <w:r>
                <w:rPr>
                  <w:rFonts w:ascii="Arial" w:cs="Arial" w:eastAsia="Arial" w:hAnsi="Arial"/>
                  <w:sz w:val="18"/>
                  <w:szCs w:val="18"/>
                  <w:color w:val="0000EE"/>
                  <w:w w:val="98"/>
                </w:rPr>
                <w:t>incorporated herein by reference to</w:t>
              </w:r>
            </w:hyperlink>
          </w:p>
        </w:tc>
      </w:tr>
      <w:tr>
        <w:trPr>
          <w:trHeight w:val="183"/>
        </w:trPr>
        <w:tc>
          <w:tcPr>
            <w:tcW w:w="1040" w:type="dxa"/>
            <w:vAlign w:val="bottom"/>
          </w:tcPr>
          <w:p>
            <w:pPr>
              <w:spacing w:after="0"/>
              <w:rPr>
                <w:sz w:val="15"/>
                <w:szCs w:val="15"/>
                <w:color w:val="auto"/>
              </w:rPr>
            </w:pPr>
          </w:p>
        </w:tc>
        <w:tc>
          <w:tcPr>
            <w:tcW w:w="7540" w:type="dxa"/>
            <w:vAlign w:val="bottom"/>
            <w:gridSpan w:val="12"/>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Exhibit 10.5 to the Form 10-Q filed for the quarter ended November 1, 2014</w:t>
              </w:r>
              <w:r>
                <w:rPr>
                  <w:rFonts w:ascii="Arial" w:cs="Arial" w:eastAsia="Arial" w:hAnsi="Arial"/>
                  <w:sz w:val="18"/>
                  <w:szCs w:val="18"/>
                  <w:color w:val="000000"/>
                </w:rPr>
                <w:t>.*</w:t>
              </w:r>
            </w:hyperlink>
          </w:p>
        </w:tc>
        <w:tc>
          <w:tcPr>
            <w:tcW w:w="2700" w:type="dxa"/>
            <w:vAlign w:val="bottom"/>
            <w:tcBorders>
              <w:top w:val="single" w:sz="8" w:color="0000EE"/>
            </w:tcBorders>
            <w:gridSpan w:val="16"/>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60" w:type="dxa"/>
            <w:vAlign w:val="bottom"/>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10.16</w:t>
            </w:r>
          </w:p>
        </w:tc>
        <w:tc>
          <w:tcPr>
            <w:tcW w:w="10360" w:type="dxa"/>
            <w:vAlign w:val="bottom"/>
            <w:gridSpan w:val="29"/>
          </w:tcPr>
          <w:p>
            <w:pPr>
              <w:spacing w:after="0" w:line="182" w:lineRule="exact"/>
              <w:rPr>
                <w:rFonts w:ascii="Arial" w:cs="Arial" w:eastAsia="Arial" w:hAnsi="Arial"/>
                <w:sz w:val="18"/>
                <w:szCs w:val="18"/>
                <w:color w:val="auto"/>
                <w:w w:val="98"/>
              </w:rPr>
            </w:pPr>
            <w:hyperlink r:id="rId97">
              <w:r>
                <w:rPr>
                  <w:rFonts w:ascii="Arial" w:cs="Arial" w:eastAsia="Arial" w:hAnsi="Arial"/>
                  <w:sz w:val="18"/>
                  <w:szCs w:val="18"/>
                  <w:color w:val="auto"/>
                  <w:w w:val="98"/>
                </w:rPr>
                <w:t xml:space="preserve">The Form of Non-Qualified Stock Option Certificate granted under the Stock Incentive Plan as of September 17, 2015, </w:t>
              </w:r>
              <w:r>
                <w:rPr>
                  <w:rFonts w:ascii="Arial" w:cs="Arial" w:eastAsia="Arial" w:hAnsi="Arial"/>
                  <w:sz w:val="18"/>
                  <w:szCs w:val="18"/>
                  <w:color w:val="0000EE"/>
                  <w:w w:val="98"/>
                </w:rPr>
                <w:t>incorporated</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herein by reference to Exhibit 10.1 to the Form 10-Q filed for the quarter ended October 31, 2015</w:t>
              </w:r>
              <w:r>
                <w:rPr>
                  <w:rFonts w:ascii="Arial" w:cs="Arial" w:eastAsia="Arial" w:hAnsi="Arial"/>
                  <w:sz w:val="18"/>
                  <w:szCs w:val="18"/>
                  <w:color w:val="000000"/>
                  <w:w w:val="98"/>
                </w:rPr>
                <w:t>. The Form of Non-Qualified Stock</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98">
              <w:r>
                <w:rPr>
                  <w:rFonts w:ascii="Arial" w:cs="Arial" w:eastAsia="Arial" w:hAnsi="Arial"/>
                  <w:sz w:val="18"/>
                  <w:szCs w:val="18"/>
                  <w:color w:val="auto"/>
                  <w:w w:val="98"/>
                </w:rPr>
                <w:t xml:space="preserve">Option Terms and Conditions granted under the Stock Incentive Plan as of September 17, 2015, </w:t>
              </w:r>
              <w:r>
                <w:rPr>
                  <w:rFonts w:ascii="Arial" w:cs="Arial" w:eastAsia="Arial" w:hAnsi="Arial"/>
                  <w:sz w:val="18"/>
                  <w:szCs w:val="18"/>
                  <w:color w:val="0000EE"/>
                  <w:w w:val="98"/>
                </w:rPr>
                <w:t>incorporated herein by reference to</w:t>
              </w:r>
            </w:hyperlink>
          </w:p>
        </w:tc>
      </w:tr>
      <w:tr>
        <w:trPr>
          <w:trHeight w:val="183"/>
        </w:trPr>
        <w:tc>
          <w:tcPr>
            <w:tcW w:w="1040" w:type="dxa"/>
            <w:vAlign w:val="bottom"/>
          </w:tcPr>
          <w:p>
            <w:pPr>
              <w:spacing w:after="0"/>
              <w:rPr>
                <w:sz w:val="15"/>
                <w:szCs w:val="15"/>
                <w:color w:val="auto"/>
              </w:rPr>
            </w:pPr>
          </w:p>
        </w:tc>
        <w:tc>
          <w:tcPr>
            <w:tcW w:w="7540" w:type="dxa"/>
            <w:vAlign w:val="bottom"/>
            <w:gridSpan w:val="12"/>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Exhibit 10.2 to the Form 10-Q filed for the quarter ended October 31, 2015.</w:t>
              </w:r>
              <w:r>
                <w:rPr>
                  <w:rFonts w:ascii="Arial" w:cs="Arial" w:eastAsia="Arial" w:hAnsi="Arial"/>
                  <w:sz w:val="18"/>
                  <w:szCs w:val="18"/>
                  <w:color w:val="000000"/>
                </w:rPr>
                <w:t>*</w:t>
              </w:r>
            </w:hyperlink>
          </w:p>
        </w:tc>
        <w:tc>
          <w:tcPr>
            <w:tcW w:w="2700" w:type="dxa"/>
            <w:vAlign w:val="bottom"/>
            <w:tcBorders>
              <w:top w:val="single" w:sz="8" w:color="0000EE"/>
            </w:tcBorders>
            <w:gridSpan w:val="16"/>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3"/>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29"/>
          </w:tcPr>
          <w:p>
            <w:pPr>
              <w:spacing w:after="0"/>
              <w:rPr>
                <w:sz w:val="20"/>
                <w:szCs w:val="20"/>
                <w:color w:val="auto"/>
              </w:rPr>
            </w:pPr>
            <w:r>
              <w:rPr>
                <w:rFonts w:ascii="Arial" w:cs="Arial" w:eastAsia="Arial" w:hAnsi="Arial"/>
                <w:sz w:val="18"/>
                <w:szCs w:val="18"/>
                <w:color w:val="auto"/>
              </w:rPr>
              <w:t>The Form of Performance-Based Restricted Stock Award granted under the Stock Incentive Plan as of February 1, 2013,</w:t>
            </w:r>
          </w:p>
        </w:tc>
      </w:tr>
      <w:tr>
        <w:trPr>
          <w:trHeight w:val="172"/>
        </w:trPr>
        <w:tc>
          <w:tcPr>
            <w:tcW w:w="1040" w:type="dxa"/>
            <w:vAlign w:val="bottom"/>
          </w:tcPr>
          <w:p>
            <w:pPr>
              <w:spacing w:after="0"/>
              <w:rPr>
                <w:sz w:val="14"/>
                <w:szCs w:val="14"/>
                <w:color w:val="auto"/>
              </w:rPr>
            </w:pPr>
          </w:p>
        </w:tc>
        <w:tc>
          <w:tcPr>
            <w:tcW w:w="10360" w:type="dxa"/>
            <w:vAlign w:val="bottom"/>
            <w:gridSpan w:val="29"/>
          </w:tcPr>
          <w:p>
            <w:pPr>
              <w:spacing w:after="0" w:line="172" w:lineRule="exact"/>
              <w:rPr>
                <w:rFonts w:ascii="Arial" w:cs="Arial" w:eastAsia="Arial" w:hAnsi="Arial"/>
                <w:sz w:val="18"/>
                <w:szCs w:val="18"/>
                <w:color w:val="0000EE"/>
              </w:rPr>
            </w:pPr>
            <w:hyperlink r:id="rId99">
              <w:r>
                <w:rPr>
                  <w:rFonts w:ascii="Arial" w:cs="Arial" w:eastAsia="Arial" w:hAnsi="Arial"/>
                  <w:sz w:val="18"/>
                  <w:szCs w:val="18"/>
                  <w:color w:val="0000EE"/>
                </w:rPr>
                <w:t>incorporated herein by reference to Exhibit 10.16 to the Form 10-K filed for the fiscal year ended February 2, 2013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The Form of</w:t>
            </w:r>
          </w:p>
        </w:tc>
      </w:tr>
      <w:tr>
        <w:trPr>
          <w:trHeight w:val="20"/>
        </w:trPr>
        <w:tc>
          <w:tcPr>
            <w:tcW w:w="104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0360" w:type="dxa"/>
            <w:vAlign w:val="bottom"/>
            <w:gridSpan w:val="29"/>
          </w:tcPr>
          <w:p>
            <w:pPr>
              <w:spacing w:after="0" w:line="182" w:lineRule="exact"/>
              <w:rPr>
                <w:rFonts w:ascii="Arial" w:cs="Arial" w:eastAsia="Arial" w:hAnsi="Arial"/>
                <w:sz w:val="18"/>
                <w:szCs w:val="18"/>
                <w:color w:val="auto"/>
                <w:w w:val="98"/>
              </w:rPr>
            </w:pPr>
            <w:hyperlink r:id="rId100">
              <w:r>
                <w:rPr>
                  <w:rFonts w:ascii="Arial" w:cs="Arial" w:eastAsia="Arial" w:hAnsi="Arial"/>
                  <w:sz w:val="18"/>
                  <w:szCs w:val="18"/>
                  <w:color w:val="auto"/>
                  <w:w w:val="98"/>
                </w:rPr>
                <w:t xml:space="preserve">Performance-Based Restricted Stock Award granted under the Stock Incentive Plan as of September 19, 2013, </w:t>
              </w:r>
              <w:r>
                <w:rPr>
                  <w:rFonts w:ascii="Arial" w:cs="Arial" w:eastAsia="Arial" w:hAnsi="Arial"/>
                  <w:sz w:val="18"/>
                  <w:szCs w:val="18"/>
                  <w:color w:val="0000EE"/>
                  <w:w w:val="98"/>
                </w:rPr>
                <w:t>incorporated herein</w:t>
              </w:r>
            </w:hyperlink>
          </w:p>
        </w:tc>
      </w:tr>
      <w:tr>
        <w:trPr>
          <w:trHeight w:val="183"/>
        </w:trPr>
        <w:tc>
          <w:tcPr>
            <w:tcW w:w="1040" w:type="dxa"/>
            <w:vAlign w:val="bottom"/>
          </w:tcPr>
          <w:p>
            <w:pPr>
              <w:spacing w:after="0"/>
              <w:rPr>
                <w:sz w:val="15"/>
                <w:szCs w:val="15"/>
                <w:color w:val="auto"/>
              </w:rPr>
            </w:pPr>
          </w:p>
        </w:tc>
        <w:tc>
          <w:tcPr>
            <w:tcW w:w="8680" w:type="dxa"/>
            <w:vAlign w:val="bottom"/>
            <w:gridSpan w:val="14"/>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by reference to Exhibit 10.3 to the Form 10-Q filed for the quarter ended November 2, 2013.</w:t>
              </w:r>
              <w:r>
                <w:rPr>
                  <w:rFonts w:ascii="Arial" w:cs="Arial" w:eastAsia="Arial" w:hAnsi="Arial"/>
                  <w:sz w:val="18"/>
                  <w:szCs w:val="18"/>
                  <w:color w:val="000000"/>
                </w:rPr>
                <w:t>*</w:t>
              </w:r>
            </w:hyperlink>
          </w:p>
        </w:tc>
        <w:tc>
          <w:tcPr>
            <w:tcW w:w="1540" w:type="dxa"/>
            <w:vAlign w:val="bottom"/>
            <w:tcBorders>
              <w:top w:val="single" w:sz="8" w:color="0000EE"/>
            </w:tcBorders>
            <w:gridSpan w:val="13"/>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10.18</w:t>
            </w:r>
          </w:p>
        </w:tc>
        <w:tc>
          <w:tcPr>
            <w:tcW w:w="10360" w:type="dxa"/>
            <w:vAlign w:val="bottom"/>
            <w:gridSpan w:val="29"/>
          </w:tcPr>
          <w:p>
            <w:pPr>
              <w:spacing w:after="0" w:line="182" w:lineRule="exact"/>
              <w:rPr>
                <w:rFonts w:ascii="Arial" w:cs="Arial" w:eastAsia="Arial" w:hAnsi="Arial"/>
                <w:sz w:val="18"/>
                <w:szCs w:val="18"/>
                <w:color w:val="auto"/>
              </w:rPr>
            </w:pPr>
            <w:hyperlink r:id="rId101">
              <w:r>
                <w:rPr>
                  <w:rFonts w:ascii="Arial" w:cs="Arial" w:eastAsia="Arial" w:hAnsi="Arial"/>
                  <w:sz w:val="18"/>
                  <w:szCs w:val="18"/>
                  <w:color w:val="auto"/>
                </w:rPr>
                <w:t xml:space="preserve">The Form of Performance-Based Deferred Stock Award granted under the Stock Incentive Plan as of April 2, 2013, </w:t>
              </w:r>
              <w:r>
                <w:rPr>
                  <w:rFonts w:ascii="Arial" w:cs="Arial" w:eastAsia="Arial" w:hAnsi="Arial"/>
                  <w:sz w:val="18"/>
                  <w:szCs w:val="18"/>
                  <w:color w:val="0000EE"/>
                </w:rPr>
                <w:t>incorporated</w:t>
              </w:r>
            </w:hyperlink>
          </w:p>
        </w:tc>
      </w:tr>
      <w:tr>
        <w:trPr>
          <w:trHeight w:val="183"/>
        </w:trPr>
        <w:tc>
          <w:tcPr>
            <w:tcW w:w="1040" w:type="dxa"/>
            <w:vAlign w:val="bottom"/>
          </w:tcPr>
          <w:p>
            <w:pPr>
              <w:spacing w:after="0"/>
              <w:rPr>
                <w:sz w:val="15"/>
                <w:szCs w:val="15"/>
                <w:color w:val="auto"/>
              </w:rPr>
            </w:pPr>
          </w:p>
        </w:tc>
        <w:tc>
          <w:tcPr>
            <w:tcW w:w="8980" w:type="dxa"/>
            <w:vAlign w:val="bottom"/>
            <w:gridSpan w:val="18"/>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herein by reference to Exhibit 10.2 to the Form 10-Q filed for the quarter ended May 4, 2013.</w:t>
              </w:r>
              <w:r>
                <w:rPr>
                  <w:rFonts w:ascii="Arial" w:cs="Arial" w:eastAsia="Arial" w:hAnsi="Arial"/>
                  <w:sz w:val="18"/>
                  <w:szCs w:val="18"/>
                  <w:color w:val="000000"/>
                </w:rPr>
                <w:t>*</w:t>
              </w:r>
            </w:hyperlink>
          </w:p>
        </w:tc>
        <w:tc>
          <w:tcPr>
            <w:tcW w:w="980" w:type="dxa"/>
            <w:vAlign w:val="bottom"/>
            <w:tcBorders>
              <w:top w:val="single" w:sz="8" w:color="0000EE"/>
            </w:tcBorders>
            <w:gridSpan w:val="5"/>
          </w:tcPr>
          <w:p>
            <w:pPr>
              <w:spacing w:after="0"/>
              <w:rPr>
                <w:sz w:val="15"/>
                <w:szCs w:val="15"/>
                <w:color w:val="auto"/>
              </w:rPr>
            </w:pPr>
          </w:p>
        </w:tc>
        <w:tc>
          <w:tcPr>
            <w:tcW w:w="400" w:type="dxa"/>
            <w:vAlign w:val="bottom"/>
            <w:gridSpan w:val="6"/>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20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10.19</w:t>
            </w:r>
          </w:p>
        </w:tc>
        <w:tc>
          <w:tcPr>
            <w:tcW w:w="10360" w:type="dxa"/>
            <w:vAlign w:val="bottom"/>
            <w:gridSpan w:val="29"/>
          </w:tcPr>
          <w:p>
            <w:pPr>
              <w:spacing w:after="0" w:line="182" w:lineRule="exact"/>
              <w:rPr>
                <w:rFonts w:ascii="Arial" w:cs="Arial" w:eastAsia="Arial" w:hAnsi="Arial"/>
                <w:sz w:val="18"/>
                <w:szCs w:val="18"/>
                <w:color w:val="auto"/>
                <w:w w:val="99"/>
              </w:rPr>
            </w:pPr>
            <w:hyperlink r:id="rId102">
              <w:r>
                <w:rPr>
                  <w:rFonts w:ascii="Arial" w:cs="Arial" w:eastAsia="Arial" w:hAnsi="Arial"/>
                  <w:sz w:val="18"/>
                  <w:szCs w:val="18"/>
                  <w:color w:val="auto"/>
                  <w:w w:val="99"/>
                </w:rPr>
                <w:t xml:space="preserve">The Form of Performance-Based Deferred Stock Award granted under the Stock Incentive Plan as of March 29, 2016, </w:t>
              </w:r>
              <w:r>
                <w:rPr>
                  <w:rFonts w:ascii="Arial" w:cs="Arial" w:eastAsia="Arial" w:hAnsi="Arial"/>
                  <w:sz w:val="18"/>
                  <w:szCs w:val="18"/>
                  <w:color w:val="0000EE"/>
                  <w:w w:val="99"/>
                </w:rPr>
                <w:t>incorporated</w:t>
              </w:r>
            </w:hyperlink>
          </w:p>
        </w:tc>
      </w:tr>
      <w:tr>
        <w:trPr>
          <w:trHeight w:val="183"/>
        </w:trPr>
        <w:tc>
          <w:tcPr>
            <w:tcW w:w="1040" w:type="dxa"/>
            <w:vAlign w:val="bottom"/>
          </w:tcPr>
          <w:p>
            <w:pPr>
              <w:spacing w:after="0"/>
              <w:rPr>
                <w:sz w:val="15"/>
                <w:szCs w:val="15"/>
                <w:color w:val="auto"/>
              </w:rPr>
            </w:pPr>
          </w:p>
        </w:tc>
        <w:tc>
          <w:tcPr>
            <w:tcW w:w="9200" w:type="dxa"/>
            <w:vAlign w:val="bottom"/>
            <w:gridSpan w:val="20"/>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herein by reference to Exhibit 10.1 to the Form 10-Q filed for the quarter ended April 30, 2016.</w:t>
              </w:r>
              <w:r>
                <w:rPr>
                  <w:rFonts w:ascii="Arial" w:cs="Arial" w:eastAsia="Arial" w:hAnsi="Arial"/>
                  <w:sz w:val="18"/>
                  <w:szCs w:val="18"/>
                  <w:color w:val="000000"/>
                </w:rPr>
                <w:t>*</w:t>
              </w:r>
            </w:hyperlink>
          </w:p>
        </w:tc>
        <w:tc>
          <w:tcPr>
            <w:tcW w:w="980" w:type="dxa"/>
            <w:vAlign w:val="bottom"/>
            <w:tcBorders>
              <w:top w:val="single" w:sz="8" w:color="0000EE"/>
            </w:tcBorders>
            <w:gridSpan w:val="6"/>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7300" w:type="dxa"/>
            <w:vAlign w:val="bottom"/>
            <w:gridSpan w:val="9"/>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10.20</w:t>
            </w:r>
          </w:p>
        </w:tc>
        <w:tc>
          <w:tcPr>
            <w:tcW w:w="10360" w:type="dxa"/>
            <w:vAlign w:val="bottom"/>
            <w:gridSpan w:val="29"/>
          </w:tcPr>
          <w:p>
            <w:pPr>
              <w:spacing w:after="0" w:line="182" w:lineRule="exact"/>
              <w:rPr>
                <w:rFonts w:ascii="Arial" w:cs="Arial" w:eastAsia="Arial" w:hAnsi="Arial"/>
                <w:sz w:val="18"/>
                <w:szCs w:val="18"/>
                <w:color w:val="auto"/>
              </w:rPr>
            </w:pPr>
            <w:hyperlink r:id="rId103">
              <w:r>
                <w:rPr>
                  <w:rFonts w:ascii="Arial" w:cs="Arial" w:eastAsia="Arial" w:hAnsi="Arial"/>
                  <w:sz w:val="18"/>
                  <w:szCs w:val="18"/>
                  <w:color w:val="auto"/>
                </w:rPr>
                <w:t xml:space="preserve">The Form of Performance-Based Deferred Stock award granted under the Stock Incentive Plan as of April 4, 2017, </w:t>
              </w:r>
              <w:r>
                <w:rPr>
                  <w:rFonts w:ascii="Arial" w:cs="Arial" w:eastAsia="Arial" w:hAnsi="Arial"/>
                  <w:sz w:val="18"/>
                  <w:szCs w:val="18"/>
                  <w:color w:val="0000EE"/>
                </w:rPr>
                <w:t>incorporated</w:t>
              </w:r>
            </w:hyperlink>
          </w:p>
        </w:tc>
      </w:tr>
      <w:tr>
        <w:trPr>
          <w:trHeight w:val="183"/>
        </w:trPr>
        <w:tc>
          <w:tcPr>
            <w:tcW w:w="1040" w:type="dxa"/>
            <w:vAlign w:val="bottom"/>
          </w:tcPr>
          <w:p>
            <w:pPr>
              <w:spacing w:after="0"/>
              <w:rPr>
                <w:sz w:val="15"/>
                <w:szCs w:val="15"/>
                <w:color w:val="auto"/>
              </w:rPr>
            </w:pPr>
          </w:p>
        </w:tc>
        <w:tc>
          <w:tcPr>
            <w:tcW w:w="8960" w:type="dxa"/>
            <w:vAlign w:val="bottom"/>
            <w:gridSpan w:val="17"/>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herein by reference to Exhibit 10.1 to the Form 10-Q filed for the quarter ended April 29, 2017.</w:t>
              </w:r>
              <w:r>
                <w:rPr>
                  <w:rFonts w:ascii="Arial" w:cs="Arial" w:eastAsia="Arial" w:hAnsi="Arial"/>
                  <w:sz w:val="18"/>
                  <w:szCs w:val="18"/>
                  <w:color w:val="000000"/>
                </w:rPr>
                <w:t>*</w:t>
              </w:r>
            </w:hyperlink>
          </w:p>
        </w:tc>
        <w:tc>
          <w:tcPr>
            <w:tcW w:w="980" w:type="dxa"/>
            <w:vAlign w:val="bottom"/>
            <w:tcBorders>
              <w:top w:val="single" w:sz="8" w:color="0000EE"/>
            </w:tcBorders>
            <w:gridSpan w:val="5"/>
          </w:tcPr>
          <w:p>
            <w:pPr>
              <w:spacing w:after="0"/>
              <w:rPr>
                <w:sz w:val="15"/>
                <w:szCs w:val="15"/>
                <w:color w:val="auto"/>
              </w:rPr>
            </w:pPr>
          </w:p>
        </w:tc>
        <w:tc>
          <w:tcPr>
            <w:tcW w:w="420" w:type="dxa"/>
            <w:vAlign w:val="bottom"/>
            <w:gridSpan w:val="7"/>
          </w:tcPr>
          <w:p>
            <w:pPr>
              <w:spacing w:after="0"/>
              <w:rPr>
                <w:sz w:val="15"/>
                <w:szCs w:val="15"/>
                <w:color w:val="auto"/>
              </w:rPr>
            </w:pPr>
          </w:p>
        </w:tc>
      </w:tr>
      <w:tr>
        <w:trPr>
          <w:trHeight w:val="370"/>
        </w:trPr>
        <w:tc>
          <w:tcPr>
            <w:tcW w:w="1040" w:type="dxa"/>
            <w:vAlign w:val="bottom"/>
          </w:tcPr>
          <w:p>
            <w:pPr>
              <w:spacing w:after="0"/>
              <w:rPr>
                <w:sz w:val="24"/>
                <w:szCs w:val="24"/>
                <w:color w:val="auto"/>
              </w:rPr>
            </w:pPr>
          </w:p>
        </w:tc>
        <w:tc>
          <w:tcPr>
            <w:tcW w:w="5820" w:type="dxa"/>
            <w:vAlign w:val="bottom"/>
            <w:tcBorders>
              <w:top w:val="single" w:sz="8" w:color="0000EE"/>
            </w:tcBorders>
            <w:gridSpan w:val="3"/>
          </w:tcPr>
          <w:p>
            <w:pPr>
              <w:ind w:left="4580"/>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00"/>
          </w:cols>
          <w:pgMar w:left="240" w:top="257"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10.21</w:t>
      </w:r>
      <w:r>
        <w:rPr>
          <w:sz w:val="20"/>
          <w:szCs w:val="20"/>
          <w:color w:val="auto"/>
        </w:rPr>
        <w:tab/>
      </w:r>
      <w:r>
        <w:rPr>
          <w:rFonts w:ascii="Arial" w:cs="Arial" w:eastAsia="Arial" w:hAnsi="Arial"/>
          <w:sz w:val="16"/>
          <w:szCs w:val="16"/>
          <w:color w:val="auto"/>
        </w:rPr>
        <w:t>The Performance-Based Restricted Stock Award granted under the Stock Incentive Plan on January 29, 2016 to Carol Meyrowitz,</w:t>
      </w:r>
    </w:p>
    <w:p>
      <w:pPr>
        <w:ind w:left="1040"/>
        <w:spacing w:after="0" w:line="234" w:lineRule="auto"/>
        <w:rPr>
          <w:rFonts w:ascii="Arial" w:cs="Arial" w:eastAsia="Arial" w:hAnsi="Arial"/>
          <w:sz w:val="18"/>
          <w:szCs w:val="18"/>
          <w:color w:val="0000EE"/>
        </w:rPr>
      </w:pPr>
      <w:hyperlink r:id="rId106">
        <w:r>
          <w:rPr>
            <w:rFonts w:ascii="Arial" w:cs="Arial" w:eastAsia="Arial" w:hAnsi="Arial"/>
            <w:sz w:val="18"/>
            <w:szCs w:val="18"/>
            <w:u w:val="single" w:color="auto"/>
            <w:color w:val="0000EE"/>
          </w:rPr>
          <w:t>incorporated herein by reference to Exhibit 10.18 to the Form 10-K filed for the fiscal year ended January 30, 2016.</w:t>
        </w:r>
      </w:hyperlink>
      <w:r>
        <w:rPr>
          <w:rFonts w:ascii="Arial" w:cs="Arial" w:eastAsia="Arial" w:hAnsi="Arial"/>
          <w:sz w:val="18"/>
          <w:szCs w:val="18"/>
          <w:color w:val="000000"/>
        </w:rPr>
        <w:t>*</w:t>
      </w:r>
    </w:p>
    <w:p>
      <w:pPr>
        <w:spacing w:after="0" w:line="1" w:lineRule="exact"/>
        <w:rPr>
          <w:sz w:val="20"/>
          <w:szCs w:val="20"/>
          <w:color w:val="auto"/>
        </w:rPr>
      </w:pPr>
    </w:p>
    <w:p>
      <w:pPr>
        <w:ind w:left="1040" w:right="120" w:hanging="1039"/>
        <w:spacing w:after="0" w:line="234" w:lineRule="auto"/>
        <w:tabs>
          <w:tab w:leader="none" w:pos="1020" w:val="left"/>
        </w:tabs>
        <w:rPr>
          <w:rFonts w:ascii="Arial" w:cs="Arial" w:eastAsia="Arial" w:hAnsi="Arial"/>
          <w:sz w:val="18"/>
          <w:szCs w:val="18"/>
          <w:color w:val="0000EE"/>
        </w:rPr>
      </w:pPr>
      <w:r>
        <w:rPr>
          <w:rFonts w:ascii="Arial" w:cs="Arial" w:eastAsia="Arial" w:hAnsi="Arial"/>
          <w:sz w:val="18"/>
          <w:szCs w:val="18"/>
          <w:color w:val="auto"/>
        </w:rPr>
        <w:t>10.22</w:t>
      </w:r>
      <w:r>
        <w:rPr>
          <w:sz w:val="20"/>
          <w:szCs w:val="20"/>
          <w:color w:val="auto"/>
        </w:rPr>
        <w:tab/>
      </w:r>
      <w:hyperlink r:id="rId107">
        <w:r>
          <w:rPr>
            <w:rFonts w:ascii="Arial" w:cs="Arial" w:eastAsia="Arial" w:hAnsi="Arial"/>
            <w:sz w:val="18"/>
            <w:szCs w:val="18"/>
            <w:color w:val="auto"/>
          </w:rPr>
          <w:t xml:space="preserve">The Restricted Stock Unit Award granted under the Stock Incentive Plan on January 29, 2016 to Ernie Herrman, </w:t>
        </w:r>
        <w:r>
          <w:rPr>
            <w:rFonts w:ascii="Arial" w:cs="Arial" w:eastAsia="Arial" w:hAnsi="Arial"/>
            <w:sz w:val="18"/>
            <w:szCs w:val="18"/>
            <w:u w:val="single" w:color="auto"/>
            <w:color w:val="0000EE"/>
          </w:rPr>
          <w:t>incorporated herein</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by reference to Exhibit 10.19 to the Form 10-K filed for the fiscal year ended January 30, 2016.</w:t>
        </w:r>
        <w:r>
          <w:rPr>
            <w:rFonts w:ascii="Arial" w:cs="Arial" w:eastAsia="Arial" w:hAnsi="Arial"/>
            <w:sz w:val="18"/>
            <w:szCs w:val="18"/>
            <w:color w:val="000000"/>
          </w:rPr>
          <w:t>*</w:t>
        </w:r>
      </w:hyperlink>
    </w:p>
    <w:p>
      <w:pPr>
        <w:spacing w:after="0" w:line="2" w:lineRule="exact"/>
        <w:rPr>
          <w:sz w:val="20"/>
          <w:szCs w:val="20"/>
          <w:color w:val="auto"/>
        </w:rPr>
      </w:pPr>
    </w:p>
    <w:p>
      <w:pPr>
        <w:ind w:left="1040" w:right="160" w:hanging="1039"/>
        <w:spacing w:after="0" w:line="234" w:lineRule="auto"/>
        <w:tabs>
          <w:tab w:leader="none" w:pos="102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108">
        <w:r>
          <w:rPr>
            <w:rFonts w:ascii="Arial" w:cs="Arial" w:eastAsia="Arial" w:hAnsi="Arial"/>
            <w:sz w:val="18"/>
            <w:szCs w:val="18"/>
            <w:color w:val="auto"/>
          </w:rPr>
          <w:t xml:space="preserve">The Form of Deferred Stock Award for Directors granted under the Stock Incentive Plan, </w:t>
        </w:r>
        <w:r>
          <w:rPr>
            <w:rFonts w:ascii="Arial" w:cs="Arial" w:eastAsia="Arial" w:hAnsi="Arial"/>
            <w:sz w:val="18"/>
            <w:szCs w:val="18"/>
            <w:u w:val="single" w:color="auto"/>
            <w:color w:val="0000EE"/>
          </w:rPr>
          <w:t>incorporated herein by reference to Exhibit</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EE"/>
          </w:rPr>
          <w:t>10.20 to the Form 10-K filed for the fiscal year ended January 31, 2015</w:t>
        </w:r>
        <w:r>
          <w:rPr>
            <w:rFonts w:ascii="Arial" w:cs="Arial" w:eastAsia="Arial" w:hAnsi="Arial"/>
            <w:sz w:val="18"/>
            <w:szCs w:val="18"/>
            <w:color w:val="0000EE"/>
          </w:rPr>
          <w:t xml:space="preserve"> </w:t>
        </w:r>
        <w:r>
          <w:rPr>
            <w:rFonts w:ascii="Arial" w:cs="Arial" w:eastAsia="Arial" w:hAnsi="Arial"/>
            <w:sz w:val="18"/>
            <w:szCs w:val="18"/>
            <w:color w:val="000000"/>
          </w:rPr>
          <w:t>. The Form of Deferred Stock Award for Directors granted</w:t>
        </w:r>
      </w:hyperlink>
      <w:r>
        <w:rPr>
          <w:rFonts w:ascii="Arial" w:cs="Arial" w:eastAsia="Arial" w:hAnsi="Arial"/>
          <w:sz w:val="18"/>
          <w:szCs w:val="18"/>
          <w:color w:val="0000EE"/>
        </w:rPr>
        <w:t xml:space="preserve"> </w:t>
      </w:r>
      <w:hyperlink r:id="rId109">
        <w:r>
          <w:rPr>
            <w:rFonts w:ascii="Arial" w:cs="Arial" w:eastAsia="Arial" w:hAnsi="Arial"/>
            <w:sz w:val="18"/>
            <w:szCs w:val="18"/>
            <w:color w:val="000000"/>
          </w:rPr>
          <w:t xml:space="preserve">under the Stock Incentive Plan as of June 7, 2016, </w:t>
        </w:r>
        <w:r>
          <w:rPr>
            <w:rFonts w:ascii="Arial" w:cs="Arial" w:eastAsia="Arial" w:hAnsi="Arial"/>
            <w:sz w:val="18"/>
            <w:szCs w:val="18"/>
            <w:u w:val="single" w:color="auto"/>
            <w:color w:val="0000EE"/>
          </w:rPr>
          <w:t>incorporated herein by reference to Exhibit 10.2 to the Form 10-Q filed for the</w:t>
        </w:r>
      </w:hyperlink>
      <w:r>
        <w:rPr>
          <w:rFonts w:ascii="Arial" w:cs="Arial" w:eastAsia="Arial" w:hAnsi="Arial"/>
          <w:sz w:val="18"/>
          <w:szCs w:val="18"/>
          <w:color w:val="000000"/>
        </w:rPr>
        <w:t xml:space="preserve"> </w:t>
      </w:r>
      <w:hyperlink r:id="rId109">
        <w:r>
          <w:rPr>
            <w:rFonts w:ascii="Arial" w:cs="Arial" w:eastAsia="Arial" w:hAnsi="Arial"/>
            <w:sz w:val="18"/>
            <w:szCs w:val="18"/>
            <w:u w:val="single" w:color="auto"/>
            <w:color w:val="0000EE"/>
          </w:rPr>
          <w:t>quarter ended July 30, 2016.</w:t>
        </w:r>
        <w:r>
          <w:rPr>
            <w:rFonts w:ascii="Arial" w:cs="Arial" w:eastAsia="Arial" w:hAnsi="Arial"/>
            <w:sz w:val="18"/>
            <w:szCs w:val="18"/>
            <w:color w:val="000000"/>
          </w:rPr>
          <w:t>*</w:t>
        </w:r>
      </w:hyperlink>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w:anchor="page192">
        <w:r>
          <w:rPr>
            <w:rFonts w:ascii="Arial" w:cs="Arial" w:eastAsia="Arial" w:hAnsi="Arial"/>
            <w:sz w:val="16"/>
            <w:szCs w:val="16"/>
            <w:u w:val="single" w:color="auto"/>
            <w:color w:val="0000EE"/>
          </w:rPr>
          <w:t>Description of Director Compensation Arrangements, filed herewith.</w:t>
        </w:r>
      </w:hyperlink>
      <w:r>
        <w:rPr>
          <w:rFonts w:ascii="Arial" w:cs="Arial" w:eastAsia="Arial" w:hAnsi="Arial"/>
          <w:sz w:val="16"/>
          <w:szCs w:val="16"/>
          <w:color w:val="000000"/>
        </w:rPr>
        <w:t>*</w:t>
      </w:r>
    </w:p>
    <w:p>
      <w:pPr>
        <w:ind w:left="1040" w:right="60" w:hanging="1039"/>
        <w:spacing w:after="0" w:line="234" w:lineRule="auto"/>
        <w:tabs>
          <w:tab w:leader="none" w:pos="1020" w:val="left"/>
        </w:tabs>
        <w:rPr>
          <w:rFonts w:ascii="Arial" w:cs="Arial" w:eastAsia="Arial" w:hAnsi="Arial"/>
          <w:sz w:val="18"/>
          <w:szCs w:val="18"/>
          <w:color w:val="0000EE"/>
        </w:rPr>
      </w:pPr>
      <w:r>
        <w:rPr>
          <w:rFonts w:ascii="Arial" w:cs="Arial" w:eastAsia="Arial" w:hAnsi="Arial"/>
          <w:sz w:val="18"/>
          <w:szCs w:val="18"/>
          <w:color w:val="auto"/>
        </w:rPr>
        <w:t>10.25</w:t>
      </w:r>
      <w:r>
        <w:rPr>
          <w:sz w:val="20"/>
          <w:szCs w:val="20"/>
          <w:color w:val="auto"/>
        </w:rPr>
        <w:tab/>
      </w:r>
      <w:hyperlink r:id="rId110">
        <w:r>
          <w:rPr>
            <w:rFonts w:ascii="Arial" w:cs="Arial" w:eastAsia="Arial" w:hAnsi="Arial"/>
            <w:sz w:val="18"/>
            <w:szCs w:val="18"/>
            <w:color w:val="auto"/>
          </w:rPr>
          <w:t xml:space="preserve">The Management Incentive Plan and Long Range Performance Incentive Plan (2013 Restatement), </w:t>
        </w:r>
        <w:r>
          <w:rPr>
            <w:rFonts w:ascii="Arial" w:cs="Arial" w:eastAsia="Arial" w:hAnsi="Arial"/>
            <w:sz w:val="18"/>
            <w:szCs w:val="18"/>
            <w:u w:val="single" w:color="auto"/>
            <w:color w:val="0000EE"/>
          </w:rPr>
          <w:t>incorporated herein by reference</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EE"/>
          </w:rPr>
          <w:t>to Exhibit 10.22 to the Form 10-K filed for the fiscal year ended February 2, 2013.</w:t>
        </w:r>
        <w:r>
          <w:rPr>
            <w:rFonts w:ascii="Arial" w:cs="Arial" w:eastAsia="Arial" w:hAnsi="Arial"/>
            <w:sz w:val="18"/>
            <w:szCs w:val="18"/>
            <w:color w:val="000000"/>
          </w:rPr>
          <w:t>*</w:t>
        </w:r>
      </w:hyperlink>
    </w:p>
    <w:p>
      <w:pPr>
        <w:spacing w:after="0" w:line="2" w:lineRule="exact"/>
        <w:rPr>
          <w:sz w:val="20"/>
          <w:szCs w:val="20"/>
          <w:color w:val="auto"/>
        </w:rPr>
      </w:pPr>
    </w:p>
    <w:p>
      <w:pPr>
        <w:ind w:left="1040" w:right="160" w:hanging="1039"/>
        <w:spacing w:after="0" w:line="264" w:lineRule="auto"/>
        <w:tabs>
          <w:tab w:leader="none" w:pos="1020" w:val="left"/>
        </w:tabs>
        <w:rPr>
          <w:rFonts w:ascii="Arial" w:cs="Arial" w:eastAsia="Arial" w:hAnsi="Arial"/>
          <w:sz w:val="16"/>
          <w:szCs w:val="16"/>
          <w:color w:val="0000EE"/>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 xml:space="preserve">The General Deferred Compensation Plan (1998 Restatement) (the GDCP) and First Amendment to the GDCP, effective January 1, 1999, </w:t>
      </w:r>
      <w:hyperlink r:id="rId111">
        <w:r>
          <w:rPr>
            <w:rFonts w:ascii="Arial" w:cs="Arial" w:eastAsia="Arial" w:hAnsi="Arial"/>
            <w:sz w:val="16"/>
            <w:szCs w:val="16"/>
            <w:u w:val="single" w:color="auto"/>
            <w:color w:val="0000EE"/>
          </w:rPr>
          <w:t>incorporated herein by reference to Exhibit 10.9 to the Form 10-K for the fiscal year ended January 30, 1999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 The Second </w:t>
      </w:r>
      <w:hyperlink r:id="rId112">
        <w:r>
          <w:rPr>
            <w:rFonts w:ascii="Arial" w:cs="Arial" w:eastAsia="Arial" w:hAnsi="Arial"/>
            <w:sz w:val="16"/>
            <w:szCs w:val="16"/>
            <w:color w:val="auto"/>
          </w:rPr>
          <w:t xml:space="preserve">Amendment to the GDCP, effective January 1, 2000, </w:t>
        </w:r>
        <w:r>
          <w:rPr>
            <w:rFonts w:ascii="Arial" w:cs="Arial" w:eastAsia="Arial" w:hAnsi="Arial"/>
            <w:sz w:val="16"/>
            <w:szCs w:val="16"/>
            <w:u w:val="single" w:color="auto"/>
            <w:color w:val="0000EE"/>
          </w:rPr>
          <w:t>incorporated herein by reference to Exhibit 10.10 to the Form 10-K filed for the</w:t>
        </w:r>
      </w:hyperlink>
      <w:r>
        <w:rPr>
          <w:rFonts w:ascii="Arial" w:cs="Arial" w:eastAsia="Arial" w:hAnsi="Arial"/>
          <w:sz w:val="16"/>
          <w:szCs w:val="16"/>
          <w:color w:val="auto"/>
        </w:rPr>
        <w:t xml:space="preserve"> </w:t>
      </w:r>
      <w:hyperlink r:id="rId113">
        <w:r>
          <w:rPr>
            <w:rFonts w:ascii="Arial" w:cs="Arial" w:eastAsia="Arial" w:hAnsi="Arial"/>
            <w:sz w:val="16"/>
            <w:szCs w:val="16"/>
            <w:u w:val="single" w:color="auto"/>
            <w:color w:val="0000EE"/>
          </w:rPr>
          <w:t>fiscal year ended January 29, 2000</w:t>
        </w:r>
        <w:r>
          <w:rPr>
            <w:rFonts w:ascii="Arial" w:cs="Arial" w:eastAsia="Arial" w:hAnsi="Arial"/>
            <w:sz w:val="16"/>
            <w:szCs w:val="16"/>
            <w:color w:val="000000"/>
          </w:rPr>
          <w:t>. The Third and Fourth Amendments to the GDCP,</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incorporated herein by reference to Exhibit</w:t>
        </w:r>
      </w:hyperlink>
    </w:p>
    <w:p>
      <w:pPr>
        <w:spacing w:after="0" w:line="1" w:lineRule="exact"/>
        <w:rPr>
          <w:rFonts w:ascii="Arial" w:cs="Arial" w:eastAsia="Arial" w:hAnsi="Arial"/>
          <w:sz w:val="16"/>
          <w:szCs w:val="16"/>
          <w:color w:val="auto"/>
        </w:rPr>
      </w:pPr>
    </w:p>
    <w:p>
      <w:pPr>
        <w:ind w:left="1040" w:right="320"/>
        <w:spacing w:after="0" w:line="234" w:lineRule="auto"/>
        <w:rPr>
          <w:rFonts w:ascii="Arial" w:cs="Arial" w:eastAsia="Arial" w:hAnsi="Arial"/>
          <w:sz w:val="18"/>
          <w:szCs w:val="18"/>
          <w:color w:val="0000EE"/>
        </w:rPr>
      </w:pPr>
      <w:hyperlink r:id="rId113">
        <w:r>
          <w:rPr>
            <w:rFonts w:ascii="Arial" w:cs="Arial" w:eastAsia="Arial" w:hAnsi="Arial"/>
            <w:sz w:val="18"/>
            <w:szCs w:val="18"/>
            <w:u w:val="single" w:color="auto"/>
            <w:color w:val="0000EE"/>
          </w:rPr>
          <w:t>10.17 to the Form 10-K for the fiscal year ended January 28, 2006</w:t>
        </w:r>
        <w:r>
          <w:rPr>
            <w:rFonts w:ascii="Arial" w:cs="Arial" w:eastAsia="Arial" w:hAnsi="Arial"/>
            <w:sz w:val="18"/>
            <w:szCs w:val="18"/>
            <w:color w:val="000000"/>
          </w:rPr>
          <w:t>. The Fifth Amendment to the GDCP, effective January 1, 2008,</w:t>
        </w:r>
      </w:hyperlink>
      <w:r>
        <w:rPr>
          <w:rFonts w:ascii="Arial" w:cs="Arial" w:eastAsia="Arial" w:hAnsi="Arial"/>
          <w:sz w:val="18"/>
          <w:szCs w:val="18"/>
          <w:color w:val="0000EE"/>
        </w:rPr>
        <w:t xml:space="preserve"> </w:t>
      </w:r>
      <w:hyperlink r:id="rId114">
        <w:r>
          <w:rPr>
            <w:rFonts w:ascii="Arial" w:cs="Arial" w:eastAsia="Arial" w:hAnsi="Arial"/>
            <w:sz w:val="18"/>
            <w:szCs w:val="18"/>
            <w:u w:val="single" w:color="auto"/>
            <w:color w:val="0000EE"/>
          </w:rPr>
          <w:t>incorporated herein by reference to Exhibit 10.17 to the Form 10-K filed for the fiscal year ended January 31, 2009</w:t>
        </w:r>
      </w:hyperlink>
      <w:r>
        <w:rPr>
          <w:rFonts w:ascii="Arial" w:cs="Arial" w:eastAsia="Arial" w:hAnsi="Arial"/>
          <w:sz w:val="18"/>
          <w:szCs w:val="18"/>
          <w:color w:val="000000"/>
        </w:rPr>
        <w:t>.*</w:t>
      </w:r>
    </w:p>
    <w:p>
      <w:pPr>
        <w:spacing w:after="0" w:line="2" w:lineRule="exact"/>
        <w:rPr>
          <w:sz w:val="20"/>
          <w:szCs w:val="20"/>
          <w:color w:val="auto"/>
        </w:rPr>
      </w:pPr>
    </w:p>
    <w:p>
      <w:pPr>
        <w:ind w:left="1040" w:right="40" w:hanging="1039"/>
        <w:spacing w:after="0" w:line="234" w:lineRule="auto"/>
        <w:tabs>
          <w:tab w:leader="none" w:pos="102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115">
        <w:r>
          <w:rPr>
            <w:rFonts w:ascii="Arial" w:cs="Arial" w:eastAsia="Arial" w:hAnsi="Arial"/>
            <w:sz w:val="18"/>
            <w:szCs w:val="18"/>
            <w:color w:val="auto"/>
          </w:rPr>
          <w:t xml:space="preserve">The Supplemental Executive Retirement Plan (2015 Restatement), </w:t>
        </w:r>
        <w:r>
          <w:rPr>
            <w:rFonts w:ascii="Arial" w:cs="Arial" w:eastAsia="Arial" w:hAnsi="Arial"/>
            <w:sz w:val="18"/>
            <w:szCs w:val="18"/>
            <w:u w:val="single" w:color="auto"/>
            <w:color w:val="0000EE"/>
          </w:rPr>
          <w:t>incorporated herein by reference to Exhibit 10.3 to the Form 10-Q</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filed for the quarter ended May 2, 2015.</w:t>
        </w:r>
        <w:r>
          <w:rPr>
            <w:rFonts w:ascii="Arial" w:cs="Arial" w:eastAsia="Arial" w:hAnsi="Arial"/>
            <w:sz w:val="18"/>
            <w:szCs w:val="18"/>
            <w:color w:val="000000"/>
          </w:rPr>
          <w:t>*</w:t>
        </w:r>
      </w:hyperlink>
    </w:p>
    <w:p>
      <w:pPr>
        <w:spacing w:after="0" w:line="2" w:lineRule="exact"/>
        <w:rPr>
          <w:sz w:val="20"/>
          <w:szCs w:val="20"/>
          <w:color w:val="auto"/>
        </w:rPr>
      </w:pPr>
    </w:p>
    <w:p>
      <w:pPr>
        <w:ind w:left="1040" w:right="160" w:hanging="1039"/>
        <w:spacing w:after="0" w:line="264" w:lineRule="auto"/>
        <w:tabs>
          <w:tab w:leader="none" w:pos="1020" w:val="left"/>
        </w:tabs>
        <w:rPr>
          <w:rFonts w:ascii="Arial" w:cs="Arial" w:eastAsia="Arial" w:hAnsi="Arial"/>
          <w:sz w:val="16"/>
          <w:szCs w:val="16"/>
          <w:color w:val="000000"/>
        </w:rPr>
      </w:pPr>
      <w:r>
        <w:rPr>
          <w:rFonts w:ascii="Arial" w:cs="Arial" w:eastAsia="Arial" w:hAnsi="Arial"/>
          <w:sz w:val="18"/>
          <w:szCs w:val="18"/>
          <w:color w:val="auto"/>
        </w:rPr>
        <w:t>10.28</w:t>
      </w:r>
      <w:r>
        <w:rPr>
          <w:sz w:val="20"/>
          <w:szCs w:val="20"/>
          <w:color w:val="auto"/>
        </w:rPr>
        <w:tab/>
      </w:r>
      <w:hyperlink r:id="rId116">
        <w:r>
          <w:rPr>
            <w:rFonts w:ascii="Arial" w:cs="Arial" w:eastAsia="Arial" w:hAnsi="Arial"/>
            <w:sz w:val="16"/>
            <w:szCs w:val="16"/>
            <w:color w:val="auto"/>
          </w:rPr>
          <w:t xml:space="preserve">The Executive Savings Plan (As Amended and Restated, Effective January 1, 2015) (the ESP), </w:t>
        </w:r>
        <w:r>
          <w:rPr>
            <w:rFonts w:ascii="Arial" w:cs="Arial" w:eastAsia="Arial" w:hAnsi="Arial"/>
            <w:sz w:val="16"/>
            <w:szCs w:val="16"/>
            <w:u w:val="single" w:color="auto"/>
            <w:color w:val="0000EE"/>
          </w:rPr>
          <w:t>incorporated herein by reference to</w:t>
        </w:r>
      </w:hyperlink>
      <w:r>
        <w:rPr>
          <w:rFonts w:ascii="Arial" w:cs="Arial" w:eastAsia="Arial" w:hAnsi="Arial"/>
          <w:sz w:val="16"/>
          <w:szCs w:val="16"/>
          <w:color w:val="auto"/>
        </w:rPr>
        <w:t xml:space="preserve"> </w:t>
      </w:r>
      <w:hyperlink r:id="rId116">
        <w:r>
          <w:rPr>
            <w:rFonts w:ascii="Arial" w:cs="Arial" w:eastAsia="Arial" w:hAnsi="Arial"/>
            <w:sz w:val="16"/>
            <w:szCs w:val="16"/>
            <w:u w:val="single" w:color="auto"/>
            <w:color w:val="0000EE"/>
          </w:rPr>
          <w:t>Exhibit 10.25 to the Form 10-K filed for the fiscal year ended January 31, 2015</w:t>
        </w:r>
        <w:r>
          <w:rPr>
            <w:rFonts w:ascii="Arial" w:cs="Arial" w:eastAsia="Arial" w:hAnsi="Arial"/>
            <w:sz w:val="16"/>
            <w:szCs w:val="16"/>
            <w:color w:val="000000"/>
          </w:rPr>
          <w:t>. The First Amendment to the ESP, dated December</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30, 2015, </w:t>
      </w:r>
      <w:hyperlink r:id="rId117">
        <w:r>
          <w:rPr>
            <w:rFonts w:ascii="Arial" w:cs="Arial" w:eastAsia="Arial" w:hAnsi="Arial"/>
            <w:sz w:val="16"/>
            <w:szCs w:val="16"/>
            <w:u w:val="single" w:color="auto"/>
            <w:color w:val="0000EE"/>
          </w:rPr>
          <w:t>incorporated herein by reference to Exhibit 10.25 to the Form 10-K filed for the fiscal year ended January 30, 2016.</w:t>
        </w:r>
      </w:hyperlink>
      <w:r>
        <w:rPr>
          <w:rFonts w:ascii="Arial" w:cs="Arial" w:eastAsia="Arial" w:hAnsi="Arial"/>
          <w:sz w:val="16"/>
          <w:szCs w:val="16"/>
          <w:color w:val="000000"/>
        </w:rPr>
        <w:t>*</w:t>
      </w:r>
    </w:p>
    <w:p>
      <w:pPr>
        <w:spacing w:after="0" w:line="1" w:lineRule="exact"/>
        <w:rPr>
          <w:rFonts w:ascii="Arial" w:cs="Arial" w:eastAsia="Arial" w:hAnsi="Arial"/>
          <w:sz w:val="16"/>
          <w:szCs w:val="16"/>
          <w:color w:val="auto"/>
        </w:rPr>
      </w:pPr>
    </w:p>
    <w:p>
      <w:pPr>
        <w:ind w:left="1040" w:right="200" w:hanging="1039"/>
        <w:spacing w:after="0" w:line="234" w:lineRule="auto"/>
        <w:tabs>
          <w:tab w:leader="none" w:pos="1020" w:val="left"/>
        </w:tabs>
        <w:rPr>
          <w:rFonts w:ascii="Arial" w:cs="Arial" w:eastAsia="Arial" w:hAnsi="Arial"/>
          <w:sz w:val="18"/>
          <w:szCs w:val="18"/>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 xml:space="preserve">The Canadian Executive Savings Plan (effective November 1, 1999) of Winners Merchants International, LP (successor to Winners Apparel Ltd.), </w:t>
      </w:r>
      <w:hyperlink r:id="rId118">
        <w:r>
          <w:rPr>
            <w:rFonts w:ascii="Arial" w:cs="Arial" w:eastAsia="Arial" w:hAnsi="Arial"/>
            <w:sz w:val="18"/>
            <w:szCs w:val="18"/>
            <w:u w:val="single" w:color="auto"/>
            <w:color w:val="0000EE"/>
          </w:rPr>
          <w:t>incorporated herein by reference to Exhibit 10.26 to the Form 10-K filed for the fiscal year ended February 2, 2013</w:t>
        </w:r>
      </w:hyperlink>
      <w:r>
        <w:rPr>
          <w:rFonts w:ascii="Arial" w:cs="Arial" w:eastAsia="Arial" w:hAnsi="Arial"/>
          <w:sz w:val="18"/>
          <w:szCs w:val="18"/>
          <w:color w:val="auto"/>
        </w:rPr>
        <w:t xml:space="preserve">. Amendment to The Canadian Executive Savings Plan effective January 1, 2018, </w:t>
      </w:r>
      <w:hyperlink w:anchor="page193">
        <w:r>
          <w:rPr>
            <w:rFonts w:ascii="Arial" w:cs="Arial" w:eastAsia="Arial" w:hAnsi="Arial"/>
            <w:sz w:val="18"/>
            <w:szCs w:val="18"/>
            <w:u w:val="single" w:color="auto"/>
            <w:color w:val="0000EE"/>
          </w:rPr>
          <w:t>filed herewith.</w:t>
        </w:r>
      </w:hyperlink>
      <w:r>
        <w:rPr>
          <w:rFonts w:ascii="Arial" w:cs="Arial" w:eastAsia="Arial" w:hAnsi="Arial"/>
          <w:sz w:val="18"/>
          <w:szCs w:val="18"/>
          <w:color w:val="auto"/>
        </w:rPr>
        <w:t>*</w:t>
      </w:r>
    </w:p>
    <w:p>
      <w:pPr>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The Form of TJX Indemnification Agreement for its executive officers and directors, incorporated herein by reference to Exhibit 10(r)</w:t>
      </w:r>
    </w:p>
    <w:p>
      <w:pPr>
        <w:ind w:left="1040"/>
        <w:spacing w:after="0" w:line="235" w:lineRule="auto"/>
        <w:rPr>
          <w:sz w:val="20"/>
          <w:szCs w:val="20"/>
          <w:color w:val="auto"/>
        </w:rPr>
      </w:pPr>
      <w:r>
        <w:rPr>
          <w:rFonts w:ascii="Arial" w:cs="Arial" w:eastAsia="Arial" w:hAnsi="Arial"/>
          <w:sz w:val="18"/>
          <w:szCs w:val="18"/>
          <w:color w:val="auto"/>
        </w:rPr>
        <w:t>to the Form 10-K filed for the fiscal year ended January 27, 1990.*(p)</w:t>
      </w:r>
    </w:p>
    <w:p>
      <w:pPr>
        <w:ind w:left="1040" w:right="520" w:hanging="1039"/>
        <w:spacing w:after="0" w:line="234"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The Trust Agreement dated as of April 8, 1988 between TJX and State Street Bank and Trust Company, incorporated herein by reference to Exhibit 10(y) to the Form 10-K filed for the fiscal year ended January 30, 1988.*(p)</w:t>
      </w:r>
    </w:p>
    <w:p>
      <w:pPr>
        <w:spacing w:after="0" w:line="2" w:lineRule="exact"/>
        <w:rPr>
          <w:sz w:val="20"/>
          <w:szCs w:val="20"/>
          <w:color w:val="auto"/>
        </w:rPr>
      </w:pPr>
    </w:p>
    <w:p>
      <w:pPr>
        <w:ind w:left="1040" w:right="140" w:hanging="1039"/>
        <w:spacing w:after="0" w:line="234"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The Trust Agreement dated as of April 8, 1988 between TJX and Fleet Bank (formerly Shawmut Bank of Boston, N.A.), incorporated herein by reference to Exhibit 10(z) to the Form 10-K filed for the fiscal year ended January 30, 1988.*(p)</w:t>
      </w:r>
    </w:p>
    <w:p>
      <w:pPr>
        <w:spacing w:after="0" w:line="2" w:lineRule="exact"/>
        <w:rPr>
          <w:sz w:val="20"/>
          <w:szCs w:val="20"/>
          <w:color w:val="auto"/>
        </w:rPr>
      </w:pPr>
    </w:p>
    <w:p>
      <w:pPr>
        <w:ind w:left="1040" w:hanging="1039"/>
        <w:spacing w:after="0" w:line="234" w:lineRule="auto"/>
        <w:tabs>
          <w:tab w:leader="none" w:pos="1020" w:val="left"/>
        </w:tabs>
        <w:rPr>
          <w:rFonts w:ascii="Arial" w:cs="Arial" w:eastAsia="Arial" w:hAnsi="Arial"/>
          <w:sz w:val="18"/>
          <w:szCs w:val="18"/>
          <w:color w:val="0000EE"/>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 xml:space="preserve">The Trust Agreement for Executive Savings Plan dated as of October 23, 2015 between TJX and Vanguard Fiduciary Trust Company, </w:t>
      </w:r>
      <w:hyperlink r:id="rId119">
        <w:r>
          <w:rPr>
            <w:rFonts w:ascii="Arial" w:cs="Arial" w:eastAsia="Arial" w:hAnsi="Arial"/>
            <w:sz w:val="18"/>
            <w:szCs w:val="18"/>
            <w:u w:val="single" w:color="auto"/>
            <w:color w:val="0000EE"/>
          </w:rPr>
          <w:t>incorporated herein by reference to Exhibit 10.5 to the Form 10-Q filed for the quarter ended October 31, 2015.</w:t>
        </w:r>
      </w:hyperlink>
      <w:r>
        <w:rPr>
          <w:rFonts w:ascii="Arial" w:cs="Arial" w:eastAsia="Arial" w:hAnsi="Arial"/>
          <w:sz w:val="18"/>
          <w:szCs w:val="18"/>
          <w:color w:val="000000"/>
        </w:rPr>
        <w:t>*</w:t>
      </w:r>
    </w:p>
    <w:p>
      <w:pPr>
        <w:ind w:left="1040" w:hanging="1032"/>
        <w:spacing w:after="0" w:line="236" w:lineRule="auto"/>
        <w:tabs>
          <w:tab w:leader="none" w:pos="1040" w:val="left"/>
        </w:tabs>
        <w:numPr>
          <w:ilvl w:val="0"/>
          <w:numId w:val="15"/>
        </w:numPr>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Subsidiaries of TJX, filed herewith.</w:t>
        </w:r>
      </w:hyperlink>
    </w:p>
    <w:p>
      <w:pPr>
        <w:ind w:left="1040" w:hanging="1032"/>
        <w:spacing w:after="0" w:line="235" w:lineRule="auto"/>
        <w:tabs>
          <w:tab w:leader="none" w:pos="1040" w:val="left"/>
        </w:tabs>
        <w:numPr>
          <w:ilvl w:val="0"/>
          <w:numId w:val="16"/>
        </w:numPr>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Consent of Independent Registered Public Accounting Firm, filed herewith.</w:t>
        </w:r>
      </w:hyperlink>
    </w:p>
    <w:p>
      <w:pPr>
        <w:ind w:left="1040" w:hanging="1032"/>
        <w:spacing w:after="0" w:line="234" w:lineRule="auto"/>
        <w:tabs>
          <w:tab w:leader="none" w:pos="1040" w:val="left"/>
        </w:tabs>
        <w:numPr>
          <w:ilvl w:val="0"/>
          <w:numId w:val="16"/>
        </w:numPr>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Power of Attorney given by the Directors and certain Executive Officers of TJX, filed herewith.</w:t>
        </w:r>
      </w:hyperlink>
    </w:p>
    <w:p>
      <w:pPr>
        <w:spacing w:after="0" w:line="1" w:lineRule="exact"/>
        <w:rPr>
          <w:rFonts w:ascii="Arial" w:cs="Arial" w:eastAsia="Arial" w:hAnsi="Arial"/>
          <w:sz w:val="18"/>
          <w:szCs w:val="18"/>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99">
        <w:r>
          <w:rPr>
            <w:rFonts w:ascii="Arial" w:cs="Arial" w:eastAsia="Arial" w:hAnsi="Arial"/>
            <w:sz w:val="16"/>
            <w:szCs w:val="16"/>
            <w:u w:val="single" w:color="auto"/>
            <w:color w:val="0000EE"/>
          </w:rPr>
          <w:t>Certification Statement of Chief Executive Officer pursuant to Section 302 of the Sarbanes-Oxley Act of 2002, filed herewith.</w:t>
        </w:r>
      </w:hyperlink>
    </w:p>
    <w:p>
      <w:pPr>
        <w:spacing w:after="0" w:line="14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31.2</w:t>
            </w:r>
          </w:p>
        </w:tc>
        <w:tc>
          <w:tcPr>
            <w:tcW w:w="9620" w:type="dxa"/>
            <w:vAlign w:val="bottom"/>
            <w:gridSpan w:val="2"/>
          </w:tcPr>
          <w:p>
            <w:pPr>
              <w:spacing w:after="0"/>
              <w:rPr>
                <w:rFonts w:ascii="Arial" w:cs="Arial" w:eastAsia="Arial" w:hAnsi="Arial"/>
                <w:sz w:val="18"/>
                <w:szCs w:val="18"/>
                <w:color w:val="0000EE"/>
                <w:w w:val="97"/>
              </w:rPr>
            </w:pPr>
            <w:hyperlink w:anchor="page200">
              <w:r>
                <w:rPr>
                  <w:rFonts w:ascii="Arial" w:cs="Arial" w:eastAsia="Arial" w:hAnsi="Arial"/>
                  <w:sz w:val="18"/>
                  <w:szCs w:val="18"/>
                  <w:color w:val="0000EE"/>
                  <w:w w:val="97"/>
                </w:rPr>
                <w:t>Certification Statement of Chief Financial Officer pursuant to Section 302 of the Sarbanes-Oxley Act of 2002, filed herewith.</w:t>
              </w:r>
            </w:hyperlink>
          </w:p>
        </w:tc>
      </w:tr>
      <w:tr>
        <w:trPr>
          <w:trHeight w:val="20"/>
        </w:trPr>
        <w:tc>
          <w:tcPr>
            <w:tcW w:w="1040" w:type="dxa"/>
            <w:vAlign w:val="bottom"/>
          </w:tcPr>
          <w:p>
            <w:pPr>
              <w:spacing w:after="0" w:line="20" w:lineRule="exact"/>
              <w:rPr>
                <w:sz w:val="1"/>
                <w:szCs w:val="1"/>
                <w:color w:val="auto"/>
              </w:rPr>
            </w:pPr>
          </w:p>
        </w:tc>
        <w:tc>
          <w:tcPr>
            <w:tcW w:w="9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jc w:val="right"/>
              <w:ind w:right="612"/>
              <w:spacing w:after="0" w:line="182" w:lineRule="exact"/>
              <w:rPr>
                <w:sz w:val="20"/>
                <w:szCs w:val="20"/>
                <w:color w:val="auto"/>
              </w:rPr>
            </w:pPr>
            <w:r>
              <w:rPr>
                <w:rFonts w:ascii="Arial" w:cs="Arial" w:eastAsia="Arial" w:hAnsi="Arial"/>
                <w:sz w:val="18"/>
                <w:szCs w:val="18"/>
                <w:color w:val="auto"/>
                <w:w w:val="91"/>
              </w:rPr>
              <w:t>32.1</w:t>
            </w:r>
          </w:p>
        </w:tc>
        <w:tc>
          <w:tcPr>
            <w:tcW w:w="962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201">
              <w:r>
                <w:rPr>
                  <w:rFonts w:ascii="Arial" w:cs="Arial" w:eastAsia="Arial" w:hAnsi="Arial"/>
                  <w:sz w:val="18"/>
                  <w:szCs w:val="18"/>
                  <w:color w:val="0000EE"/>
                  <w:w w:val="97"/>
                </w:rPr>
                <w:t>Certification Statement of Chief Executive Officer pursuant to Section 906 of the Sarbanes-Oxley Act of 2002, filed herewith.</w:t>
              </w:r>
            </w:hyperlink>
          </w:p>
        </w:tc>
      </w:tr>
      <w:tr>
        <w:trPr>
          <w:trHeight w:val="183"/>
        </w:trPr>
        <w:tc>
          <w:tcPr>
            <w:tcW w:w="1040" w:type="dxa"/>
            <w:vAlign w:val="bottom"/>
          </w:tcPr>
          <w:p>
            <w:pPr>
              <w:jc w:val="right"/>
              <w:ind w:right="612"/>
              <w:spacing w:after="0" w:line="182" w:lineRule="exact"/>
              <w:rPr>
                <w:sz w:val="20"/>
                <w:szCs w:val="20"/>
                <w:color w:val="auto"/>
              </w:rPr>
            </w:pPr>
            <w:r>
              <w:rPr>
                <w:rFonts w:ascii="Arial" w:cs="Arial" w:eastAsia="Arial" w:hAnsi="Arial"/>
                <w:sz w:val="18"/>
                <w:szCs w:val="18"/>
                <w:color w:val="auto"/>
                <w:w w:val="91"/>
              </w:rPr>
              <w:t>32.2</w:t>
            </w:r>
          </w:p>
        </w:tc>
        <w:tc>
          <w:tcPr>
            <w:tcW w:w="9620" w:type="dxa"/>
            <w:vAlign w:val="bottom"/>
            <w:gridSpan w:val="2"/>
          </w:tcPr>
          <w:p>
            <w:pPr>
              <w:spacing w:after="0" w:line="182" w:lineRule="exact"/>
              <w:rPr>
                <w:rFonts w:ascii="Arial" w:cs="Arial" w:eastAsia="Arial" w:hAnsi="Arial"/>
                <w:sz w:val="18"/>
                <w:szCs w:val="18"/>
                <w:color w:val="0000EE"/>
                <w:w w:val="97"/>
              </w:rPr>
            </w:pPr>
            <w:hyperlink w:anchor="page202">
              <w:r>
                <w:rPr>
                  <w:rFonts w:ascii="Arial" w:cs="Arial" w:eastAsia="Arial" w:hAnsi="Arial"/>
                  <w:sz w:val="18"/>
                  <w:szCs w:val="18"/>
                  <w:color w:val="0000EE"/>
                  <w:w w:val="97"/>
                </w:rPr>
                <w:t>Certification Statement of Chief Financial Officer pursuant to Section 906 of the Sarbanes-Oxley Act of 2002, filed herewith.</w:t>
              </w:r>
            </w:hyperlink>
          </w:p>
        </w:tc>
      </w:tr>
      <w:tr>
        <w:trPr>
          <w:trHeight w:val="20"/>
        </w:trPr>
        <w:tc>
          <w:tcPr>
            <w:tcW w:w="1040" w:type="dxa"/>
            <w:vAlign w:val="bottom"/>
          </w:tcPr>
          <w:p>
            <w:pPr>
              <w:spacing w:after="0" w:line="20" w:lineRule="exact"/>
              <w:rPr>
                <w:sz w:val="1"/>
                <w:szCs w:val="1"/>
                <w:color w:val="auto"/>
              </w:rPr>
            </w:pPr>
          </w:p>
        </w:tc>
        <w:tc>
          <w:tcPr>
            <w:tcW w:w="9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40" w:hanging="1032"/>
        <w:spacing w:after="0" w:line="23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materials from The TJX Companies, Inc.’s Annual Report on Form 10-K for the fiscal year ended February 3, 2018, formatted in XBRL (Extensible Business Reporting Language):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Paper filing.</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exhibits incorporated by reference were filed under Commission File Number 001-04908.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5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99"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THE TJX COMPANIES, INC.</w:t>
      </w:r>
    </w:p>
    <w:p>
      <w:pPr>
        <w:spacing w:after="0" w:line="200" w:lineRule="exact"/>
        <w:rPr>
          <w:sz w:val="20"/>
          <w:szCs w:val="20"/>
          <w:color w:val="auto"/>
        </w:rPr>
      </w:pP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-1270</wp:posOffset>
            </wp:positionV>
            <wp:extent cx="3395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tabs>
          <w:tab w:leader="none" w:pos="6160" w:val="left"/>
        </w:tabs>
        <w:rPr>
          <w:sz w:val="20"/>
          <w:szCs w:val="20"/>
          <w:color w:val="auto"/>
        </w:rPr>
      </w:pPr>
      <w:r>
        <w:rPr>
          <w:rFonts w:ascii="Arial" w:cs="Arial" w:eastAsia="Arial" w:hAnsi="Arial"/>
          <w:sz w:val="18"/>
          <w:szCs w:val="18"/>
          <w:color w:val="auto"/>
        </w:rPr>
        <w:t>Dated: April 4, 2018</w:t>
      </w:r>
      <w:r>
        <w:rPr>
          <w:sz w:val="20"/>
          <w:szCs w:val="20"/>
          <w:color w:val="auto"/>
        </w:rPr>
        <w:tab/>
      </w:r>
      <w:r>
        <w:rPr>
          <w:rFonts w:ascii="Arial" w:cs="Arial" w:eastAsia="Arial" w:hAnsi="Arial"/>
          <w:sz w:val="16"/>
          <w:szCs w:val="16"/>
          <w:color w:val="auto"/>
        </w:rPr>
        <w:t>Scott Goldenberg, Chief Financial Officer</w:t>
      </w:r>
    </w:p>
    <w:p>
      <w:pPr>
        <w:spacing w:after="0" w:line="200" w:lineRule="exact"/>
        <w:rPr>
          <w:sz w:val="20"/>
          <w:szCs w:val="20"/>
          <w:color w:val="auto"/>
        </w:rPr>
      </w:pPr>
    </w:p>
    <w:p>
      <w:pPr>
        <w:spacing w:after="0" w:line="295"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ERNIE HERRMAN</w:t>
            </w:r>
          </w:p>
        </w:tc>
        <w:tc>
          <w:tcPr>
            <w:tcW w:w="240" w:type="dxa"/>
            <w:vAlign w:val="bottom"/>
            <w:gridSpan w:val="2"/>
          </w:tcPr>
          <w:p>
            <w:pPr>
              <w:spacing w:after="0"/>
              <w:rPr>
                <w:sz w:val="17"/>
                <w:szCs w:val="17"/>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GOLDENBERG</w:t>
            </w:r>
          </w:p>
        </w:tc>
      </w:tr>
      <w:tr>
        <w:trPr>
          <w:trHeight w:val="199"/>
        </w:trPr>
        <w:tc>
          <w:tcPr>
            <w:tcW w:w="6060" w:type="dxa"/>
            <w:vAlign w:val="bottom"/>
            <w:gridSpan w:val="3"/>
          </w:tcPr>
          <w:p>
            <w:pPr>
              <w:spacing w:after="0" w:line="200" w:lineRule="exact"/>
              <w:rPr>
                <w:sz w:val="20"/>
                <w:szCs w:val="20"/>
                <w:color w:val="auto"/>
              </w:rPr>
            </w:pPr>
            <w:r>
              <w:rPr>
                <w:rFonts w:ascii="Arial" w:cs="Arial" w:eastAsia="Arial" w:hAnsi="Arial"/>
                <w:sz w:val="18"/>
                <w:szCs w:val="18"/>
                <w:color w:val="auto"/>
              </w:rPr>
              <w:t>Ernie Herrman, Chief Executive Officer, President and Director</w:t>
            </w:r>
          </w:p>
        </w:tc>
        <w:tc>
          <w:tcPr>
            <w:tcW w:w="5360" w:type="dxa"/>
            <w:vAlign w:val="bottom"/>
          </w:tcPr>
          <w:p>
            <w:pPr>
              <w:spacing w:after="0" w:line="200" w:lineRule="exact"/>
              <w:rPr>
                <w:sz w:val="20"/>
                <w:szCs w:val="20"/>
                <w:color w:val="auto"/>
              </w:rPr>
            </w:pPr>
            <w:r>
              <w:rPr>
                <w:rFonts w:ascii="Arial" w:cs="Arial" w:eastAsia="Arial" w:hAnsi="Arial"/>
                <w:sz w:val="18"/>
                <w:szCs w:val="18"/>
                <w:color w:val="auto"/>
              </w:rPr>
              <w:t>Scott Goldenberg, Chief Financial Officer</w:t>
            </w:r>
          </w:p>
        </w:tc>
      </w:tr>
      <w:tr>
        <w:trPr>
          <w:trHeight w:val="211"/>
        </w:trPr>
        <w:tc>
          <w:tcPr>
            <w:tcW w:w="60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ZEIN ABDALLA*</w:t>
            </w:r>
          </w:p>
        </w:tc>
        <w:tc>
          <w:tcPr>
            <w:tcW w:w="240" w:type="dxa"/>
            <w:vAlign w:val="bottom"/>
            <w:gridSpan w:val="2"/>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AMY B. LANE*</w:t>
            </w:r>
          </w:p>
        </w:tc>
      </w:tr>
      <w:tr>
        <w:trPr>
          <w:trHeight w:val="208"/>
        </w:trPr>
        <w:tc>
          <w:tcPr>
            <w:tcW w:w="6060" w:type="dxa"/>
            <w:vAlign w:val="bottom"/>
            <w:gridSpan w:val="3"/>
          </w:tcPr>
          <w:p>
            <w:pPr>
              <w:spacing w:after="0"/>
              <w:rPr>
                <w:sz w:val="20"/>
                <w:szCs w:val="20"/>
                <w:color w:val="auto"/>
              </w:rPr>
            </w:pPr>
            <w:r>
              <w:rPr>
                <w:rFonts w:ascii="Arial" w:cs="Arial" w:eastAsia="Arial" w:hAnsi="Arial"/>
                <w:sz w:val="18"/>
                <w:szCs w:val="18"/>
                <w:color w:val="auto"/>
              </w:rPr>
              <w:t>Zein Abdalla, Director</w:t>
            </w:r>
          </w:p>
        </w:tc>
        <w:tc>
          <w:tcPr>
            <w:tcW w:w="5360" w:type="dxa"/>
            <w:vAlign w:val="bottom"/>
          </w:tcPr>
          <w:p>
            <w:pPr>
              <w:spacing w:after="0"/>
              <w:rPr>
                <w:sz w:val="20"/>
                <w:szCs w:val="20"/>
                <w:color w:val="auto"/>
              </w:rPr>
            </w:pPr>
            <w:r>
              <w:rPr>
                <w:rFonts w:ascii="Arial" w:cs="Arial" w:eastAsia="Arial" w:hAnsi="Arial"/>
                <w:sz w:val="18"/>
                <w:szCs w:val="18"/>
                <w:color w:val="auto"/>
              </w:rPr>
              <w:t>Amy B. Lane, Director</w:t>
            </w:r>
          </w:p>
        </w:tc>
      </w:tr>
      <w:tr>
        <w:trPr>
          <w:trHeight w:val="63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 B. ALVAREZ*</w:t>
            </w:r>
          </w:p>
        </w:tc>
        <w:tc>
          <w:tcPr>
            <w:tcW w:w="240" w:type="dxa"/>
            <w:vAlign w:val="bottom"/>
            <w:gridSpan w:val="2"/>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CAROL MEYROWITZ*</w:t>
            </w:r>
          </w:p>
        </w:tc>
      </w:tr>
      <w:tr>
        <w:trPr>
          <w:trHeight w:val="208"/>
        </w:trPr>
        <w:tc>
          <w:tcPr>
            <w:tcW w:w="6060" w:type="dxa"/>
            <w:vAlign w:val="bottom"/>
            <w:gridSpan w:val="3"/>
          </w:tcPr>
          <w:p>
            <w:pPr>
              <w:spacing w:after="0"/>
              <w:rPr>
                <w:sz w:val="20"/>
                <w:szCs w:val="20"/>
                <w:color w:val="auto"/>
              </w:rPr>
            </w:pPr>
            <w:r>
              <w:rPr>
                <w:rFonts w:ascii="Arial" w:cs="Arial" w:eastAsia="Arial" w:hAnsi="Arial"/>
                <w:sz w:val="18"/>
                <w:szCs w:val="18"/>
                <w:color w:val="auto"/>
              </w:rPr>
              <w:t>José B. Alvarez, Director</w:t>
            </w:r>
          </w:p>
        </w:tc>
        <w:tc>
          <w:tcPr>
            <w:tcW w:w="5360" w:type="dxa"/>
            <w:vAlign w:val="bottom"/>
          </w:tcPr>
          <w:p>
            <w:pPr>
              <w:spacing w:after="0"/>
              <w:rPr>
                <w:sz w:val="20"/>
                <w:szCs w:val="20"/>
                <w:color w:val="auto"/>
              </w:rPr>
            </w:pPr>
            <w:r>
              <w:rPr>
                <w:rFonts w:ascii="Arial" w:cs="Arial" w:eastAsia="Arial" w:hAnsi="Arial"/>
                <w:sz w:val="18"/>
                <w:szCs w:val="18"/>
                <w:color w:val="auto"/>
              </w:rPr>
              <w:t>Carol Meyrowitz, Executive Chairman of the Board of Directors</w:t>
            </w:r>
          </w:p>
        </w:tc>
      </w:tr>
      <w:tr>
        <w:trPr>
          <w:trHeight w:val="63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ALAN M. BENNETT*</w:t>
            </w:r>
          </w:p>
        </w:tc>
        <w:tc>
          <w:tcPr>
            <w:tcW w:w="240" w:type="dxa"/>
            <w:vAlign w:val="bottom"/>
            <w:gridSpan w:val="2"/>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JACKWYN L. NEMEROV*</w:t>
            </w:r>
          </w:p>
        </w:tc>
      </w:tr>
      <w:tr>
        <w:trPr>
          <w:trHeight w:val="208"/>
        </w:trPr>
        <w:tc>
          <w:tcPr>
            <w:tcW w:w="6060" w:type="dxa"/>
            <w:vAlign w:val="bottom"/>
            <w:gridSpan w:val="3"/>
          </w:tcPr>
          <w:p>
            <w:pPr>
              <w:spacing w:after="0"/>
              <w:rPr>
                <w:sz w:val="20"/>
                <w:szCs w:val="20"/>
                <w:color w:val="auto"/>
              </w:rPr>
            </w:pPr>
            <w:r>
              <w:rPr>
                <w:rFonts w:ascii="Arial" w:cs="Arial" w:eastAsia="Arial" w:hAnsi="Arial"/>
                <w:sz w:val="18"/>
                <w:szCs w:val="18"/>
                <w:color w:val="auto"/>
              </w:rPr>
              <w:t>Alan M. Bennett, Director</w:t>
            </w:r>
          </w:p>
        </w:tc>
        <w:tc>
          <w:tcPr>
            <w:tcW w:w="5360" w:type="dxa"/>
            <w:vAlign w:val="bottom"/>
          </w:tcPr>
          <w:p>
            <w:pPr>
              <w:spacing w:after="0"/>
              <w:rPr>
                <w:sz w:val="20"/>
                <w:szCs w:val="20"/>
                <w:color w:val="auto"/>
              </w:rPr>
            </w:pPr>
            <w:r>
              <w:rPr>
                <w:rFonts w:ascii="Arial" w:cs="Arial" w:eastAsia="Arial" w:hAnsi="Arial"/>
                <w:sz w:val="18"/>
                <w:szCs w:val="18"/>
                <w:color w:val="auto"/>
              </w:rPr>
              <w:t>Jackwyn L. Nemerov, Director</w:t>
            </w:r>
          </w:p>
        </w:tc>
      </w:tr>
      <w:tr>
        <w:trPr>
          <w:trHeight w:val="63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 CHING*</w:t>
            </w:r>
          </w:p>
        </w:tc>
        <w:tc>
          <w:tcPr>
            <w:tcW w:w="240" w:type="dxa"/>
            <w:vAlign w:val="bottom"/>
            <w:gridSpan w:val="2"/>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F. O’BRIEN*</w:t>
            </w:r>
          </w:p>
        </w:tc>
      </w:tr>
      <w:tr>
        <w:trPr>
          <w:trHeight w:val="208"/>
        </w:trPr>
        <w:tc>
          <w:tcPr>
            <w:tcW w:w="6060" w:type="dxa"/>
            <w:vAlign w:val="bottom"/>
            <w:gridSpan w:val="3"/>
          </w:tcPr>
          <w:p>
            <w:pPr>
              <w:spacing w:after="0"/>
              <w:rPr>
                <w:sz w:val="20"/>
                <w:szCs w:val="20"/>
                <w:color w:val="auto"/>
              </w:rPr>
            </w:pPr>
            <w:r>
              <w:rPr>
                <w:rFonts w:ascii="Arial" w:cs="Arial" w:eastAsia="Arial" w:hAnsi="Arial"/>
                <w:sz w:val="18"/>
                <w:szCs w:val="18"/>
                <w:color w:val="auto"/>
              </w:rPr>
              <w:t>David T. Ching, Director</w:t>
            </w:r>
          </w:p>
        </w:tc>
        <w:tc>
          <w:tcPr>
            <w:tcW w:w="5360" w:type="dxa"/>
            <w:vAlign w:val="bottom"/>
          </w:tcPr>
          <w:p>
            <w:pPr>
              <w:spacing w:after="0"/>
              <w:rPr>
                <w:sz w:val="20"/>
                <w:szCs w:val="20"/>
                <w:color w:val="auto"/>
              </w:rPr>
            </w:pPr>
            <w:r>
              <w:rPr>
                <w:rFonts w:ascii="Arial" w:cs="Arial" w:eastAsia="Arial" w:hAnsi="Arial"/>
                <w:sz w:val="18"/>
                <w:szCs w:val="18"/>
                <w:color w:val="auto"/>
              </w:rPr>
              <w:t>John F. O’Brien, Director</w:t>
            </w:r>
          </w:p>
        </w:tc>
      </w:tr>
      <w:tr>
        <w:trPr>
          <w:trHeight w:val="63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F. HINES*</w:t>
            </w:r>
          </w:p>
        </w:tc>
        <w:tc>
          <w:tcPr>
            <w:tcW w:w="240" w:type="dxa"/>
            <w:vAlign w:val="bottom"/>
            <w:gridSpan w:val="2"/>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WILLOW B. SHIRE*</w:t>
            </w:r>
          </w:p>
        </w:tc>
      </w:tr>
      <w:tr>
        <w:trPr>
          <w:trHeight w:val="208"/>
        </w:trPr>
        <w:tc>
          <w:tcPr>
            <w:tcW w:w="6060" w:type="dxa"/>
            <w:vAlign w:val="bottom"/>
            <w:gridSpan w:val="3"/>
          </w:tcPr>
          <w:p>
            <w:pPr>
              <w:spacing w:after="0"/>
              <w:rPr>
                <w:sz w:val="20"/>
                <w:szCs w:val="20"/>
                <w:color w:val="auto"/>
              </w:rPr>
            </w:pPr>
            <w:r>
              <w:rPr>
                <w:rFonts w:ascii="Arial" w:cs="Arial" w:eastAsia="Arial" w:hAnsi="Arial"/>
                <w:sz w:val="18"/>
                <w:szCs w:val="18"/>
                <w:color w:val="auto"/>
              </w:rPr>
              <w:t>Michael F. Hines, Director</w:t>
            </w:r>
          </w:p>
        </w:tc>
        <w:tc>
          <w:tcPr>
            <w:tcW w:w="5360" w:type="dxa"/>
            <w:vAlign w:val="bottom"/>
          </w:tcPr>
          <w:p>
            <w:pPr>
              <w:spacing w:after="0"/>
              <w:rPr>
                <w:sz w:val="20"/>
                <w:szCs w:val="20"/>
                <w:color w:val="auto"/>
              </w:rPr>
            </w:pPr>
            <w:r>
              <w:rPr>
                <w:rFonts w:ascii="Arial" w:cs="Arial" w:eastAsia="Arial" w:hAnsi="Arial"/>
                <w:sz w:val="18"/>
                <w:szCs w:val="18"/>
                <w:color w:val="auto"/>
              </w:rPr>
              <w:t>Willow B. Shire, Director</w:t>
            </w:r>
          </w:p>
        </w:tc>
      </w:tr>
      <w:tr>
        <w:trPr>
          <w:trHeight w:val="839"/>
        </w:trPr>
        <w:tc>
          <w:tcPr>
            <w:tcW w:w="6060" w:type="dxa"/>
            <w:vAlign w:val="bottom"/>
            <w:gridSpan w:val="3"/>
          </w:tcPr>
          <w:p>
            <w:pPr>
              <w:ind w:left="5660"/>
              <w:spacing w:after="0"/>
              <w:rPr>
                <w:sz w:val="20"/>
                <w:szCs w:val="20"/>
                <w:color w:val="auto"/>
              </w:rPr>
            </w:pPr>
            <w:r>
              <w:rPr>
                <w:rFonts w:ascii="Arial" w:cs="Arial" w:eastAsia="Arial" w:hAnsi="Arial"/>
                <w:sz w:val="18"/>
                <w:szCs w:val="18"/>
                <w:color w:val="auto"/>
              </w:rPr>
              <w:t>*BY</w:t>
            </w:r>
          </w:p>
        </w:tc>
        <w:tc>
          <w:tcPr>
            <w:tcW w:w="5360" w:type="dxa"/>
            <w:vAlign w:val="bottom"/>
          </w:tcPr>
          <w:p>
            <w:pPr>
              <w:ind w:left="240"/>
              <w:spacing w:after="0"/>
              <w:rPr>
                <w:sz w:val="20"/>
                <w:szCs w:val="20"/>
                <w:color w:val="auto"/>
              </w:rPr>
            </w:pPr>
            <w:r>
              <w:rPr>
                <w:rFonts w:ascii="Arial" w:cs="Arial" w:eastAsia="Arial" w:hAnsi="Arial"/>
                <w:sz w:val="18"/>
                <w:szCs w:val="18"/>
                <w:color w:val="auto"/>
              </w:rPr>
              <w:t>/s/ SCOTT GOLDENBERG</w:t>
            </w:r>
          </w:p>
        </w:tc>
      </w:tr>
      <w:tr>
        <w:trPr>
          <w:trHeight w:val="199"/>
        </w:trPr>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Dated: April 4, 2018</w:t>
            </w:r>
          </w:p>
        </w:tc>
        <w:tc>
          <w:tcPr>
            <w:tcW w:w="100" w:type="dxa"/>
            <w:vAlign w:val="bottom"/>
            <w:tcBorders>
              <w:top w:val="single" w:sz="8" w:color="auto"/>
            </w:tcBorders>
          </w:tcPr>
          <w:p>
            <w:pPr>
              <w:spacing w:after="0"/>
              <w:rPr>
                <w:sz w:val="17"/>
                <w:szCs w:val="17"/>
                <w:color w:val="auto"/>
              </w:rPr>
            </w:pPr>
          </w:p>
        </w:tc>
        <w:tc>
          <w:tcPr>
            <w:tcW w:w="5360" w:type="dxa"/>
            <w:vAlign w:val="bottom"/>
            <w:tcBorders>
              <w:top w:val="single" w:sz="8" w:color="auto"/>
            </w:tcBorders>
          </w:tcPr>
          <w:p>
            <w:pPr>
              <w:ind w:left="240"/>
              <w:spacing w:after="0" w:line="200" w:lineRule="exact"/>
              <w:rPr>
                <w:sz w:val="20"/>
                <w:szCs w:val="20"/>
                <w:color w:val="auto"/>
              </w:rPr>
            </w:pPr>
            <w:r>
              <w:rPr>
                <w:rFonts w:ascii="Arial" w:cs="Arial" w:eastAsia="Arial" w:hAnsi="Arial"/>
                <w:sz w:val="18"/>
                <w:szCs w:val="18"/>
                <w:color w:val="auto"/>
              </w:rPr>
              <w:t>Scott Goldenberg,</w:t>
            </w:r>
          </w:p>
        </w:tc>
      </w:tr>
      <w:tr>
        <w:trPr>
          <w:trHeight w:val="211"/>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as attorney-in-fact</w:t>
            </w:r>
          </w:p>
        </w:tc>
      </w:tr>
      <w:tr>
        <w:trPr>
          <w:trHeight w:val="365"/>
        </w:trPr>
        <w:tc>
          <w:tcPr>
            <w:tcW w:w="5820" w:type="dxa"/>
            <w:vAlign w:val="bottom"/>
          </w:tcPr>
          <w:p>
            <w:pPr>
              <w:ind w:left="5620"/>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TJX Companies,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INDEX TO CONSOLIDATED FINANCIAL STATEMENTS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10720" w:type="dxa"/>
            <w:vAlign w:val="bottom"/>
            <w:gridSpan w:val="8"/>
          </w:tcPr>
          <w:p>
            <w:pPr>
              <w:ind w:left="140"/>
              <w:spacing w:after="0"/>
              <w:rPr>
                <w:sz w:val="20"/>
                <w:szCs w:val="20"/>
                <w:color w:val="auto"/>
              </w:rPr>
            </w:pPr>
            <w:r>
              <w:rPr>
                <w:rFonts w:ascii="Arial" w:cs="Arial" w:eastAsia="Arial" w:hAnsi="Arial"/>
                <w:sz w:val="18"/>
                <w:szCs w:val="18"/>
                <w:color w:val="auto"/>
              </w:rPr>
              <w:t>For Fiscal Years Ended February 3, 2018, January 28, 2017 and January 30, 2016.</w:t>
            </w:r>
          </w:p>
        </w:tc>
        <w:tc>
          <w:tcPr>
            <w:tcW w:w="420" w:type="dxa"/>
            <w:vAlign w:val="bottom"/>
          </w:tcPr>
          <w:p>
            <w:pPr>
              <w:spacing w:after="0"/>
              <w:rPr>
                <w:sz w:val="18"/>
                <w:szCs w:val="18"/>
                <w:color w:val="auto"/>
              </w:rPr>
            </w:pPr>
          </w:p>
        </w:tc>
      </w:tr>
      <w:tr>
        <w:trPr>
          <w:trHeight w:val="475"/>
        </w:trPr>
        <w:tc>
          <w:tcPr>
            <w:tcW w:w="1094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3"/>
        </w:trPr>
        <w:tc>
          <w:tcPr>
            <w:tcW w:w="45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72"/>
        </w:trPr>
        <w:tc>
          <w:tcPr>
            <w:tcW w:w="220" w:type="dxa"/>
            <w:vAlign w:val="bottom"/>
          </w:tcPr>
          <w:p>
            <w:pPr>
              <w:spacing w:after="0"/>
              <w:rPr>
                <w:sz w:val="14"/>
                <w:szCs w:val="14"/>
                <w:color w:val="auto"/>
              </w:rPr>
            </w:pPr>
          </w:p>
        </w:tc>
        <w:tc>
          <w:tcPr>
            <w:tcW w:w="9440" w:type="dxa"/>
            <w:vAlign w:val="bottom"/>
            <w:tcBorders>
              <w:bottom w:val="single" w:sz="8" w:color="0000EE"/>
            </w:tcBorders>
            <w:gridSpan w:val="5"/>
          </w:tcPr>
          <w:p>
            <w:pPr>
              <w:spacing w:after="0" w:line="17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Consolidated Statements of Income for the fiscal years ended February 3, 2018, January 28, 2017 and January 30, 2016</w:t>
              </w:r>
            </w:hyperlink>
          </w:p>
        </w:tc>
        <w:tc>
          <w:tcPr>
            <w:tcW w:w="1280" w:type="dxa"/>
            <w:vAlign w:val="bottom"/>
            <w:gridSpan w:val="3"/>
          </w:tcPr>
          <w:p>
            <w:pPr>
              <w:spacing w:after="0"/>
              <w:rPr>
                <w:sz w:val="14"/>
                <w:szCs w:val="14"/>
                <w:color w:val="auto"/>
              </w:rPr>
            </w:pPr>
          </w:p>
        </w:tc>
        <w:tc>
          <w:tcPr>
            <w:tcW w:w="420" w:type="dxa"/>
            <w:vAlign w:val="bottom"/>
          </w:tcPr>
          <w:p>
            <w:pPr>
              <w:jc w:val="right"/>
              <w:spacing w:after="0" w:line="172" w:lineRule="exact"/>
              <w:rPr>
                <w:sz w:val="20"/>
                <w:szCs w:val="20"/>
                <w:color w:val="auto"/>
              </w:rPr>
            </w:pPr>
            <w:r>
              <w:rPr>
                <w:rFonts w:ascii="Arial" w:cs="Arial" w:eastAsia="Arial" w:hAnsi="Arial"/>
                <w:sz w:val="18"/>
                <w:szCs w:val="18"/>
                <w:color w:val="auto"/>
              </w:rPr>
              <w:t>F-4</w:t>
            </w:r>
          </w:p>
        </w:tc>
      </w:tr>
      <w:tr>
        <w:trPr>
          <w:trHeight w:val="183"/>
        </w:trPr>
        <w:tc>
          <w:tcPr>
            <w:tcW w:w="220" w:type="dxa"/>
            <w:vAlign w:val="bottom"/>
          </w:tcPr>
          <w:p>
            <w:pPr>
              <w:spacing w:after="0"/>
              <w:rPr>
                <w:sz w:val="15"/>
                <w:szCs w:val="15"/>
                <w:color w:val="auto"/>
              </w:rPr>
            </w:pPr>
          </w:p>
        </w:tc>
        <w:tc>
          <w:tcPr>
            <w:tcW w:w="1072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Consolidated Statements of Comprehensive Income for the fiscal years ended February 3, 2018, January 28, 2017 and January 30, 2016</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183"/>
        </w:trPr>
        <w:tc>
          <w:tcPr>
            <w:tcW w:w="220" w:type="dxa"/>
            <w:vAlign w:val="bottom"/>
          </w:tcPr>
          <w:p>
            <w:pPr>
              <w:spacing w:after="0"/>
              <w:rPr>
                <w:sz w:val="15"/>
                <w:szCs w:val="15"/>
                <w:color w:val="auto"/>
              </w:rPr>
            </w:pPr>
          </w:p>
        </w:tc>
        <w:tc>
          <w:tcPr>
            <w:tcW w:w="588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Consolidated Balance Sheets as of February 3, 2018 and January 28, 2017</w:t>
              </w:r>
            </w:hyperlink>
          </w:p>
        </w:tc>
        <w:tc>
          <w:tcPr>
            <w:tcW w:w="4840" w:type="dxa"/>
            <w:vAlign w:val="bottom"/>
            <w:gridSpan w:val="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183"/>
        </w:trPr>
        <w:tc>
          <w:tcPr>
            <w:tcW w:w="220" w:type="dxa"/>
            <w:vAlign w:val="bottom"/>
          </w:tcPr>
          <w:p>
            <w:pPr>
              <w:spacing w:after="0"/>
              <w:rPr>
                <w:sz w:val="15"/>
                <w:szCs w:val="15"/>
                <w:color w:val="auto"/>
              </w:rPr>
            </w:pPr>
          </w:p>
        </w:tc>
        <w:tc>
          <w:tcPr>
            <w:tcW w:w="978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Consolidated Statements of Cash Flows for the fiscal years ended February 3, 2018, January 28, 2017 and January 30, 2016</w:t>
              </w:r>
            </w:hyperlink>
          </w:p>
        </w:tc>
        <w:tc>
          <w:tcPr>
            <w:tcW w:w="940" w:type="dxa"/>
            <w:vAlign w:val="bottom"/>
            <w:gridSpan w:val="2"/>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183"/>
        </w:trPr>
        <w:tc>
          <w:tcPr>
            <w:tcW w:w="220" w:type="dxa"/>
            <w:vAlign w:val="bottom"/>
          </w:tcPr>
          <w:p>
            <w:pPr>
              <w:spacing w:after="0"/>
              <w:rPr>
                <w:sz w:val="15"/>
                <w:szCs w:val="15"/>
                <w:color w:val="auto"/>
              </w:rPr>
            </w:pPr>
          </w:p>
        </w:tc>
        <w:tc>
          <w:tcPr>
            <w:tcW w:w="104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Consolidated Statements of Shareholders’ Equity for the fiscal years ended February 3, 2018, January 28, 2017 and January 30, 2016</w:t>
              </w:r>
            </w:hyperlink>
          </w:p>
        </w:tc>
        <w:tc>
          <w:tcPr>
            <w:tcW w:w="24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r>
      <w:tr>
        <w:trPr>
          <w:trHeight w:val="183"/>
        </w:trPr>
        <w:tc>
          <w:tcPr>
            <w:tcW w:w="10940" w:type="dxa"/>
            <w:vAlign w:val="bottom"/>
            <w:gridSpan w:val="9"/>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F-9</w:t>
            </w:r>
          </w:p>
        </w:tc>
      </w:tr>
      <w:tr>
        <w:trPr>
          <w:trHeight w:val="213"/>
        </w:trPr>
        <w:tc>
          <w:tcPr>
            <w:tcW w:w="34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Financial Statement Schedules:</w:t>
            </w:r>
          </w:p>
        </w:tc>
        <w:tc>
          <w:tcPr>
            <w:tcW w:w="540" w:type="dxa"/>
            <w:vAlign w:val="bottom"/>
          </w:tcPr>
          <w:p>
            <w:pPr>
              <w:spacing w:after="0"/>
              <w:rPr>
                <w:sz w:val="18"/>
                <w:szCs w:val="18"/>
                <w:color w:val="auto"/>
              </w:rPr>
            </w:pPr>
          </w:p>
        </w:tc>
        <w:tc>
          <w:tcPr>
            <w:tcW w:w="6980" w:type="dxa"/>
            <w:vAlign w:val="bottom"/>
            <w:gridSpan w:val="6"/>
          </w:tcPr>
          <w:p>
            <w:pPr>
              <w:spacing w:after="0"/>
              <w:rPr>
                <w:sz w:val="18"/>
                <w:szCs w:val="18"/>
                <w:color w:val="auto"/>
              </w:rPr>
            </w:pPr>
          </w:p>
        </w:tc>
        <w:tc>
          <w:tcPr>
            <w:tcW w:w="420" w:type="dxa"/>
            <w:vAlign w:val="bottom"/>
          </w:tcPr>
          <w:p>
            <w:pPr>
              <w:spacing w:after="0"/>
              <w:rPr>
                <w:sz w:val="18"/>
                <w:szCs w:val="18"/>
                <w:color w:val="auto"/>
              </w:rPr>
            </w:pPr>
          </w:p>
        </w:tc>
      </w:tr>
      <w:tr>
        <w:trPr>
          <w:trHeight w:val="172"/>
        </w:trPr>
        <w:tc>
          <w:tcPr>
            <w:tcW w:w="220" w:type="dxa"/>
            <w:vAlign w:val="bottom"/>
          </w:tcPr>
          <w:p>
            <w:pPr>
              <w:spacing w:after="0"/>
              <w:rPr>
                <w:sz w:val="14"/>
                <w:szCs w:val="14"/>
                <w:color w:val="auto"/>
              </w:rPr>
            </w:pPr>
          </w:p>
        </w:tc>
        <w:tc>
          <w:tcPr>
            <w:tcW w:w="10720" w:type="dxa"/>
            <w:vAlign w:val="bottom"/>
            <w:gridSpan w:val="8"/>
          </w:tcPr>
          <w:p>
            <w:pPr>
              <w:spacing w:after="0" w:line="172" w:lineRule="exact"/>
              <w:rPr>
                <w:rFonts w:ascii="Arial" w:cs="Arial" w:eastAsia="Arial" w:hAnsi="Arial"/>
                <w:sz w:val="18"/>
                <w:szCs w:val="18"/>
                <w:color w:val="0000EE"/>
              </w:rPr>
            </w:pPr>
            <w:hyperlink w:anchor="page45">
              <w:r>
                <w:rPr>
                  <w:rFonts w:ascii="Arial" w:cs="Arial" w:eastAsia="Arial" w:hAnsi="Arial"/>
                  <w:sz w:val="18"/>
                  <w:szCs w:val="18"/>
                  <w:color w:val="0000EE"/>
                </w:rPr>
                <w:t>Schedule II – Valuation and Qualifying Accounts</w:t>
              </w:r>
            </w:hyperlink>
          </w:p>
        </w:tc>
        <w:tc>
          <w:tcPr>
            <w:tcW w:w="420" w:type="dxa"/>
            <w:vAlign w:val="bottom"/>
          </w:tcPr>
          <w:p>
            <w:pPr>
              <w:jc w:val="right"/>
              <w:spacing w:after="0" w:line="172" w:lineRule="exact"/>
              <w:rPr>
                <w:sz w:val="20"/>
                <w:szCs w:val="20"/>
                <w:color w:val="auto"/>
              </w:rPr>
            </w:pPr>
            <w:r>
              <w:rPr>
                <w:rFonts w:ascii="Arial" w:cs="Arial" w:eastAsia="Arial" w:hAnsi="Arial"/>
                <w:sz w:val="18"/>
                <w:szCs w:val="18"/>
                <w:color w:val="auto"/>
              </w:rPr>
              <w:t>45</w:t>
            </w:r>
          </w:p>
        </w:tc>
      </w:tr>
      <w:tr>
        <w:trPr>
          <w:trHeight w:val="370"/>
        </w:trPr>
        <w:tc>
          <w:tcPr>
            <w:tcW w:w="220" w:type="dxa"/>
            <w:vAlign w:val="bottom"/>
          </w:tcPr>
          <w:p>
            <w:pPr>
              <w:spacing w:after="0"/>
              <w:rPr>
                <w:sz w:val="24"/>
                <w:szCs w:val="24"/>
                <w:color w:val="auto"/>
              </w:rPr>
            </w:pPr>
          </w:p>
        </w:tc>
        <w:tc>
          <w:tcPr>
            <w:tcW w:w="3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440" w:type="dxa"/>
            <w:vAlign w:val="bottom"/>
            <w:gridSpan w:val="5"/>
          </w:tcPr>
          <w:p>
            <w:pPr>
              <w:ind w:left="1080"/>
              <w:spacing w:after="0"/>
              <w:rPr>
                <w:sz w:val="20"/>
                <w:szCs w:val="20"/>
                <w:color w:val="auto"/>
              </w:rPr>
            </w:pPr>
            <w:r>
              <w:rPr>
                <w:rFonts w:ascii="Arial" w:cs="Arial" w:eastAsia="Arial" w:hAnsi="Arial"/>
                <w:sz w:val="18"/>
                <w:szCs w:val="18"/>
                <w:color w:val="auto"/>
              </w:rPr>
              <w:t>F-1</w:t>
            </w:r>
          </w:p>
        </w:tc>
        <w:tc>
          <w:tcPr>
            <w:tcW w:w="420" w:type="dxa"/>
            <w:vAlign w:val="bottom"/>
          </w:tcPr>
          <w:p>
            <w:pPr>
              <w:spacing w:after="0"/>
              <w:rPr>
                <w:sz w:val="24"/>
                <w:szCs w:val="24"/>
                <w:color w:val="auto"/>
              </w:rPr>
            </w:pPr>
          </w:p>
        </w:tc>
      </w:tr>
    </w:tbl>
    <w:p>
      <w:pPr>
        <w:sectPr>
          <w:pgSz w:w="11900" w:h="16838" w:orient="portrait"/>
          <w:cols w:equalWidth="0" w:num="1">
            <w:col w:w="11360"/>
          </w:cols>
          <w:pgMar w:left="240" w:top="256" w:right="29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The TJX Companies,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The TJX Companies, Inc. and its subsidiaries (the “Company”) as of February 3, 2018 and January 28, 2017, and the related consolidated statements of income, comprehensive income, shareholders’ equity and cash flows for each of the three years in the period ended February 3, 2018, including the related notes and financial statement schedule listed in the accompanying index listed within Item 15 (a) (collectively referred to as the “consolidated financial statements”). We also have audited the Company’s internal control over financial reporting as of February 3,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February 3, 2018 and January 28, 2017, and the results of their operations and their cash flows for each of the three years in the period ended February 3, 2018 in conformity with accounting principles generally accepted in the United States of America. Also in our opinion, the Company maintained, in all material respects, effective internal control over financial reporting as of February 3,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56" w:right="25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firstLine="8"/>
        <w:spacing w:after="0" w:line="239"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4,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1962.</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291" w:right="29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TJX Companies,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color w:val="auto"/>
              </w:rPr>
              <w:t>Fiscal Year Ended</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7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96"/>
              <w:spacing w:after="0" w:line="125"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0"/>
                <w:szCs w:val="10"/>
                <w:color w:val="auto"/>
              </w:rPr>
            </w:pPr>
          </w:p>
        </w:tc>
        <w:tc>
          <w:tcPr>
            <w:tcW w:w="1120" w:type="dxa"/>
            <w:vAlign w:val="bottom"/>
          </w:tcPr>
          <w:p>
            <w:pPr>
              <w:jc w:val="right"/>
              <w:ind w:right="135"/>
              <w:spacing w:after="0" w:line="125" w:lineRule="exact"/>
              <w:rPr>
                <w:sz w:val="20"/>
                <w:szCs w:val="20"/>
                <w:color w:val="auto"/>
              </w:rPr>
            </w:pPr>
            <w:r>
              <w:rPr>
                <w:rFonts w:ascii="Arial" w:cs="Arial" w:eastAsia="Arial" w:hAnsi="Arial"/>
                <w:sz w:val="14"/>
                <w:szCs w:val="14"/>
                <w:color w:val="auto"/>
              </w:rPr>
              <w:t>January 28,</w:t>
            </w:r>
          </w:p>
        </w:tc>
        <w:tc>
          <w:tcPr>
            <w:tcW w:w="28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60" w:type="dxa"/>
            <w:vAlign w:val="bottom"/>
          </w:tcPr>
          <w:p>
            <w:pPr>
              <w:spacing w:after="0"/>
              <w:rPr>
                <w:sz w:val="10"/>
                <w:szCs w:val="10"/>
                <w:color w:val="auto"/>
              </w:rPr>
            </w:pPr>
          </w:p>
        </w:tc>
      </w:tr>
      <w:tr>
        <w:trPr>
          <w:trHeight w:val="179"/>
        </w:trPr>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in thousands except per share amounts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2016</w:t>
            </w:r>
          </w:p>
        </w:tc>
      </w:tr>
      <w:tr>
        <w:trPr>
          <w:trHeight w:val="142"/>
        </w:trPr>
        <w:tc>
          <w:tcPr>
            <w:tcW w:w="7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(53 weeks)</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w w:val="95"/>
              </w:rPr>
              <w:t>35,864,664</w:t>
            </w: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w w:val="97"/>
              </w:rPr>
              <w:t>33,183,744</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30,944,938</w:t>
            </w:r>
          </w:p>
        </w:tc>
        <w:tc>
          <w:tcPr>
            <w:tcW w:w="60" w:type="dxa"/>
            <w:vAlign w:val="bottom"/>
            <w:shd w:val="clear" w:color="auto" w:fill="CCEEFF"/>
          </w:tcPr>
          <w:p>
            <w:pPr>
              <w:spacing w:after="0"/>
              <w:rPr>
                <w:sz w:val="17"/>
                <w:szCs w:val="17"/>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color w:val="auto"/>
              </w:rPr>
              <w:t>Cost of sales, including buying and occupancy costs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b w:val="1"/>
                <w:bCs w:val="1"/>
                <w:color w:val="auto"/>
                <w:w w:val="95"/>
              </w:rPr>
              <w:t>25,502,167</w:t>
            </w: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color w:val="auto"/>
                <w:w w:val="97"/>
              </w:rPr>
              <w:t>23,565,754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22,034,523</w:t>
            </w:r>
          </w:p>
        </w:tc>
        <w:tc>
          <w:tcPr>
            <w:tcW w:w="60" w:type="dxa"/>
            <w:vAlign w:val="bottom"/>
          </w:tcPr>
          <w:p>
            <w:pPr>
              <w:spacing w:after="0"/>
              <w:rPr>
                <w:sz w:val="18"/>
                <w:szCs w:val="18"/>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6,375,071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5,768,467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5,205,715</w:t>
            </w:r>
          </w:p>
        </w:tc>
        <w:tc>
          <w:tcPr>
            <w:tcW w:w="60" w:type="dxa"/>
            <w:vAlign w:val="bottom"/>
            <w:shd w:val="clear" w:color="auto" w:fill="CCEE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Impairment of goodwill and other long-lived assets, related to Sierra Trading Post (“STP”)</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99,250</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51,773</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Pension settlement charge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31,173</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31,588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43,534</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46,400</w:t>
            </w:r>
          </w:p>
        </w:tc>
      </w:tr>
      <w:tr>
        <w:trPr>
          <w:trHeight w:val="210"/>
        </w:trPr>
        <w:tc>
          <w:tcPr>
            <w:tcW w:w="7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3,856,588</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3,723,043</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3,658,300</w:t>
            </w:r>
          </w:p>
        </w:tc>
        <w:tc>
          <w:tcPr>
            <w:tcW w:w="60" w:type="dxa"/>
            <w:vAlign w:val="bottom"/>
          </w:tcPr>
          <w:p>
            <w:pPr>
              <w:spacing w:after="0"/>
              <w:rPr>
                <w:sz w:val="18"/>
                <w:szCs w:val="18"/>
                <w:color w:val="auto"/>
              </w:rPr>
            </w:pPr>
          </w:p>
        </w:tc>
      </w:tr>
      <w:tr>
        <w:trPr>
          <w:trHeight w:val="203"/>
        </w:trPr>
        <w:tc>
          <w:tcPr>
            <w:tcW w:w="7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1,248,640</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1,424,809</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1,380,642</w:t>
            </w:r>
          </w:p>
        </w:tc>
        <w:tc>
          <w:tcPr>
            <w:tcW w:w="60" w:type="dxa"/>
            <w:vAlign w:val="bottom"/>
            <w:shd w:val="clear" w:color="auto" w:fill="CCEEFF"/>
          </w:tcPr>
          <w:p>
            <w:pPr>
              <w:spacing w:after="0"/>
              <w:rPr>
                <w:sz w:val="17"/>
                <w:szCs w:val="17"/>
                <w:color w:val="auto"/>
              </w:rPr>
            </w:pP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2,607,948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2,298,234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2,277,658</w:t>
            </w:r>
          </w:p>
        </w:tc>
        <w:tc>
          <w:tcPr>
            <w:tcW w:w="60" w:type="dxa"/>
            <w:vAlign w:val="bottom"/>
          </w:tcPr>
          <w:p>
            <w:pPr>
              <w:spacing w:after="0"/>
              <w:rPr>
                <w:sz w:val="18"/>
                <w:szCs w:val="18"/>
                <w:color w:val="auto"/>
              </w:rPr>
            </w:pP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26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4.10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3.51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3.38</w:t>
            </w:r>
          </w:p>
        </w:tc>
      </w:tr>
      <w:tr>
        <w:trPr>
          <w:trHeight w:val="203"/>
        </w:trPr>
        <w:tc>
          <w:tcPr>
            <w:tcW w:w="7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common shares – basic</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636,827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655,647</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673,484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4.04</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w:t>
            </w:r>
          </w:p>
        </w:tc>
      </w:tr>
      <w:tr>
        <w:trPr>
          <w:trHeight w:val="203"/>
        </w:trPr>
        <w:tc>
          <w:tcPr>
            <w:tcW w:w="726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common shares – diluted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646,105</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664,432</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683,251</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dividends declared per share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1.25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56"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TJX Companies,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Fiscal Year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980" w:type="dxa"/>
            <w:vAlign w:val="bottom"/>
          </w:tcPr>
          <w:p>
            <w:pPr>
              <w:spacing w:after="0"/>
              <w:rPr>
                <w:sz w:val="10"/>
                <w:szCs w:val="10"/>
                <w:color w:val="auto"/>
              </w:rPr>
            </w:pPr>
          </w:p>
        </w:tc>
        <w:tc>
          <w:tcPr>
            <w:tcW w:w="1000" w:type="dxa"/>
            <w:vAlign w:val="bottom"/>
          </w:tcPr>
          <w:p>
            <w:pPr>
              <w:jc w:val="right"/>
              <w:ind w:right="18"/>
              <w:spacing w:after="0" w:line="125" w:lineRule="exact"/>
              <w:rPr>
                <w:sz w:val="20"/>
                <w:szCs w:val="20"/>
                <w:color w:val="auto"/>
              </w:rPr>
            </w:pPr>
            <w:r>
              <w:rPr>
                <w:rFonts w:ascii="Arial" w:cs="Arial" w:eastAsia="Arial" w:hAnsi="Arial"/>
                <w:sz w:val="14"/>
                <w:szCs w:val="14"/>
                <w:b w:val="1"/>
                <w:bCs w:val="1"/>
                <w:color w:val="auto"/>
              </w:rPr>
              <w:t>February 3,</w:t>
            </w:r>
          </w:p>
        </w:tc>
        <w:tc>
          <w:tcPr>
            <w:tcW w:w="1300" w:type="dxa"/>
            <w:vAlign w:val="bottom"/>
          </w:tcPr>
          <w:p>
            <w:pPr>
              <w:jc w:val="right"/>
              <w:ind w:right="138"/>
              <w:spacing w:after="0" w:line="125" w:lineRule="exact"/>
              <w:rPr>
                <w:sz w:val="20"/>
                <w:szCs w:val="20"/>
                <w:color w:val="auto"/>
              </w:rPr>
            </w:pPr>
            <w:r>
              <w:rPr>
                <w:rFonts w:ascii="Arial" w:cs="Arial" w:eastAsia="Arial" w:hAnsi="Arial"/>
                <w:sz w:val="14"/>
                <w:szCs w:val="14"/>
                <w:color w:val="auto"/>
              </w:rPr>
              <w:t>January 28,</w:t>
            </w:r>
          </w:p>
        </w:tc>
        <w:tc>
          <w:tcPr>
            <w:tcW w:w="102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in thousands</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000" w:type="dxa"/>
            <w:vAlign w:val="bottom"/>
          </w:tcPr>
          <w:p>
            <w:pPr>
              <w:jc w:val="right"/>
              <w:ind w:right="138"/>
              <w:spacing w:after="0" w:line="142" w:lineRule="exact"/>
              <w:rPr>
                <w:sz w:val="20"/>
                <w:szCs w:val="20"/>
                <w:color w:val="auto"/>
              </w:rPr>
            </w:pPr>
            <w:r>
              <w:rPr>
                <w:rFonts w:ascii="Arial" w:cs="Arial" w:eastAsia="Arial" w:hAnsi="Arial"/>
                <w:sz w:val="14"/>
                <w:szCs w:val="14"/>
                <w:color w:val="auto"/>
              </w:rPr>
              <w:t>(53 weeks)</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w w:val="92"/>
              </w:rPr>
              <w:t>$ 2,607,948</w:t>
            </w:r>
          </w:p>
        </w:tc>
        <w:tc>
          <w:tcPr>
            <w:tcW w:w="1300" w:type="dxa"/>
            <w:vAlign w:val="bottom"/>
            <w:tcBorders>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$ 2,298,234</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$ 2,277,658</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Pr>
          <w:p>
            <w:pPr>
              <w:spacing w:after="0" w:line="196" w:lineRule="exact"/>
              <w:rPr>
                <w:sz w:val="20"/>
                <w:szCs w:val="20"/>
                <w:color w:val="auto"/>
              </w:rPr>
            </w:pPr>
            <w:r>
              <w:rPr>
                <w:rFonts w:ascii="Arial" w:cs="Arial" w:eastAsia="Arial" w:hAnsi="Arial"/>
                <w:sz w:val="18"/>
                <w:szCs w:val="18"/>
                <w:color w:val="auto"/>
              </w:rPr>
              <w:t>Additions to other comprehensive income:</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Foreign currency translation adjustments, net of related tax provisions of $36,929 and $25,656 in</w:t>
            </w:r>
          </w:p>
        </w:tc>
        <w:tc>
          <w:tcPr>
            <w:tcW w:w="10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211,752</w:t>
            </w:r>
          </w:p>
        </w:tc>
        <w:tc>
          <w:tcPr>
            <w:tcW w:w="1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fiscal 2018 and fiscal 2017, respectively, and benefit of $41,048 in fiscal 2016</w:t>
            </w:r>
          </w:p>
        </w:tc>
        <w:tc>
          <w:tcPr>
            <w:tcW w:w="1000" w:type="dxa"/>
            <w:vAlign w:val="bottom"/>
            <w:vMerge w:val="continue"/>
            <w:shd w:val="clear" w:color="auto" w:fill="CCEEFF"/>
          </w:tcPr>
          <w:p>
            <w:pPr>
              <w:spacing w:after="0"/>
              <w:rPr>
                <w:sz w:val="17"/>
                <w:szCs w:val="17"/>
                <w:color w:val="auto"/>
              </w:rPr>
            </w:pPr>
          </w:p>
        </w:tc>
        <w:tc>
          <w:tcPr>
            <w:tcW w:w="1300" w:type="dxa"/>
            <w:vAlign w:val="bottom"/>
            <w:shd w:val="clear" w:color="auto" w:fill="CCEEFF"/>
          </w:tcPr>
          <w:p>
            <w:pPr>
              <w:jc w:val="right"/>
              <w:ind w:right="78"/>
              <w:spacing w:after="0" w:line="200" w:lineRule="exact"/>
              <w:rPr>
                <w:sz w:val="20"/>
                <w:szCs w:val="20"/>
                <w:color w:val="auto"/>
              </w:rPr>
            </w:pPr>
            <w:r>
              <w:rPr>
                <w:rFonts w:ascii="Arial" w:cs="Arial" w:eastAsia="Arial" w:hAnsi="Arial"/>
                <w:sz w:val="18"/>
                <w:szCs w:val="18"/>
                <w:color w:val="auto"/>
              </w:rPr>
              <w:t>(52,611)</w:t>
            </w:r>
          </w:p>
        </w:tc>
        <w:tc>
          <w:tcPr>
            <w:tcW w:w="11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(143,923)</w:t>
            </w:r>
          </w:p>
        </w:tc>
        <w:tc>
          <w:tcPr>
            <w:tcW w:w="0" w:type="dxa"/>
            <w:vAlign w:val="bottom"/>
          </w:tcPr>
          <w:p>
            <w:pPr>
              <w:spacing w:after="0"/>
              <w:rPr>
                <w:sz w:val="1"/>
                <w:szCs w:val="1"/>
                <w:color w:val="auto"/>
              </w:rPr>
            </w:pPr>
          </w:p>
        </w:tc>
      </w:tr>
      <w:tr>
        <w:trPr>
          <w:trHeight w:val="206"/>
        </w:trPr>
        <w:tc>
          <w:tcPr>
            <w:tcW w:w="7980" w:type="dxa"/>
            <w:vAlign w:val="bottom"/>
          </w:tcPr>
          <w:p>
            <w:pPr>
              <w:ind w:left="220"/>
              <w:spacing w:after="0" w:line="206" w:lineRule="exact"/>
              <w:rPr>
                <w:sz w:val="20"/>
                <w:szCs w:val="20"/>
                <w:color w:val="auto"/>
              </w:rPr>
            </w:pPr>
            <w:r>
              <w:rPr>
                <w:rFonts w:ascii="Arial" w:cs="Arial" w:eastAsia="Arial" w:hAnsi="Arial"/>
                <w:sz w:val="18"/>
                <w:szCs w:val="18"/>
                <w:color w:val="auto"/>
              </w:rPr>
              <w:t>Recognition of net gains/losses on benefit obligations, net of related tax provision of $8,989 in</w:t>
            </w:r>
          </w:p>
        </w:tc>
        <w:tc>
          <w:tcPr>
            <w:tcW w:w="100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24,691</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tcPr>
          <w:p>
            <w:pPr>
              <w:ind w:left="440"/>
              <w:spacing w:after="0" w:line="200" w:lineRule="exact"/>
              <w:rPr>
                <w:sz w:val="20"/>
                <w:szCs w:val="20"/>
                <w:color w:val="auto"/>
              </w:rPr>
            </w:pPr>
            <w:r>
              <w:rPr>
                <w:rFonts w:ascii="Arial" w:cs="Arial" w:eastAsia="Arial" w:hAnsi="Arial"/>
                <w:sz w:val="18"/>
                <w:szCs w:val="18"/>
                <w:color w:val="auto"/>
              </w:rPr>
              <w:t>fiscal 2018, benefit of $7,394 in fiscal 2017 and provision of $6,335 in fiscal 2016</w:t>
            </w:r>
          </w:p>
        </w:tc>
        <w:tc>
          <w:tcPr>
            <w:tcW w:w="1000" w:type="dxa"/>
            <w:vAlign w:val="bottom"/>
            <w:vMerge w:val="continue"/>
          </w:tcPr>
          <w:p>
            <w:pPr>
              <w:spacing w:after="0"/>
              <w:rPr>
                <w:sz w:val="17"/>
                <w:szCs w:val="17"/>
                <w:color w:val="auto"/>
              </w:rPr>
            </w:pPr>
          </w:p>
        </w:tc>
        <w:tc>
          <w:tcPr>
            <w:tcW w:w="1300" w:type="dxa"/>
            <w:vAlign w:val="bottom"/>
          </w:tcPr>
          <w:p>
            <w:pPr>
              <w:jc w:val="right"/>
              <w:ind w:right="78"/>
              <w:spacing w:after="0" w:line="200" w:lineRule="exact"/>
              <w:rPr>
                <w:sz w:val="20"/>
                <w:szCs w:val="20"/>
                <w:color w:val="auto"/>
              </w:rPr>
            </w:pPr>
            <w:r>
              <w:rPr>
                <w:rFonts w:ascii="Arial" w:cs="Arial" w:eastAsia="Arial" w:hAnsi="Arial"/>
                <w:sz w:val="18"/>
                <w:szCs w:val="18"/>
                <w:color w:val="auto"/>
              </w:rPr>
              <w:t>(11,239)</w:t>
            </w: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9,629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Reclassifications from other comprehensive income to net income:</w:t>
            </w: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tcPr>
          <w:p>
            <w:pPr>
              <w:ind w:left="220"/>
              <w:spacing w:after="0" w:line="202" w:lineRule="exact"/>
              <w:rPr>
                <w:sz w:val="20"/>
                <w:szCs w:val="20"/>
                <w:color w:val="auto"/>
              </w:rPr>
            </w:pPr>
            <w:r>
              <w:rPr>
                <w:rFonts w:ascii="Arial" w:cs="Arial" w:eastAsia="Arial" w:hAnsi="Arial"/>
                <w:sz w:val="18"/>
                <w:szCs w:val="18"/>
                <w:color w:val="auto"/>
              </w:rPr>
              <w:t>Pension settlement charge, net of related tax provision of $12,369 in fiscal 2017</w:t>
            </w:r>
          </w:p>
        </w:tc>
        <w:tc>
          <w:tcPr>
            <w:tcW w:w="100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18,804</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79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Amortization of loss on cash flow hedge, net of related tax provisions of $438, $450 and $450 in</w:t>
            </w:r>
          </w:p>
        </w:tc>
        <w:tc>
          <w:tcPr>
            <w:tcW w:w="100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696</w:t>
            </w:r>
          </w:p>
        </w:tc>
        <w:tc>
          <w:tcPr>
            <w:tcW w:w="1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fiscal 2018, 2017 and 2016, respectively</w:t>
            </w:r>
          </w:p>
        </w:tc>
        <w:tc>
          <w:tcPr>
            <w:tcW w:w="1000" w:type="dxa"/>
            <w:vAlign w:val="bottom"/>
            <w:vMerge w:val="continue"/>
            <w:shd w:val="clear" w:color="auto" w:fill="CCEEFF"/>
          </w:tcPr>
          <w:p>
            <w:pPr>
              <w:spacing w:after="0"/>
              <w:rPr>
                <w:sz w:val="17"/>
                <w:szCs w:val="17"/>
                <w:color w:val="auto"/>
              </w:rPr>
            </w:pPr>
          </w:p>
        </w:tc>
        <w:tc>
          <w:tcPr>
            <w:tcW w:w="1300" w:type="dxa"/>
            <w:vAlign w:val="bottom"/>
            <w:shd w:val="clear" w:color="auto" w:fill="CCEEFF"/>
          </w:tcPr>
          <w:p>
            <w:pPr>
              <w:jc w:val="right"/>
              <w:ind w:right="138"/>
              <w:spacing w:after="0" w:line="200" w:lineRule="exact"/>
              <w:rPr>
                <w:sz w:val="20"/>
                <w:szCs w:val="20"/>
                <w:color w:val="auto"/>
              </w:rPr>
            </w:pPr>
            <w:r>
              <w:rPr>
                <w:rFonts w:ascii="Arial" w:cs="Arial" w:eastAsia="Arial" w:hAnsi="Arial"/>
                <w:sz w:val="18"/>
                <w:szCs w:val="18"/>
                <w:color w:val="auto"/>
              </w:rPr>
              <w:t>684</w:t>
            </w: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tcPr>
          <w:p>
            <w:pPr>
              <w:ind w:left="220"/>
              <w:spacing w:after="0" w:line="206" w:lineRule="exact"/>
              <w:rPr>
                <w:sz w:val="20"/>
                <w:szCs w:val="20"/>
                <w:color w:val="auto"/>
              </w:rPr>
            </w:pPr>
            <w:r>
              <w:rPr>
                <w:rFonts w:ascii="Arial" w:cs="Arial" w:eastAsia="Arial" w:hAnsi="Arial"/>
                <w:sz w:val="18"/>
                <w:szCs w:val="18"/>
                <w:color w:val="auto"/>
              </w:rPr>
              <w:t>Amortization of prior service cost and deferred gains/losses, net of related tax provisions of</w:t>
            </w:r>
          </w:p>
        </w:tc>
        <w:tc>
          <w:tcPr>
            <w:tcW w:w="100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15,228</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8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$9,592, $11,584, and $13,501 in fiscal 2018, 2017 and 2016, respectively</w:t>
            </w:r>
          </w:p>
        </w:tc>
        <w:tc>
          <w:tcPr>
            <w:tcW w:w="10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right"/>
              <w:ind w:right="138"/>
              <w:spacing w:after="0" w:line="200" w:lineRule="exact"/>
              <w:rPr>
                <w:sz w:val="20"/>
                <w:szCs w:val="20"/>
                <w:color w:val="auto"/>
              </w:rPr>
            </w:pPr>
            <w:r>
              <w:rPr>
                <w:rFonts w:ascii="Arial" w:cs="Arial" w:eastAsia="Arial" w:hAnsi="Arial"/>
                <w:sz w:val="18"/>
                <w:szCs w:val="18"/>
                <w:color w:val="auto"/>
              </w:rPr>
              <w:t>17,608</w:t>
            </w:r>
          </w:p>
        </w:tc>
        <w:tc>
          <w:tcPr>
            <w:tcW w:w="10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20,523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00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b w:val="1"/>
                <w:bCs w:val="1"/>
                <w:color w:val="auto"/>
              </w:rPr>
              <w:t>252,367</w:t>
            </w:r>
          </w:p>
        </w:tc>
        <w:tc>
          <w:tcPr>
            <w:tcW w:w="1300" w:type="dxa"/>
            <w:vAlign w:val="bottom"/>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(26,754)</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(113,087)</w:t>
            </w:r>
          </w:p>
        </w:tc>
        <w:tc>
          <w:tcPr>
            <w:tcW w:w="0" w:type="dxa"/>
            <w:vAlign w:val="bottom"/>
          </w:tcPr>
          <w:p>
            <w:pPr>
              <w:spacing w:after="0"/>
              <w:rPr>
                <w:sz w:val="1"/>
                <w:szCs w:val="1"/>
                <w:color w:val="auto"/>
              </w:rPr>
            </w:pPr>
          </w:p>
        </w:tc>
      </w:tr>
      <w:tr>
        <w:trPr>
          <w:trHeight w:val="210"/>
        </w:trPr>
        <w:tc>
          <w:tcPr>
            <w:tcW w:w="7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w w:val="92"/>
              </w:rPr>
              <w:t>$ 2,860,315</w:t>
            </w:r>
          </w:p>
        </w:tc>
        <w:tc>
          <w:tcPr>
            <w:tcW w:w="13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8"/>
                <w:szCs w:val="18"/>
                <w:color w:val="auto"/>
              </w:rPr>
              <w:t>$ 2,271,480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$ 2,164,571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56"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TJX Companies,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25"/>
        </w:trPr>
        <w:tc>
          <w:tcPr>
            <w:tcW w:w="8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114"/>
              <w:spacing w:after="0" w:line="125" w:lineRule="exact"/>
              <w:rPr>
                <w:sz w:val="20"/>
                <w:szCs w:val="20"/>
                <w:color w:val="auto"/>
              </w:rPr>
            </w:pPr>
            <w:r>
              <w:rPr>
                <w:rFonts w:ascii="Arial" w:cs="Arial" w:eastAsia="Arial" w:hAnsi="Arial"/>
                <w:sz w:val="14"/>
                <w:szCs w:val="14"/>
                <w:b w:val="1"/>
                <w:bCs w:val="1"/>
                <w:color w:val="auto"/>
              </w:rPr>
              <w:t>February 3,</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January 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in thousands except share amounts</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2,758,477</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2,929,849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506,165</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543,242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327,166</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258,831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rPr>
              <w:t>Merchandise inventories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4,187,243</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3,644,959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706,676</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373,893</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8,485,727</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7,750,774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Net property at cost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rPr>
              <w:t>5,006,053</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4,532,894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rPr>
              <w:t>Non-current deferred income taxes, net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6,558</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100,069</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459,608</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398,076</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w w:val="97"/>
              </w:rPr>
              <w:t>14,058,015</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12,883,808</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5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2,488,373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2,230,904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2,522,961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2,320,464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Federal, state and foreign income taxes payable</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114,203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206,288</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rPr>
              <w:t>5,125,537</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4,757,656</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Pr>
          <w:p>
            <w:pPr>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4"/>
              <w:spacing w:after="0" w:line="196" w:lineRule="exact"/>
              <w:rPr>
                <w:sz w:val="20"/>
                <w:szCs w:val="20"/>
                <w:color w:val="auto"/>
              </w:rPr>
            </w:pPr>
            <w:r>
              <w:rPr>
                <w:rFonts w:ascii="Arial" w:cs="Arial" w:eastAsia="Arial" w:hAnsi="Arial"/>
                <w:sz w:val="18"/>
                <w:szCs w:val="18"/>
                <w:b w:val="1"/>
                <w:bCs w:val="1"/>
                <w:color w:val="auto"/>
              </w:rPr>
              <w:t>1,320,505</w:t>
            </w: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1,073,954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deferred income taxes,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233,057</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2,230,607</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2,227,599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L and Note 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85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authorized 5,000,000 shares, par value $1, no shares issued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540" w:type="dxa"/>
            <w:vAlign w:val="bottom"/>
          </w:tcPr>
          <w:p>
            <w:pPr>
              <w:spacing w:after="0" w:line="206" w:lineRule="exact"/>
              <w:rPr>
                <w:sz w:val="20"/>
                <w:szCs w:val="20"/>
                <w:color w:val="auto"/>
              </w:rPr>
            </w:pPr>
            <w:r>
              <w:rPr>
                <w:rFonts w:ascii="Arial" w:cs="Arial" w:eastAsia="Arial" w:hAnsi="Arial"/>
                <w:sz w:val="18"/>
                <w:szCs w:val="18"/>
                <w:color w:val="auto"/>
              </w:rPr>
              <w:t>Common stock, authorized 1,200,000,000 shares, par value $1, issued and outstanding 628,009,022 and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628,009</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40" w:type="dxa"/>
            <w:vAlign w:val="bottom"/>
          </w:tcPr>
          <w:p>
            <w:pPr>
              <w:ind w:left="220"/>
              <w:spacing w:after="0" w:line="200" w:lineRule="exact"/>
              <w:rPr>
                <w:sz w:val="20"/>
                <w:szCs w:val="20"/>
                <w:color w:val="auto"/>
              </w:rPr>
            </w:pPr>
            <w:r>
              <w:rPr>
                <w:rFonts w:ascii="Arial" w:cs="Arial" w:eastAsia="Arial" w:hAnsi="Arial"/>
                <w:sz w:val="18"/>
                <w:szCs w:val="18"/>
                <w:color w:val="auto"/>
              </w:rPr>
              <w:t>646,319,046, respectively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646,319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(441,859)</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(694,226)</w:t>
            </w:r>
          </w:p>
        </w:tc>
        <w:tc>
          <w:tcPr>
            <w:tcW w:w="0" w:type="dxa"/>
            <w:vAlign w:val="bottom"/>
          </w:tcPr>
          <w:p>
            <w:pPr>
              <w:spacing w:after="0"/>
              <w:rPr>
                <w:sz w:val="1"/>
                <w:szCs w:val="1"/>
                <w:color w:val="auto"/>
              </w:rPr>
            </w:pPr>
          </w:p>
        </w:tc>
      </w:tr>
      <w:tr>
        <w:trPr>
          <w:trHeight w:val="203"/>
        </w:trPr>
        <w:tc>
          <w:tcPr>
            <w:tcW w:w="8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4,962,159</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4,558,506</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5,148,309</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4,510,599</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w w:val="97"/>
              </w:rPr>
              <w:t>14,058,015</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12,883,808</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56"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TJX Companies,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Fiscal Year 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7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tcPr>
          <w:p>
            <w:pPr>
              <w:jc w:val="right"/>
              <w:ind w:right="76"/>
              <w:spacing w:after="0" w:line="125" w:lineRule="exact"/>
              <w:rPr>
                <w:sz w:val="20"/>
                <w:szCs w:val="20"/>
                <w:color w:val="auto"/>
              </w:rPr>
            </w:pPr>
            <w:r>
              <w:rPr>
                <w:rFonts w:ascii="Arial" w:cs="Arial" w:eastAsia="Arial" w:hAnsi="Arial"/>
                <w:sz w:val="14"/>
                <w:szCs w:val="14"/>
                <w:b w:val="1"/>
                <w:bCs w:val="1"/>
                <w:color w:val="auto"/>
              </w:rPr>
              <w:t>February 3,</w:t>
            </w:r>
          </w:p>
        </w:tc>
        <w:tc>
          <w:tcPr>
            <w:tcW w:w="1320" w:type="dxa"/>
            <w:vAlign w:val="bottom"/>
          </w:tcPr>
          <w:p>
            <w:pPr>
              <w:jc w:val="right"/>
              <w:ind w:right="114"/>
              <w:spacing w:after="0" w:line="125" w:lineRule="exact"/>
              <w:rPr>
                <w:sz w:val="20"/>
                <w:szCs w:val="20"/>
                <w:color w:val="auto"/>
              </w:rPr>
            </w:pPr>
            <w:r>
              <w:rPr>
                <w:rFonts w:ascii="Arial" w:cs="Arial" w:eastAsia="Arial" w:hAnsi="Arial"/>
                <w:sz w:val="14"/>
                <w:szCs w:val="14"/>
                <w:color w:val="auto"/>
              </w:rPr>
              <w:t>January 28,</w:t>
            </w:r>
          </w:p>
        </w:tc>
        <w:tc>
          <w:tcPr>
            <w:tcW w:w="110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100" w:type="dxa"/>
            <w:vAlign w:val="bottom"/>
          </w:tcPr>
          <w:p>
            <w:pPr>
              <w:spacing w:after="0"/>
              <w:rPr>
                <w:sz w:val="10"/>
                <w:szCs w:val="10"/>
                <w:color w:val="auto"/>
              </w:rPr>
            </w:pPr>
          </w:p>
        </w:tc>
      </w:tr>
      <w:tr>
        <w:trPr>
          <w:trHeight w:val="165"/>
        </w:trPr>
        <w:tc>
          <w:tcPr>
            <w:tcW w:w="7220" w:type="dxa"/>
            <w:vAlign w:val="bottom"/>
          </w:tcPr>
          <w:p>
            <w:pPr>
              <w:spacing w:after="0"/>
              <w:rPr>
                <w:sz w:val="20"/>
                <w:szCs w:val="20"/>
                <w:color w:val="auto"/>
              </w:rPr>
            </w:pPr>
            <w:r>
              <w:rPr>
                <w:rFonts w:ascii="Arial" w:cs="Arial" w:eastAsia="Arial" w:hAnsi="Arial"/>
                <w:sz w:val="14"/>
                <w:szCs w:val="14"/>
                <w:color w:val="auto"/>
              </w:rPr>
              <w:t>Amounts in thousands</w:t>
            </w:r>
          </w:p>
        </w:tc>
        <w:tc>
          <w:tcPr>
            <w:tcW w:w="168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1320" w:type="dxa"/>
            <w:vAlign w:val="bottom"/>
          </w:tcPr>
          <w:p>
            <w:pPr>
              <w:jc w:val="right"/>
              <w:ind w:right="114"/>
              <w:spacing w:after="0"/>
              <w:rPr>
                <w:sz w:val="20"/>
                <w:szCs w:val="20"/>
                <w:color w:val="auto"/>
              </w:rPr>
            </w:pPr>
            <w:r>
              <w:rPr>
                <w:rFonts w:ascii="Arial" w:cs="Arial" w:eastAsia="Arial" w:hAnsi="Arial"/>
                <w:sz w:val="14"/>
                <w:szCs w:val="14"/>
                <w:color w:val="auto"/>
              </w:rPr>
              <w:t>2017</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2016</w:t>
            </w:r>
          </w:p>
        </w:tc>
      </w:tr>
      <w:tr>
        <w:trPr>
          <w:trHeight w:val="156"/>
        </w:trPr>
        <w:tc>
          <w:tcPr>
            <w:tcW w:w="7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color w:val="auto"/>
              </w:rPr>
              <w:t>(53 weeks)</w:t>
            </w:r>
          </w:p>
        </w:tc>
        <w:tc>
          <w:tcPr>
            <w:tcW w:w="1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$ 2,607,948</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$ 2,298,234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$ 2,277,658</w:t>
            </w:r>
          </w:p>
        </w:tc>
        <w:tc>
          <w:tcPr>
            <w:tcW w:w="100" w:type="dxa"/>
            <w:vAlign w:val="bottom"/>
          </w:tcPr>
          <w:p>
            <w:pPr>
              <w:spacing w:after="0"/>
              <w:rPr>
                <w:sz w:val="17"/>
                <w:szCs w:val="17"/>
                <w:color w:val="auto"/>
              </w:rPr>
            </w:pP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725,957</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658,796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616,696</w:t>
            </w:r>
          </w:p>
        </w:tc>
        <w:tc>
          <w:tcPr>
            <w:tcW w:w="100" w:type="dxa"/>
            <w:vAlign w:val="bottom"/>
          </w:tcPr>
          <w:p>
            <w:pPr>
              <w:spacing w:after="0"/>
              <w:rPr>
                <w:sz w:val="17"/>
                <w:szCs w:val="17"/>
                <w:color w:val="auto"/>
              </w:rPr>
            </w:pP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property disposals and impairment charges</w:t>
            </w:r>
          </w:p>
        </w:tc>
        <w:tc>
          <w:tcPr>
            <w:tcW w:w="16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8,871</w:t>
            </w:r>
          </w:p>
        </w:tc>
        <w:tc>
          <w:tcPr>
            <w:tcW w:w="13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5,207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Deferred income tax (benefit) provision</w:t>
            </w:r>
          </w:p>
        </w:tc>
        <w:tc>
          <w:tcPr>
            <w:tcW w:w="16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auto"/>
              </w:rPr>
              <w:t>(137,440)</w:t>
            </w:r>
          </w:p>
        </w:tc>
        <w:tc>
          <w:tcPr>
            <w:tcW w:w="13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(5,503)</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31,204</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Share-based compensation</w:t>
            </w:r>
          </w:p>
        </w:tc>
        <w:tc>
          <w:tcPr>
            <w:tcW w:w="16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101,362</w:t>
            </w:r>
          </w:p>
        </w:tc>
        <w:tc>
          <w:tcPr>
            <w:tcW w:w="13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102,251</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94,107</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Impairment of goodwill and long-lived assets, related to STP</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99,250</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early extinguishment of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51,773</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Pension settlement charge</w:t>
            </w:r>
          </w:p>
        </w:tc>
        <w:tc>
          <w:tcPr>
            <w:tcW w:w="560" w:type="dxa"/>
            <w:vAlign w:val="bottom"/>
          </w:tcPr>
          <w:p>
            <w:pPr>
              <w:spacing w:after="0"/>
              <w:rPr>
                <w:sz w:val="17"/>
                <w:szCs w:val="17"/>
                <w:color w:val="auto"/>
              </w:rPr>
            </w:pP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31,173</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(70,999)</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(64,680)</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in accounts receivable</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(62,358)</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(23,235)</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(27,357)</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(Increase) decrease in merchandise inventories</w:t>
            </w:r>
          </w:p>
        </w:tc>
        <w:tc>
          <w:tcPr>
            <w:tcW w:w="16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auto"/>
              </w:rPr>
              <w:t>(450,377)</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11,862</w:t>
            </w: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(506,633)</w:t>
            </w: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in prepaid expenses and other current assets</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(317,850)</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(9,600)</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(40,103)</w:t>
            </w: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Increase in accounts payable</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205,111</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48,253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216,265</w:t>
            </w:r>
          </w:p>
        </w:tc>
        <w:tc>
          <w:tcPr>
            <w:tcW w:w="100" w:type="dxa"/>
            <w:vAlign w:val="bottom"/>
          </w:tcPr>
          <w:p>
            <w:pPr>
              <w:spacing w:after="0"/>
              <w:rPr>
                <w:sz w:val="17"/>
                <w:szCs w:val="17"/>
                <w:color w:val="auto"/>
              </w:rPr>
            </w:pPr>
          </w:p>
        </w:tc>
      </w:tr>
      <w:tr>
        <w:trPr>
          <w:trHeight w:val="203"/>
        </w:trPr>
        <w:tc>
          <w:tcPr>
            <w:tcW w:w="7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Increase in accrued expenses and other liabilities</w:t>
            </w:r>
          </w:p>
        </w:tc>
        <w:tc>
          <w:tcPr>
            <w:tcW w:w="16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334,522</w:t>
            </w:r>
          </w:p>
        </w:tc>
        <w:tc>
          <w:tcPr>
            <w:tcW w:w="13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389,399</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284,929</w:t>
            </w: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440"/>
              <w:spacing w:after="0" w:line="202" w:lineRule="exact"/>
              <w:rPr>
                <w:sz w:val="20"/>
                <w:szCs w:val="20"/>
                <w:color w:val="auto"/>
              </w:rPr>
            </w:pPr>
            <w:r>
              <w:rPr>
                <w:rFonts w:ascii="Arial" w:cs="Arial" w:eastAsia="Arial" w:hAnsi="Arial"/>
                <w:sz w:val="18"/>
                <w:szCs w:val="18"/>
                <w:color w:val="auto"/>
              </w:rPr>
              <w:t>(Decrease) increase in income taxes payable</w:t>
            </w:r>
          </w:p>
        </w:tc>
        <w:tc>
          <w:tcPr>
            <w:tcW w:w="16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auto"/>
              </w:rPr>
              <w:t>(94,492)</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146,766</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68,014</w:t>
            </w:r>
          </w:p>
        </w:tc>
      </w:tr>
      <w:tr>
        <w:trPr>
          <w:trHeight w:val="203"/>
        </w:trPr>
        <w:tc>
          <w:tcPr>
            <w:tcW w:w="72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5,120</w:t>
            </w:r>
          </w:p>
        </w:tc>
        <w:tc>
          <w:tcPr>
            <w:tcW w:w="13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(7,518)</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3,432</w:t>
            </w:r>
          </w:p>
        </w:tc>
        <w:tc>
          <w:tcPr>
            <w:tcW w:w="100" w:type="dxa"/>
            <w:vAlign w:val="bottom"/>
            <w:tcBorders>
              <w:bottom w:val="single" w:sz="8" w:color="auto"/>
            </w:tcBorders>
            <w:shd w:val="clear" w:color="auto" w:fill="CCEEFF"/>
          </w:tcPr>
          <w:p>
            <w:pPr>
              <w:spacing w:after="0"/>
              <w:rPr>
                <w:sz w:val="17"/>
                <w:szCs w:val="17"/>
                <w:color w:val="auto"/>
              </w:rPr>
            </w:pPr>
          </w:p>
        </w:tc>
      </w:tr>
      <w:tr>
        <w:trPr>
          <w:trHeight w:val="196"/>
        </w:trPr>
        <w:tc>
          <w:tcPr>
            <w:tcW w:w="72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80" w:type="dxa"/>
            <w:vAlign w:val="bottom"/>
            <w:tcBorders>
              <w:bottom w:val="single" w:sz="8" w:color="auto"/>
            </w:tcBorders>
            <w:gridSpan w:val="2"/>
          </w:tcPr>
          <w:p>
            <w:pPr>
              <w:jc w:val="right"/>
              <w:ind w:right="76"/>
              <w:spacing w:after="0" w:line="196" w:lineRule="exact"/>
              <w:rPr>
                <w:sz w:val="20"/>
                <w:szCs w:val="20"/>
                <w:color w:val="auto"/>
              </w:rPr>
            </w:pPr>
            <w:r>
              <w:rPr>
                <w:rFonts w:ascii="Arial" w:cs="Arial" w:eastAsia="Arial" w:hAnsi="Arial"/>
                <w:sz w:val="18"/>
                <w:szCs w:val="18"/>
                <w:b w:val="1"/>
                <w:bCs w:val="1"/>
                <w:color w:val="auto"/>
              </w:rPr>
              <w:t>3,025,624</w:t>
            </w:r>
          </w:p>
        </w:tc>
        <w:tc>
          <w:tcPr>
            <w:tcW w:w="132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3,626,859</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2,956,915</w:t>
            </w:r>
          </w:p>
        </w:tc>
        <w:tc>
          <w:tcPr>
            <w:tcW w:w="100" w:type="dxa"/>
            <w:vAlign w:val="bottom"/>
            <w:tcBorders>
              <w:bottom w:val="single" w:sz="8" w:color="auto"/>
            </w:tcBorders>
          </w:tcPr>
          <w:p>
            <w:pPr>
              <w:spacing w:after="0"/>
              <w:rPr>
                <w:sz w:val="17"/>
                <w:szCs w:val="17"/>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Property additions</w:t>
            </w:r>
          </w:p>
        </w:tc>
        <w:tc>
          <w:tcPr>
            <w:tcW w:w="16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auto"/>
              </w:rPr>
              <w:t>(1,057,617)</w:t>
            </w:r>
          </w:p>
        </w:tc>
        <w:tc>
          <w:tcPr>
            <w:tcW w:w="13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(1,024,747)</w:t>
            </w: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(889,380)</w:t>
            </w: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Purchases of investments</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(861,256)</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(716,953)</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(798,008)</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Sales and maturities of investments</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906,137</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529,146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681,377</w:t>
            </w:r>
          </w:p>
        </w:tc>
        <w:tc>
          <w:tcPr>
            <w:tcW w:w="100" w:type="dxa"/>
            <w:vAlign w:val="bottom"/>
          </w:tcPr>
          <w:p>
            <w:pPr>
              <w:spacing w:after="0"/>
              <w:rPr>
                <w:sz w:val="17"/>
                <w:szCs w:val="17"/>
                <w:color w:val="auto"/>
              </w:rPr>
            </w:pPr>
          </w:p>
        </w:tc>
      </w:tr>
      <w:tr>
        <w:trPr>
          <w:trHeight w:val="203"/>
        </w:trPr>
        <w:tc>
          <w:tcPr>
            <w:tcW w:w="72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of Trade Secret</w:t>
            </w: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(2,324)</w:t>
            </w:r>
          </w:p>
        </w:tc>
        <w:tc>
          <w:tcPr>
            <w:tcW w:w="12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(57,104)</w:t>
            </w:r>
          </w:p>
        </w:tc>
      </w:tr>
      <w:tr>
        <w:trPr>
          <w:trHeight w:val="196"/>
        </w:trPr>
        <w:tc>
          <w:tcPr>
            <w:tcW w:w="72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Net cash (used in) investing activities</w:t>
            </w:r>
          </w:p>
        </w:tc>
        <w:tc>
          <w:tcPr>
            <w:tcW w:w="1680" w:type="dxa"/>
            <w:vAlign w:val="bottom"/>
            <w:tcBorders>
              <w:bottom w:val="single" w:sz="8" w:color="auto"/>
            </w:tcBorders>
            <w:gridSpan w:val="2"/>
          </w:tcPr>
          <w:p>
            <w:pPr>
              <w:jc w:val="right"/>
              <w:ind w:right="16"/>
              <w:spacing w:after="0" w:line="196" w:lineRule="exact"/>
              <w:rPr>
                <w:sz w:val="20"/>
                <w:szCs w:val="20"/>
                <w:color w:val="auto"/>
              </w:rPr>
            </w:pPr>
            <w:r>
              <w:rPr>
                <w:rFonts w:ascii="Arial" w:cs="Arial" w:eastAsia="Arial" w:hAnsi="Arial"/>
                <w:sz w:val="18"/>
                <w:szCs w:val="18"/>
                <w:b w:val="1"/>
                <w:bCs w:val="1"/>
                <w:color w:val="auto"/>
              </w:rPr>
              <w:t>(1,012,736)</w:t>
            </w:r>
          </w:p>
        </w:tc>
        <w:tc>
          <w:tcPr>
            <w:tcW w:w="13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(1,214,878)</w:t>
            </w:r>
          </w:p>
        </w:tc>
        <w:tc>
          <w:tcPr>
            <w:tcW w:w="12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(1,063,115)</w:t>
            </w: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Proceeds from issuance of long-term debt</w:t>
            </w:r>
          </w:p>
        </w:tc>
        <w:tc>
          <w:tcPr>
            <w:tcW w:w="560" w:type="dxa"/>
            <w:vAlign w:val="bottom"/>
          </w:tcPr>
          <w:p>
            <w:pPr>
              <w:spacing w:after="0"/>
              <w:rPr>
                <w:sz w:val="17"/>
                <w:szCs w:val="17"/>
                <w:color w:val="auto"/>
              </w:rPr>
            </w:pP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992,540</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payments for extinguishment of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(425,584)</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Cash payments for debt issuance expenses</w:t>
            </w:r>
          </w:p>
        </w:tc>
        <w:tc>
          <w:tcPr>
            <w:tcW w:w="560" w:type="dxa"/>
            <w:vAlign w:val="bottom"/>
          </w:tcPr>
          <w:p>
            <w:pPr>
              <w:spacing w:after="0"/>
              <w:rPr>
                <w:sz w:val="17"/>
                <w:szCs w:val="17"/>
                <w:color w:val="auto"/>
              </w:rPr>
            </w:pP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(9,921)</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payments on build to suit leases</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(3,138)</w:t>
            </w:r>
          </w:p>
        </w:tc>
        <w:tc>
          <w:tcPr>
            <w:tcW w:w="13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Cash payments for rate lock agreement</w:t>
            </w:r>
          </w:p>
        </w:tc>
        <w:tc>
          <w:tcPr>
            <w:tcW w:w="560" w:type="dxa"/>
            <w:vAlign w:val="bottom"/>
          </w:tcPr>
          <w:p>
            <w:pPr>
              <w:spacing w:after="0"/>
              <w:rPr>
                <w:sz w:val="17"/>
                <w:szCs w:val="17"/>
                <w:color w:val="auto"/>
              </w:rPr>
            </w:pP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(3,150)</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payments for repurchase of common stock</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(1,644,581)</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(1,699,998)</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(1,828,297)</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Proceeds from issuance of common stock</w:t>
            </w:r>
          </w:p>
        </w:tc>
        <w:tc>
          <w:tcPr>
            <w:tcW w:w="1680" w:type="dxa"/>
            <w:vAlign w:val="bottom"/>
            <w:gridSpan w:val="2"/>
          </w:tcPr>
          <w:p>
            <w:pPr>
              <w:jc w:val="right"/>
              <w:ind w:right="76"/>
              <w:spacing w:after="0" w:line="202" w:lineRule="exact"/>
              <w:rPr>
                <w:sz w:val="20"/>
                <w:szCs w:val="20"/>
                <w:color w:val="auto"/>
              </w:rPr>
            </w:pPr>
            <w:r>
              <w:rPr>
                <w:rFonts w:ascii="Arial" w:cs="Arial" w:eastAsia="Arial" w:hAnsi="Arial"/>
                <w:sz w:val="18"/>
                <w:szCs w:val="18"/>
                <w:b w:val="1"/>
                <w:bCs w:val="1"/>
                <w:color w:val="auto"/>
              </w:rPr>
              <w:t>133,687</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164,190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132,033</w:t>
            </w:r>
          </w:p>
        </w:tc>
        <w:tc>
          <w:tcPr>
            <w:tcW w:w="100" w:type="dxa"/>
            <w:vAlign w:val="bottom"/>
          </w:tcPr>
          <w:p>
            <w:pPr>
              <w:spacing w:after="0"/>
              <w:rPr>
                <w:sz w:val="17"/>
                <w:szCs w:val="17"/>
                <w:color w:val="auto"/>
              </w:rPr>
            </w:pPr>
          </w:p>
        </w:tc>
      </w:tr>
      <w:tr>
        <w:trPr>
          <w:trHeight w:val="203"/>
        </w:trPr>
        <w:tc>
          <w:tcPr>
            <w:tcW w:w="7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payments of employee tax withholdings for performance based stock awards</w:t>
            </w:r>
          </w:p>
        </w:tc>
        <w:tc>
          <w:tcPr>
            <w:tcW w:w="1680" w:type="dxa"/>
            <w:vAlign w:val="bottom"/>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(19,274)</w:t>
            </w:r>
          </w:p>
        </w:tc>
        <w:tc>
          <w:tcPr>
            <w:tcW w:w="13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(24,965)</w:t>
            </w: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(19,572)</w:t>
            </w: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Excess tax benefits from share-based compensation</w:t>
            </w:r>
          </w:p>
        </w:tc>
        <w:tc>
          <w:tcPr>
            <w:tcW w:w="560" w:type="dxa"/>
            <w:vAlign w:val="bottom"/>
          </w:tcPr>
          <w:p>
            <w:pPr>
              <w:spacing w:after="0"/>
              <w:rPr>
                <w:sz w:val="17"/>
                <w:szCs w:val="17"/>
                <w:color w:val="auto"/>
              </w:rPr>
            </w:pP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70,999</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64,680</w:t>
            </w:r>
          </w:p>
        </w:tc>
      </w:tr>
      <w:tr>
        <w:trPr>
          <w:trHeight w:val="203"/>
        </w:trPr>
        <w:tc>
          <w:tcPr>
            <w:tcW w:w="72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Cash dividends paid</w:t>
            </w:r>
          </w:p>
        </w:tc>
        <w:tc>
          <w:tcPr>
            <w:tcW w:w="1680" w:type="dxa"/>
            <w:vAlign w:val="bottom"/>
            <w:tcBorders>
              <w:bottom w:val="single" w:sz="8" w:color="auto"/>
            </w:tcBorders>
            <w:gridSpan w:val="2"/>
            <w:shd w:val="clear" w:color="auto" w:fill="CCEEFF"/>
          </w:tcPr>
          <w:p>
            <w:pPr>
              <w:jc w:val="right"/>
              <w:ind w:right="16"/>
              <w:spacing w:after="0" w:line="202" w:lineRule="exact"/>
              <w:rPr>
                <w:sz w:val="20"/>
                <w:szCs w:val="20"/>
                <w:color w:val="auto"/>
              </w:rPr>
            </w:pPr>
            <w:r>
              <w:rPr>
                <w:rFonts w:ascii="Arial" w:cs="Arial" w:eastAsia="Arial" w:hAnsi="Arial"/>
                <w:sz w:val="18"/>
                <w:szCs w:val="18"/>
                <w:b w:val="1"/>
                <w:bCs w:val="1"/>
                <w:color w:val="auto"/>
              </w:rPr>
              <w:t>(764,040)</w:t>
            </w:r>
          </w:p>
        </w:tc>
        <w:tc>
          <w:tcPr>
            <w:tcW w:w="13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(650,988)</w:t>
            </w:r>
          </w:p>
        </w:tc>
        <w:tc>
          <w:tcPr>
            <w:tcW w:w="12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(544,271)</w:t>
            </w:r>
          </w:p>
        </w:tc>
      </w:tr>
      <w:tr>
        <w:trPr>
          <w:trHeight w:val="196"/>
        </w:trPr>
        <w:tc>
          <w:tcPr>
            <w:tcW w:w="72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Net cash (used in) financing activities</w:t>
            </w:r>
          </w:p>
        </w:tc>
        <w:tc>
          <w:tcPr>
            <w:tcW w:w="1680" w:type="dxa"/>
            <w:vAlign w:val="bottom"/>
            <w:tcBorders>
              <w:bottom w:val="single" w:sz="8" w:color="auto"/>
            </w:tcBorders>
            <w:gridSpan w:val="2"/>
          </w:tcPr>
          <w:p>
            <w:pPr>
              <w:jc w:val="right"/>
              <w:ind w:right="16"/>
              <w:spacing w:after="0" w:line="196" w:lineRule="exact"/>
              <w:rPr>
                <w:sz w:val="20"/>
                <w:szCs w:val="20"/>
                <w:color w:val="auto"/>
              </w:rPr>
            </w:pPr>
            <w:r>
              <w:rPr>
                <w:rFonts w:ascii="Arial" w:cs="Arial" w:eastAsia="Arial" w:hAnsi="Arial"/>
                <w:sz w:val="18"/>
                <w:szCs w:val="18"/>
                <w:b w:val="1"/>
                <w:bCs w:val="1"/>
                <w:color w:val="auto"/>
              </w:rPr>
              <w:t>(2,297,346)</w:t>
            </w:r>
          </w:p>
        </w:tc>
        <w:tc>
          <w:tcPr>
            <w:tcW w:w="13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(1,586,877)</w:t>
            </w:r>
          </w:p>
        </w:tc>
        <w:tc>
          <w:tcPr>
            <w:tcW w:w="120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(2,195,427)</w:t>
            </w:r>
          </w:p>
        </w:tc>
      </w:tr>
      <w:tr>
        <w:trPr>
          <w:trHeight w:val="196"/>
        </w:trPr>
        <w:tc>
          <w:tcPr>
            <w:tcW w:w="722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Effect of exchange rate changes on cash</w:t>
            </w:r>
          </w:p>
        </w:tc>
        <w:tc>
          <w:tcPr>
            <w:tcW w:w="1680" w:type="dxa"/>
            <w:vAlign w:val="bottom"/>
            <w:tcBorders>
              <w:bottom w:val="single" w:sz="8" w:color="auto"/>
            </w:tcBorders>
            <w:gridSpan w:val="2"/>
            <w:shd w:val="clear" w:color="auto" w:fill="CCEEFF"/>
          </w:tcPr>
          <w:p>
            <w:pPr>
              <w:jc w:val="right"/>
              <w:ind w:right="76"/>
              <w:spacing w:after="0" w:line="196" w:lineRule="exact"/>
              <w:rPr>
                <w:sz w:val="20"/>
                <w:szCs w:val="20"/>
                <w:color w:val="auto"/>
              </w:rPr>
            </w:pPr>
            <w:r>
              <w:rPr>
                <w:rFonts w:ascii="Arial" w:cs="Arial" w:eastAsia="Arial" w:hAnsi="Arial"/>
                <w:sz w:val="18"/>
                <w:szCs w:val="18"/>
                <w:b w:val="1"/>
                <w:bCs w:val="1"/>
                <w:color w:val="auto"/>
              </w:rPr>
              <w:t>113,086</w:t>
            </w:r>
          </w:p>
        </w:tc>
        <w:tc>
          <w:tcPr>
            <w:tcW w:w="132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9,272</w:t>
            </w:r>
          </w:p>
        </w:tc>
        <w:tc>
          <w:tcPr>
            <w:tcW w:w="120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(96,675)</w:t>
            </w:r>
          </w:p>
        </w:tc>
      </w:tr>
      <w:tr>
        <w:trPr>
          <w:trHeight w:val="196"/>
        </w:trPr>
        <w:tc>
          <w:tcPr>
            <w:tcW w:w="7220" w:type="dxa"/>
            <w:vAlign w:val="bottom"/>
          </w:tcPr>
          <w:p>
            <w:pPr>
              <w:ind w:left="2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1680" w:type="dxa"/>
            <w:vAlign w:val="bottom"/>
            <w:gridSpan w:val="2"/>
          </w:tcPr>
          <w:p>
            <w:pPr>
              <w:jc w:val="right"/>
              <w:ind w:right="16"/>
              <w:spacing w:after="0" w:line="196" w:lineRule="exact"/>
              <w:rPr>
                <w:sz w:val="20"/>
                <w:szCs w:val="20"/>
                <w:color w:val="auto"/>
              </w:rPr>
            </w:pPr>
            <w:r>
              <w:rPr>
                <w:rFonts w:ascii="Arial" w:cs="Arial" w:eastAsia="Arial" w:hAnsi="Arial"/>
                <w:sz w:val="18"/>
                <w:szCs w:val="18"/>
                <w:b w:val="1"/>
                <w:bCs w:val="1"/>
                <w:color w:val="auto"/>
              </w:rPr>
              <w:t>(171,372)</w:t>
            </w:r>
          </w:p>
        </w:tc>
        <w:tc>
          <w:tcPr>
            <w:tcW w:w="132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834,376</w:t>
            </w: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(398,302)</w:t>
            </w:r>
          </w:p>
        </w:tc>
      </w:tr>
      <w:tr>
        <w:trPr>
          <w:trHeight w:val="203"/>
        </w:trPr>
        <w:tc>
          <w:tcPr>
            <w:tcW w:w="72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680" w:type="dxa"/>
            <w:vAlign w:val="bottom"/>
            <w:tcBorders>
              <w:bottom w:val="single" w:sz="8" w:color="auto"/>
            </w:tcBorders>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b w:val="1"/>
                <w:bCs w:val="1"/>
                <w:color w:val="auto"/>
              </w:rPr>
              <w:t>2,929,849</w:t>
            </w:r>
          </w:p>
        </w:tc>
        <w:tc>
          <w:tcPr>
            <w:tcW w:w="132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2,095,473</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2,493,775</w:t>
            </w:r>
          </w:p>
        </w:tc>
        <w:tc>
          <w:tcPr>
            <w:tcW w:w="100" w:type="dxa"/>
            <w:vAlign w:val="bottom"/>
            <w:tcBorders>
              <w:bottom w:val="single" w:sz="8" w:color="auto"/>
            </w:tcBorders>
            <w:shd w:val="clear" w:color="auto" w:fill="CCEEFF"/>
          </w:tcPr>
          <w:p>
            <w:pPr>
              <w:spacing w:after="0"/>
              <w:rPr>
                <w:sz w:val="17"/>
                <w:szCs w:val="17"/>
                <w:color w:val="auto"/>
              </w:rPr>
            </w:pPr>
          </w:p>
        </w:tc>
      </w:tr>
      <w:tr>
        <w:trPr>
          <w:trHeight w:val="196"/>
        </w:trPr>
        <w:tc>
          <w:tcPr>
            <w:tcW w:w="722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Cash and cash equivalents at end of year</w:t>
            </w:r>
          </w:p>
        </w:tc>
        <w:tc>
          <w:tcPr>
            <w:tcW w:w="1680" w:type="dxa"/>
            <w:vAlign w:val="bottom"/>
            <w:tcBorders>
              <w:bottom w:val="single" w:sz="8" w:color="auto"/>
            </w:tcBorders>
            <w:gridSpan w:val="2"/>
          </w:tcPr>
          <w:p>
            <w:pPr>
              <w:jc w:val="right"/>
              <w:ind w:right="76"/>
              <w:spacing w:after="0" w:line="196" w:lineRule="exact"/>
              <w:rPr>
                <w:sz w:val="20"/>
                <w:szCs w:val="20"/>
                <w:color w:val="auto"/>
              </w:rPr>
            </w:pPr>
            <w:r>
              <w:rPr>
                <w:rFonts w:ascii="Arial" w:cs="Arial" w:eastAsia="Arial" w:hAnsi="Arial"/>
                <w:sz w:val="18"/>
                <w:szCs w:val="18"/>
                <w:b w:val="1"/>
                <w:bCs w:val="1"/>
                <w:color w:val="auto"/>
              </w:rPr>
              <w:t>$ 2,758,477</w:t>
            </w:r>
          </w:p>
        </w:tc>
        <w:tc>
          <w:tcPr>
            <w:tcW w:w="132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$ 2,929,849</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$ 2,095,473</w:t>
            </w:r>
          </w:p>
        </w:tc>
        <w:tc>
          <w:tcPr>
            <w:tcW w:w="100" w:type="dxa"/>
            <w:vAlign w:val="bottom"/>
            <w:tcBorders>
              <w:bottom w:val="single" w:sz="8" w:color="auto"/>
            </w:tcBorders>
          </w:tcPr>
          <w:p>
            <w:pPr>
              <w:spacing w:after="0"/>
              <w:rPr>
                <w:sz w:val="17"/>
                <w:szCs w:val="17"/>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56"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TJX Companies, Inc.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60" w:type="dxa"/>
            <w:vAlign w:val="bottom"/>
          </w:tcPr>
          <w:p>
            <w:pPr>
              <w:spacing w:after="0"/>
              <w:rPr>
                <w:sz w:val="14"/>
                <w:szCs w:val="14"/>
                <w:color w:val="auto"/>
              </w:rPr>
            </w:pPr>
          </w:p>
        </w:tc>
        <w:tc>
          <w:tcPr>
            <w:tcW w:w="2080" w:type="dxa"/>
            <w:vAlign w:val="bottom"/>
            <w:gridSpan w:val="2"/>
          </w:tcPr>
          <w:p>
            <w:pPr>
              <w:jc w:val="right"/>
              <w:ind w:right="434"/>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Accumulated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gridSpan w:val="2"/>
            <w:vMerge w:val="restart"/>
          </w:tcPr>
          <w:p>
            <w:pPr>
              <w:jc w:val="right"/>
              <w:ind w:right="120"/>
              <w:spacing w:after="0" w:line="135" w:lineRule="exact"/>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2"/>
                <w:szCs w:val="2"/>
                <w:color w:val="auto"/>
              </w:rPr>
            </w:pPr>
          </w:p>
        </w:tc>
        <w:tc>
          <w:tcPr>
            <w:tcW w:w="980" w:type="dxa"/>
            <w:vAlign w:val="bottom"/>
            <w:gridSpan w:val="2"/>
            <w:vMerge w:val="restart"/>
          </w:tcPr>
          <w:p>
            <w:pPr>
              <w:jc w:val="right"/>
              <w:ind w:right="120"/>
              <w:spacing w:after="0" w:line="135" w:lineRule="exact"/>
              <w:rPr>
                <w:sz w:val="20"/>
                <w:szCs w:val="20"/>
                <w:color w:val="auto"/>
              </w:rPr>
            </w:pPr>
            <w:r>
              <w:rPr>
                <w:rFonts w:ascii="Arial" w:cs="Arial" w:eastAsia="Arial" w:hAnsi="Arial"/>
                <w:sz w:val="14"/>
                <w:szCs w:val="14"/>
                <w:color w:val="auto"/>
              </w:rPr>
              <w:t>Other</w:t>
            </w: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jc w:val="right"/>
              <w:ind w:right="34"/>
              <w:spacing w:after="0" w:line="149" w:lineRule="exact"/>
              <w:rPr>
                <w:sz w:val="20"/>
                <w:szCs w:val="20"/>
                <w:color w:val="auto"/>
              </w:rPr>
            </w:pPr>
            <w:r>
              <w:rPr>
                <w:rFonts w:ascii="Arial" w:cs="Arial" w:eastAsia="Arial" w:hAnsi="Arial"/>
                <w:sz w:val="14"/>
                <w:szCs w:val="14"/>
                <w:color w:val="auto"/>
              </w:rPr>
              <w:t>Par Value</w:t>
            </w:r>
          </w:p>
        </w:tc>
        <w:tc>
          <w:tcPr>
            <w:tcW w:w="3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Paid-In</w:t>
            </w:r>
          </w:p>
        </w:tc>
        <w:tc>
          <w:tcPr>
            <w:tcW w:w="12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Comprehensive</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Retained</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20"/>
                <w:szCs w:val="20"/>
                <w:color w:val="auto"/>
              </w:rPr>
            </w:pPr>
            <w:r>
              <w:rPr>
                <w:rFonts w:ascii="Arial" w:cs="Arial" w:eastAsia="Arial" w:hAnsi="Arial"/>
                <w:sz w:val="14"/>
                <w:szCs w:val="14"/>
                <w:color w:val="auto"/>
              </w:rPr>
              <w:t>Amounts in thousands</w:t>
            </w:r>
          </w:p>
        </w:tc>
        <w:tc>
          <w:tcPr>
            <w:tcW w:w="1100" w:type="dxa"/>
            <w:vAlign w:val="bottom"/>
          </w:tcPr>
          <w:p>
            <w:pPr>
              <w:jc w:val="right"/>
              <w:ind w:right="114"/>
              <w:spacing w:after="0"/>
              <w:rPr>
                <w:sz w:val="20"/>
                <w:szCs w:val="20"/>
                <w:color w:val="auto"/>
              </w:rPr>
            </w:pPr>
            <w:r>
              <w:rPr>
                <w:rFonts w:ascii="Arial" w:cs="Arial" w:eastAsia="Arial" w:hAnsi="Arial"/>
                <w:sz w:val="14"/>
                <w:szCs w:val="14"/>
                <w:color w:val="auto"/>
              </w:rPr>
              <w:t>Shares</w:t>
            </w: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Capital</w:t>
            </w:r>
          </w:p>
        </w:tc>
        <w:tc>
          <w:tcPr>
            <w:tcW w:w="3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Income (Loss)</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Earnings</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January 31, 2015</w:t>
            </w:r>
          </w:p>
        </w:tc>
        <w:tc>
          <w:tcPr>
            <w:tcW w:w="110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684,733</w:t>
            </w:r>
          </w:p>
        </w:tc>
        <w:tc>
          <w:tcPr>
            <w:tcW w:w="98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$684,733</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(554,385)</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$ 4,133,882</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$ 4,264,230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2,277,658</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2,277,658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(113,087)</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(113,087)</w:t>
            </w: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Cash dividends declared on common stock</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(564,586)</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(564,586)</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Recognition of share-based compensation</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94,107</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94,107</w:t>
            </w:r>
          </w:p>
        </w:tc>
        <w:tc>
          <w:tcPr>
            <w:tcW w:w="0" w:type="dxa"/>
            <w:vAlign w:val="bottom"/>
          </w:tcPr>
          <w:p>
            <w:pPr>
              <w:spacing w:after="0"/>
              <w:rPr>
                <w:sz w:val="1"/>
                <w:szCs w:val="1"/>
                <w:color w:val="auto"/>
              </w:rPr>
            </w:pPr>
          </w:p>
        </w:tc>
      </w:tr>
      <w:tr>
        <w:trPr>
          <w:trHeight w:val="206"/>
        </w:trPr>
        <w:tc>
          <w:tcPr>
            <w:tcW w:w="4360" w:type="dxa"/>
            <w:vAlign w:val="bottom"/>
          </w:tcPr>
          <w:p>
            <w:pPr>
              <w:spacing w:after="0" w:line="206" w:lineRule="exact"/>
              <w:rPr>
                <w:sz w:val="20"/>
                <w:szCs w:val="20"/>
                <w:color w:val="auto"/>
              </w:rPr>
            </w:pPr>
            <w:r>
              <w:rPr>
                <w:rFonts w:ascii="Arial" w:cs="Arial" w:eastAsia="Arial" w:hAnsi="Arial"/>
                <w:sz w:val="18"/>
                <w:szCs w:val="18"/>
                <w:color w:val="auto"/>
              </w:rPr>
              <w:t>Issuance of common stock under stock incentive plan</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Pr>
          <w:p>
            <w:pPr>
              <w:ind w:left="220"/>
              <w:spacing w:after="0" w:line="200" w:lineRule="exact"/>
              <w:rPr>
                <w:sz w:val="20"/>
                <w:szCs w:val="20"/>
                <w:color w:val="auto"/>
              </w:rPr>
            </w:pPr>
            <w:r>
              <w:rPr>
                <w:rFonts w:ascii="Arial" w:cs="Arial" w:eastAsia="Arial" w:hAnsi="Arial"/>
                <w:sz w:val="18"/>
                <w:szCs w:val="18"/>
                <w:color w:val="auto"/>
              </w:rPr>
              <w:t>and related tax effect</w:t>
            </w:r>
          </w:p>
        </w:tc>
        <w:tc>
          <w:tcPr>
            <w:tcW w:w="1100" w:type="dxa"/>
            <w:vAlign w:val="bottom"/>
          </w:tcPr>
          <w:p>
            <w:pPr>
              <w:jc w:val="right"/>
              <w:ind w:right="114"/>
              <w:spacing w:after="0" w:line="200" w:lineRule="exact"/>
              <w:rPr>
                <w:sz w:val="20"/>
                <w:szCs w:val="20"/>
                <w:color w:val="auto"/>
              </w:rPr>
            </w:pPr>
            <w:r>
              <w:rPr>
                <w:rFonts w:ascii="Arial" w:cs="Arial" w:eastAsia="Arial" w:hAnsi="Arial"/>
                <w:sz w:val="18"/>
                <w:szCs w:val="18"/>
                <w:color w:val="auto"/>
              </w:rPr>
              <w:t>5,317</w:t>
            </w:r>
          </w:p>
        </w:tc>
        <w:tc>
          <w:tcPr>
            <w:tcW w:w="9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5,317</w:t>
            </w:r>
          </w:p>
        </w:tc>
        <w:tc>
          <w:tcPr>
            <w:tcW w:w="32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171,733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177,050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repurchased</w:t>
            </w:r>
          </w:p>
        </w:tc>
        <w:tc>
          <w:tcPr>
            <w:tcW w:w="11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(26,554)</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(26,554)</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(265,840)</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(1,535,903)</w:t>
            </w:r>
          </w:p>
        </w:tc>
        <w:tc>
          <w:tcPr>
            <w:tcW w:w="12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(1,828,297)</w:t>
            </w:r>
          </w:p>
        </w:tc>
        <w:tc>
          <w:tcPr>
            <w:tcW w:w="0" w:type="dxa"/>
            <w:vAlign w:val="bottom"/>
          </w:tcPr>
          <w:p>
            <w:pPr>
              <w:spacing w:after="0"/>
              <w:rPr>
                <w:sz w:val="1"/>
                <w:szCs w:val="1"/>
                <w:color w:val="auto"/>
              </w:rPr>
            </w:pPr>
          </w:p>
        </w:tc>
      </w:tr>
      <w:tr>
        <w:trPr>
          <w:trHeight w:val="196"/>
        </w:trPr>
        <w:tc>
          <w:tcPr>
            <w:tcW w:w="436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January 30, 2016</w:t>
            </w:r>
          </w:p>
        </w:tc>
        <w:tc>
          <w:tcPr>
            <w:tcW w:w="1100" w:type="dxa"/>
            <w:vAlign w:val="bottom"/>
          </w:tcPr>
          <w:p>
            <w:pPr>
              <w:jc w:val="right"/>
              <w:ind w:right="114"/>
              <w:spacing w:after="0" w:line="196" w:lineRule="exact"/>
              <w:rPr>
                <w:sz w:val="20"/>
                <w:szCs w:val="20"/>
                <w:color w:val="auto"/>
              </w:rPr>
            </w:pPr>
            <w:r>
              <w:rPr>
                <w:rFonts w:ascii="Arial" w:cs="Arial" w:eastAsia="Arial" w:hAnsi="Arial"/>
                <w:sz w:val="18"/>
                <w:szCs w:val="18"/>
                <w:color w:val="auto"/>
              </w:rPr>
              <w:t>663,496</w:t>
            </w:r>
          </w:p>
        </w:tc>
        <w:tc>
          <w:tcPr>
            <w:tcW w:w="980" w:type="dxa"/>
            <w:vAlign w:val="bottom"/>
          </w:tcPr>
          <w:p>
            <w:pPr>
              <w:jc w:val="right"/>
              <w:ind w:right="34"/>
              <w:spacing w:after="0" w:line="196" w:lineRule="exact"/>
              <w:rPr>
                <w:sz w:val="20"/>
                <w:szCs w:val="20"/>
                <w:color w:val="auto"/>
              </w:rPr>
            </w:pPr>
            <w:r>
              <w:rPr>
                <w:rFonts w:ascii="Arial" w:cs="Arial" w:eastAsia="Arial" w:hAnsi="Arial"/>
                <w:sz w:val="18"/>
                <w:szCs w:val="18"/>
                <w:color w:val="auto"/>
              </w:rPr>
              <w:t>663,496</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(667,472)</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4,311,051</w:t>
            </w:r>
          </w:p>
        </w:tc>
        <w:tc>
          <w:tcPr>
            <w:tcW w:w="1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4,307,075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2,298,234</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2,298,234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(26,754)</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dividends declared on common stock</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(680,183)</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(680,183)</w:t>
            </w: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Recognition of share-based compensation</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102,251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102,251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common stock under stock incentive plan</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and related tax effect</w:t>
            </w:r>
          </w:p>
        </w:tc>
        <w:tc>
          <w:tcPr>
            <w:tcW w:w="1100" w:type="dxa"/>
            <w:vAlign w:val="bottom"/>
            <w:shd w:val="clear" w:color="auto" w:fill="CCEEFF"/>
          </w:tcPr>
          <w:p>
            <w:pPr>
              <w:jc w:val="right"/>
              <w:ind w:right="114"/>
              <w:spacing w:after="0" w:line="200" w:lineRule="exact"/>
              <w:rPr>
                <w:sz w:val="20"/>
                <w:szCs w:val="20"/>
                <w:color w:val="auto"/>
              </w:rPr>
            </w:pPr>
            <w:r>
              <w:rPr>
                <w:rFonts w:ascii="Arial" w:cs="Arial" w:eastAsia="Arial" w:hAnsi="Arial"/>
                <w:sz w:val="18"/>
                <w:szCs w:val="18"/>
                <w:color w:val="auto"/>
              </w:rPr>
              <w:t>5,101</w:t>
            </w:r>
          </w:p>
        </w:tc>
        <w:tc>
          <w:tcPr>
            <w:tcW w:w="980" w:type="dxa"/>
            <w:vAlign w:val="bottom"/>
            <w:shd w:val="clear" w:color="auto" w:fill="CCEEFF"/>
          </w:tcPr>
          <w:p>
            <w:pPr>
              <w:jc w:val="right"/>
              <w:ind w:right="34"/>
              <w:spacing w:after="0" w:line="200" w:lineRule="exact"/>
              <w:rPr>
                <w:sz w:val="20"/>
                <w:szCs w:val="20"/>
                <w:color w:val="auto"/>
              </w:rPr>
            </w:pPr>
            <w:r>
              <w:rPr>
                <w:rFonts w:ascii="Arial" w:cs="Arial" w:eastAsia="Arial" w:hAnsi="Arial"/>
                <w:sz w:val="18"/>
                <w:szCs w:val="18"/>
                <w:color w:val="auto"/>
              </w:rPr>
              <w:t>5,101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204,873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209,974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Common stock repurchased</w:t>
            </w:r>
          </w:p>
        </w:tc>
        <w:tc>
          <w:tcPr>
            <w:tcW w:w="11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(22,278)</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(22,278)</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w w:val="95"/>
              </w:rPr>
              <w:t>(307,124)</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(1,370,596)</w:t>
            </w:r>
          </w:p>
        </w:tc>
        <w:tc>
          <w:tcPr>
            <w:tcW w:w="12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(1,699,998)</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January 28, 2017</w:t>
            </w:r>
          </w:p>
        </w:tc>
        <w:tc>
          <w:tcPr>
            <w:tcW w:w="110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646,319</w:t>
            </w:r>
          </w:p>
        </w:tc>
        <w:tc>
          <w:tcPr>
            <w:tcW w:w="98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646,319</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(694,226)</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4,558,506</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4,510,599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2,607,948</w:t>
            </w: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2,607,948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252,367</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Cash dividends declared on common stock</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(793,878)</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(793,878)</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Recognition of share-based compensation</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line="206" w:lineRule="exact"/>
              <w:rPr>
                <w:sz w:val="20"/>
                <w:szCs w:val="20"/>
                <w:color w:val="auto"/>
              </w:rPr>
            </w:pPr>
            <w:r>
              <w:rPr>
                <w:rFonts w:ascii="Arial" w:cs="Arial" w:eastAsia="Arial" w:hAnsi="Arial"/>
                <w:sz w:val="18"/>
                <w:szCs w:val="18"/>
                <w:color w:val="auto"/>
              </w:rPr>
              <w:t>Issuance of common stock under stock incentive plan</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60" w:type="dxa"/>
            <w:vAlign w:val="bottom"/>
          </w:tcPr>
          <w:p>
            <w:pPr>
              <w:ind w:left="220"/>
              <w:spacing w:after="0" w:line="200" w:lineRule="exact"/>
              <w:rPr>
                <w:sz w:val="20"/>
                <w:szCs w:val="20"/>
                <w:color w:val="auto"/>
              </w:rPr>
            </w:pPr>
            <w:r>
              <w:rPr>
                <w:rFonts w:ascii="Arial" w:cs="Arial" w:eastAsia="Arial" w:hAnsi="Arial"/>
                <w:sz w:val="18"/>
                <w:szCs w:val="18"/>
                <w:color w:val="auto"/>
              </w:rPr>
              <w:t>and related tax effect</w:t>
            </w:r>
          </w:p>
        </w:tc>
        <w:tc>
          <w:tcPr>
            <w:tcW w:w="1100" w:type="dxa"/>
            <w:vAlign w:val="bottom"/>
          </w:tcPr>
          <w:p>
            <w:pPr>
              <w:jc w:val="right"/>
              <w:ind w:right="114"/>
              <w:spacing w:after="0" w:line="200" w:lineRule="exact"/>
              <w:rPr>
                <w:sz w:val="20"/>
                <w:szCs w:val="20"/>
                <w:color w:val="auto"/>
              </w:rPr>
            </w:pPr>
            <w:r>
              <w:rPr>
                <w:rFonts w:ascii="Arial" w:cs="Arial" w:eastAsia="Arial" w:hAnsi="Arial"/>
                <w:sz w:val="18"/>
                <w:szCs w:val="18"/>
                <w:color w:val="auto"/>
              </w:rPr>
              <w:t>3,895</w:t>
            </w:r>
          </w:p>
        </w:tc>
        <w:tc>
          <w:tcPr>
            <w:tcW w:w="9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3,895</w:t>
            </w:r>
          </w:p>
        </w:tc>
        <w:tc>
          <w:tcPr>
            <w:tcW w:w="32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110,597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114,492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repurchased</w:t>
            </w:r>
          </w:p>
        </w:tc>
        <w:tc>
          <w:tcPr>
            <w:tcW w:w="11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(22,205)</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(22,205)</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(211,959)</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(1,410,417)</w:t>
            </w:r>
          </w:p>
        </w:tc>
        <w:tc>
          <w:tcPr>
            <w:tcW w:w="12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(1,644,581)</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Balance, February 3, 2018</w:t>
            </w:r>
          </w:p>
        </w:tc>
        <w:tc>
          <w:tcPr>
            <w:tcW w:w="11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color w:val="auto"/>
              </w:rPr>
              <w:t>628,009</w:t>
            </w:r>
          </w:p>
        </w:tc>
        <w:tc>
          <w:tcPr>
            <w:tcW w:w="9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$628,009</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(441,859)</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$ 4,962,159</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$ 5,148,309</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5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CONSOLIDATED FINANCIAL STATEMENTS</w:t>
      </w:r>
    </w:p>
    <w:p>
      <w:pPr>
        <w:spacing w:after="0" w:line="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6"/>
          <w:szCs w:val="16"/>
          <w:b w:val="1"/>
          <w:bCs w:val="1"/>
          <w:color w:val="auto"/>
        </w:rPr>
        <w:t>Basis of Presentation and Summary of Accounting Policies</w:t>
      </w:r>
    </w:p>
    <w:p>
      <w:pPr>
        <w:spacing w:after="0" w:line="77" w:lineRule="exact"/>
        <w:rPr>
          <w:sz w:val="20"/>
          <w:szCs w:val="20"/>
          <w:color w:val="auto"/>
        </w:rPr>
      </w:pPr>
    </w:p>
    <w:p>
      <w:pPr>
        <w:ind w:right="120" w:firstLine="342"/>
        <w:spacing w:after="0" w:line="285"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Consolidated Financial Statements and Notes thereto of The TJX Companies, Inc. (referred to as “TJX,” “we”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have been prepared in accordance with accounting principles generally accepted in the United States of America (“GAAP”) and include the financial statements of all of TJX’s subsidiaries, all of which are wholly owned. All of its activities are conducted by TJX or its subsidiaries and are consolidated in these financial statements. All intercompany transactions have been eliminated in consolidation.</w:t>
      </w:r>
    </w:p>
    <w:p>
      <w:pPr>
        <w:spacing w:after="0" w:line="17" w:lineRule="exact"/>
        <w:rPr>
          <w:sz w:val="20"/>
          <w:szCs w:val="20"/>
          <w:color w:val="auto"/>
        </w:rPr>
      </w:pPr>
    </w:p>
    <w:p>
      <w:pPr>
        <w:ind w:right="200" w:firstLine="342"/>
        <w:spacing w:after="0" w:line="264" w:lineRule="auto"/>
        <w:rPr>
          <w:sz w:val="20"/>
          <w:szCs w:val="20"/>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TJX’s fiscal year ends on the Saturday nearest to the last day of January of each year. The fiscal year ended February 3,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2018”) was a 53-week fiscal year. Fiscal 2017 and 2016 were 52-week fiscal years.</w:t>
      </w:r>
    </w:p>
    <w:p>
      <w:pPr>
        <w:spacing w:after="0" w:line="31" w:lineRule="exact"/>
        <w:rPr>
          <w:sz w:val="20"/>
          <w:szCs w:val="20"/>
          <w:color w:val="auto"/>
        </w:rPr>
      </w:pPr>
    </w:p>
    <w:p>
      <w:pPr>
        <w:ind w:right="120" w:firstLine="342"/>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TJX’s financial statements, in conformity with GAAP, requires management to make estimates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impairment of long-lived assets, goodwill and tradenames, retirement obligations, share-based compensation, casualty insurance, reserves for uncertain tax positions and loss contingencies to be the most significant accounting policies that involve management estimates and judgments. Actual amounts could differ from those estimates, and such differences could be material.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Accounting Policies</w:t>
      </w:r>
    </w:p>
    <w:p>
      <w:pPr>
        <w:spacing w:after="0" w:line="79"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TJX records revenue at the time of sale and receipt of merchandise by the customer, net of a reserve for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We estimate returns based upon our historical experience. We defer recognition of a layaway sale and its related profit to the accounting period when the customer receives the layaway merchandise. Proceeds from the sale of gift cards as well as the value of store cards issued to customers as a result of a return or exchange are deferred until the customers use the cards to acquire merchandise. Based on historical experience, we estimate the amount of gift cards and store cards that will not be redeemed (referred to as breakage) and, to the extent allowed by local law, these amounts are amortized into income over the redemption period. Revenue recognized from breakage was $21.1 million in fiscal 2018, $20.5 million in fiscal 2017 and $13.8 million in fiscal 2016. We estimate the date of receipt by the customer when recognizing revenue from sales by our e-commerce operations and shipping and handling costs charged to the customer are included in revenue. The shipping and handling costs incurred by TJX are included in cost of sales, including buying and occupancy costs.</w:t>
      </w:r>
    </w:p>
    <w:p>
      <w:pPr>
        <w:spacing w:after="0" w:line="55" w:lineRule="exact"/>
        <w:rPr>
          <w:sz w:val="20"/>
          <w:szCs w:val="20"/>
          <w:color w:val="auto"/>
        </w:rPr>
      </w:pPr>
    </w:p>
    <w:p>
      <w:pPr>
        <w:ind w:right="80" w:firstLine="342"/>
        <w:spacing w:after="0" w:line="242" w:lineRule="auto"/>
        <w:rPr>
          <w:sz w:val="20"/>
          <w:szCs w:val="20"/>
          <w:color w:val="auto"/>
        </w:rPr>
      </w:pPr>
      <w:r>
        <w:rPr>
          <w:rFonts w:ascii="Arial" w:cs="Arial" w:eastAsia="Arial" w:hAnsi="Arial"/>
          <w:sz w:val="18"/>
          <w:szCs w:val="18"/>
          <w:b w:val="1"/>
          <w:bCs w:val="1"/>
          <w:i w:val="1"/>
          <w:iCs w:val="1"/>
          <w:color w:val="auto"/>
        </w:rPr>
        <w:t>Consolidated Statements of Income Classifications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sales, including buying and occupancy costs,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merchandise sold including foreign currency gains and losses on merchandise purchases denominated in other currencies; gains and losses on inventory and fuel-related derivative contracts; asset retirement obligation costs; divisional occupancy costs (including real estate taxes, utility and maintenance costs and fixed asset depreciation); the costs of operating distribution centers; payroll, benefits and travel costs directly associated with buying inventory; and systems costs related to the buying and tracking of inventory.</w:t>
      </w:r>
    </w:p>
    <w:p>
      <w:pPr>
        <w:spacing w:after="0" w:line="72" w:lineRule="exact"/>
        <w:rPr>
          <w:sz w:val="20"/>
          <w:szCs w:val="20"/>
          <w:color w:val="auto"/>
        </w:rPr>
      </w:pPr>
    </w:p>
    <w:p>
      <w:pPr>
        <w:ind w:right="320" w:firstLine="342"/>
        <w:spacing w:after="0" w:line="281" w:lineRule="auto"/>
        <w:rPr>
          <w:sz w:val="20"/>
          <w:szCs w:val="20"/>
          <w:color w:val="auto"/>
        </w:rPr>
      </w:pPr>
      <w:r>
        <w:rPr>
          <w:rFonts w:ascii="Arial" w:cs="Arial" w:eastAsia="Arial" w:hAnsi="Arial"/>
          <w:sz w:val="16"/>
          <w:szCs w:val="16"/>
          <w:color w:val="auto"/>
        </w:rPr>
        <w:t>Selling, general and administrative (“SG&amp;A”) expenses include store payroll and benefit costs; communication costs; credit and check expenses; advertising; administrative and field management payroll, benefits and travel costs; corporate administrative costs and depreciation; gains and losses on non-inventory related foreign currency exchange contracts; and other miscellaneous income and expense items.</w:t>
      </w:r>
    </w:p>
    <w:p>
      <w:pPr>
        <w:spacing w:after="0" w:line="23" w:lineRule="exact"/>
        <w:rPr>
          <w:sz w:val="20"/>
          <w:szCs w:val="20"/>
          <w:color w:val="auto"/>
        </w:rPr>
      </w:pPr>
    </w:p>
    <w:p>
      <w:pPr>
        <w:ind w:right="80" w:firstLine="342"/>
        <w:spacing w:after="0" w:line="241"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TJX generally considers highly liquid investments with a maturity of 90 days or less at the date of purchase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 Investments with maturities greater than 90 days but less than one year at the date of purchase are included in short-term investments. These investments are classified as trading securities and are stated at fair value. Investments are classified as either short- or long-term based on their original maturities. TJX’s investments are primarily high-grade commercial paper, institutional money market funds and time deposits with major banks.</w:t>
      </w:r>
    </w:p>
    <w:p>
      <w:pPr>
        <w:spacing w:after="0" w:line="75"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As of February 3, 2018, TJX’s cash and cash equivalents held outside the U.S. were $1.8 billion, of which $398.6 million was held in countries where TJX has the intention to reinvest any undistributed earnings indefinitely.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91" w:right="279" w:bottom="1440" w:gutter="0" w:footer="0" w:header="0"/>
        </w:sectPr>
      </w:pPr>
    </w:p>
    <w:bookmarkStart w:id="59" w:name="page60"/>
    <w:bookmarkEnd w:id="59"/>
    <w:p>
      <w:pPr>
        <w:ind w:right="80" w:firstLine="342"/>
        <w:spacing w:after="0" w:line="23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Merchandise 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market. TJX uses the retail method for valuing inventories at all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except Sierra Trading Post (“STP”), and T.K. Maxx in Australia. The businesses that utilize the retail method have some inventory that is initially valued at cost before the retail method is applied as it has not been fully processed for sale (e.g. inventory in transit and unprocessed inventory in our distribution centers). Under the retail method, TJX utilizes a permanent markdown strategy and lowers the cost value of the inventory that is subject to markdown at the time the retail prices are lowered in the stores. TJX records inventory at the time title transfers, which is typically at the time when inventory is shipped. As a result, merchandise inventories on TJX’s balance sheet include in-transit inventory of $755.4 million at February 3, 2018 and $641.9 million at January 28, 2017. Comparable amounts were reflected in accounts payable at those dates.</w:t>
      </w:r>
    </w:p>
    <w:p>
      <w:pPr>
        <w:spacing w:after="0" w:line="55" w:lineRule="exact"/>
        <w:rPr>
          <w:sz w:val="20"/>
          <w:szCs w:val="20"/>
          <w:color w:val="auto"/>
        </w:rPr>
      </w:pPr>
    </w:p>
    <w:p>
      <w:pPr>
        <w:ind w:right="20" w:firstLine="342"/>
        <w:spacing w:after="0"/>
        <w:rPr>
          <w:sz w:val="20"/>
          <w:szCs w:val="20"/>
          <w:color w:val="auto"/>
        </w:rPr>
      </w:pPr>
      <w:r>
        <w:rPr>
          <w:rFonts w:ascii="Arial" w:cs="Arial" w:eastAsia="Arial" w:hAnsi="Arial"/>
          <w:sz w:val="18"/>
          <w:szCs w:val="18"/>
          <w:b w:val="1"/>
          <w:bCs w:val="1"/>
          <w:i w:val="1"/>
          <w:iCs w:val="1"/>
          <w:color w:val="auto"/>
        </w:rPr>
        <w:t xml:space="preserve">Common Stock and Equity: </w:t>
      </w:r>
      <w:r>
        <w:rPr>
          <w:rFonts w:ascii="Arial" w:cs="Arial" w:eastAsia="Arial" w:hAnsi="Arial"/>
          <w:sz w:val="18"/>
          <w:szCs w:val="18"/>
          <w:color w:val="auto"/>
        </w:rPr>
        <w:t>Equity transactions consist primarily of the repurchase by TJX of its common stock under its stock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and the recognition of compensation expense and issuance of common stock under TJX’s Stock Incentive Plan. Under TJX’s stock repurchase programs, the Company repurchases its common stock on the open market. The par value of the shares repurchased is charged to common stock with the excess of the purchase price over par first charged against any available additional paid-in capital (“APIC”) and the balance charged to retained earnings. Due to the high volume of repurchases over the past several years, TJX has no remaining balance in APIC at the end of any of the years presented. All shares repurchased have been retired.</w:t>
      </w:r>
    </w:p>
    <w:p>
      <w:pPr>
        <w:spacing w:after="0" w:line="75" w:lineRule="exact"/>
        <w:rPr>
          <w:sz w:val="20"/>
          <w:szCs w:val="20"/>
          <w:color w:val="auto"/>
        </w:rPr>
      </w:pPr>
    </w:p>
    <w:p>
      <w:pPr>
        <w:ind w:right="180" w:firstLine="342"/>
        <w:spacing w:after="0" w:line="235" w:lineRule="auto"/>
        <w:rPr>
          <w:sz w:val="20"/>
          <w:szCs w:val="20"/>
          <w:color w:val="auto"/>
        </w:rPr>
      </w:pPr>
      <w:r>
        <w:rPr>
          <w:rFonts w:ascii="Arial" w:cs="Arial" w:eastAsia="Arial" w:hAnsi="Arial"/>
          <w:sz w:val="18"/>
          <w:szCs w:val="18"/>
          <w:color w:val="auto"/>
        </w:rPr>
        <w:t xml:space="preserve">Shares issued under TJX’s Stock Incentive Plan are issued from authorized but unissued shares, and proceeds received are recorded by increasing common stock for the par value of the shares with the excess over par added to APIC. Income tax benefits upon the expensing of options result in the creation of a deferred tax asset, while income tax benefits due to the exercise of stock options reduce deferred tax assets up to the amount that an asset for the related grant has been created. Prior to fiscal 2018, any tax benefits greater than the deferred tax assets created at the time of expensing the options were credited to APIC; any deficiencies in the tax benefits were debited to APIC to the extent a pool for such deficiencies existed. In the absence of a pool, any deficiencies were realized in the related periods’ statements of income through the provision for income taxes. Beginning in fiscal 2018, upon adoption of </w:t>
      </w:r>
      <w:r>
        <w:rPr>
          <w:rFonts w:ascii="Arial" w:cs="Arial" w:eastAsia="Arial" w:hAnsi="Arial"/>
          <w:sz w:val="18"/>
          <w:szCs w:val="18"/>
          <w:i w:val="1"/>
          <w:iCs w:val="1"/>
          <w:color w:val="auto"/>
        </w:rPr>
        <w:t>ASU 2016-09-Compensation-Stock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employee share-based payment accountin</w:t>
      </w:r>
      <w:r>
        <w:rPr>
          <w:rFonts w:ascii="Arial" w:cs="Arial" w:eastAsia="Arial" w:hAnsi="Arial"/>
          <w:sz w:val="18"/>
          <w:szCs w:val="18"/>
          <w:color w:val="auto"/>
        </w:rPr>
        <w:t>g, any excess tax benefits or deficiencies are included in the provision for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The par value of performance-based restricted stock awards is also added to common stock when the stock is issued, generally at grant date. The fair value of the performance-based restricted stock awards in excess of par value is added to APIC as the awards are amortized into earnings over the related requisite service periods.</w:t>
      </w:r>
    </w:p>
    <w:p>
      <w:pPr>
        <w:spacing w:after="0" w:line="60" w:lineRule="exact"/>
        <w:rPr>
          <w:sz w:val="20"/>
          <w:szCs w:val="20"/>
          <w:color w:val="auto"/>
        </w:rPr>
      </w:pPr>
    </w:p>
    <w:p>
      <w:pPr>
        <w:ind w:right="220" w:firstLine="342"/>
        <w:spacing w:after="0" w:line="244"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TJX accounts for share-based compensation by estimating the fair value of each award on the date of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TJX uses the Black-Scholes option pricing model for options awarded and the market price on the grant date for performance-based restricted stock awards. See Note H – Stock Incentive Plan of Notes to Consolidated Financial Statements for a detailed discussion of share-based compensation.</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TJX’s interest expense is presented net of capitalized interest and interest income. The following is a summary of interest expense,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Fiscal 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8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February 3,</w:t>
            </w:r>
          </w:p>
        </w:tc>
        <w:tc>
          <w:tcPr>
            <w:tcW w:w="1420" w:type="dxa"/>
            <w:vAlign w:val="bottom"/>
          </w:tcPr>
          <w:p>
            <w:pPr>
              <w:jc w:val="right"/>
              <w:ind w:right="281"/>
              <w:spacing w:after="0" w:line="125" w:lineRule="exact"/>
              <w:rPr>
                <w:sz w:val="20"/>
                <w:szCs w:val="20"/>
                <w:color w:val="auto"/>
              </w:rPr>
            </w:pPr>
            <w:r>
              <w:rPr>
                <w:rFonts w:ascii="Arial" w:cs="Arial" w:eastAsia="Arial" w:hAnsi="Arial"/>
                <w:sz w:val="14"/>
                <w:szCs w:val="14"/>
                <w:color w:val="auto"/>
              </w:rPr>
              <w:t>January 28,</w:t>
            </w:r>
          </w:p>
        </w:tc>
        <w:tc>
          <w:tcPr>
            <w:tcW w:w="90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100" w:type="dxa"/>
            <w:vAlign w:val="bottom"/>
          </w:tcPr>
          <w:p>
            <w:pPr>
              <w:spacing w:after="0"/>
              <w:rPr>
                <w:sz w:val="10"/>
                <w:szCs w:val="10"/>
                <w:color w:val="auto"/>
              </w:rPr>
            </w:pPr>
          </w:p>
        </w:tc>
      </w:tr>
      <w:tr>
        <w:trPr>
          <w:trHeight w:val="16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3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2016</w:t>
            </w:r>
          </w:p>
        </w:tc>
      </w:tr>
      <w:tr>
        <w:trPr>
          <w:trHeight w:val="142"/>
        </w:trPr>
        <w:tc>
          <w:tcPr>
            <w:tcW w:w="48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20" w:type="dxa"/>
            <w:vAlign w:val="bottom"/>
            <w:gridSpan w:val="2"/>
          </w:tcPr>
          <w:p>
            <w:pPr>
              <w:jc w:val="right"/>
              <w:ind w:right="156"/>
              <w:spacing w:after="0" w:line="142" w:lineRule="exact"/>
              <w:rPr>
                <w:sz w:val="20"/>
                <w:szCs w:val="20"/>
                <w:color w:val="auto"/>
              </w:rPr>
            </w:pPr>
            <w:r>
              <w:rPr>
                <w:rFonts w:ascii="Arial" w:cs="Arial" w:eastAsia="Arial" w:hAnsi="Arial"/>
                <w:sz w:val="14"/>
                <w:szCs w:val="14"/>
                <w:color w:val="auto"/>
                <w:w w:val="96"/>
              </w:rPr>
              <w:t>(53 weeks)</w:t>
            </w: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320" w:type="dxa"/>
            <w:vAlign w:val="bottom"/>
            <w:gridSpan w:val="2"/>
            <w:shd w:val="clear" w:color="auto" w:fill="CCEEFF"/>
          </w:tcPr>
          <w:p>
            <w:pPr>
              <w:ind w:left="322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69,237</w:t>
            </w:r>
          </w:p>
        </w:tc>
        <w:tc>
          <w:tcPr>
            <w:tcW w:w="1420" w:type="dxa"/>
            <w:vAlign w:val="bottom"/>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$ 69,219</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$ 68,253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Capitalized interest</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(4,942)</w:t>
            </w:r>
          </w:p>
        </w:tc>
        <w:tc>
          <w:tcPr>
            <w:tcW w:w="142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(7,548)</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(7,984)</w:t>
            </w:r>
          </w:p>
        </w:tc>
      </w:tr>
      <w:tr>
        <w:trPr>
          <w:trHeight w:val="203"/>
        </w:trPr>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b w:val="1"/>
                <w:bCs w:val="1"/>
                <w:color w:val="auto"/>
                <w:w w:val="98"/>
              </w:rPr>
              <w:t>(32,707)</w:t>
            </w:r>
          </w:p>
        </w:tc>
        <w:tc>
          <w:tcPr>
            <w:tcW w:w="1420" w:type="dxa"/>
            <w:vAlign w:val="bottom"/>
            <w:tcBorders>
              <w:bottom w:val="single" w:sz="8" w:color="auto"/>
            </w:tcBorders>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(18,137)</w:t>
            </w: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(13,869)</w:t>
            </w:r>
          </w:p>
        </w:tc>
      </w:tr>
      <w:tr>
        <w:trPr>
          <w:trHeight w:val="196"/>
        </w:trPr>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Interest expense, net</w:t>
            </w:r>
          </w:p>
        </w:tc>
        <w:tc>
          <w:tcPr>
            <w:tcW w:w="3320" w:type="dxa"/>
            <w:vAlign w:val="bottom"/>
            <w:tcBorders>
              <w:bottom w:val="single" w:sz="8" w:color="auto"/>
            </w:tcBorders>
            <w:gridSpan w:val="2"/>
          </w:tcPr>
          <w:p>
            <w:pPr>
              <w:ind w:left="3220"/>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31,588</w:t>
            </w:r>
          </w:p>
        </w:tc>
        <w:tc>
          <w:tcPr>
            <w:tcW w:w="1420" w:type="dxa"/>
            <w:vAlign w:val="bottom"/>
            <w:tcBorders>
              <w:bottom w:val="single" w:sz="8" w:color="auto"/>
            </w:tcBorders>
          </w:tcPr>
          <w:p>
            <w:pPr>
              <w:jc w:val="right"/>
              <w:ind w:right="281"/>
              <w:spacing w:after="0" w:line="196" w:lineRule="exact"/>
              <w:rPr>
                <w:sz w:val="20"/>
                <w:szCs w:val="20"/>
                <w:color w:val="auto"/>
              </w:rPr>
            </w:pPr>
            <w:r>
              <w:rPr>
                <w:rFonts w:ascii="Arial" w:cs="Arial" w:eastAsia="Arial" w:hAnsi="Arial"/>
                <w:sz w:val="18"/>
                <w:szCs w:val="18"/>
                <w:color w:val="auto"/>
              </w:rPr>
              <w:t>$ 43,534</w:t>
            </w:r>
          </w:p>
        </w:tc>
        <w:tc>
          <w:tcPr>
            <w:tcW w:w="100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$ 46,400</w:t>
            </w:r>
          </w:p>
        </w:tc>
      </w:tr>
    </w:tbl>
    <w:p>
      <w:pPr>
        <w:spacing w:after="0" w:line="84" w:lineRule="exact"/>
        <w:rPr>
          <w:sz w:val="20"/>
          <w:szCs w:val="20"/>
          <w:color w:val="auto"/>
        </w:rPr>
      </w:pPr>
    </w:p>
    <w:p>
      <w:pPr>
        <w:ind w:right="260" w:firstLine="342"/>
        <w:spacing w:after="0" w:line="238" w:lineRule="auto"/>
        <w:rPr>
          <w:sz w:val="20"/>
          <w:szCs w:val="20"/>
          <w:color w:val="auto"/>
        </w:rPr>
      </w:pPr>
      <w:r>
        <w:rPr>
          <w:rFonts w:ascii="Arial" w:cs="Arial" w:eastAsia="Arial" w:hAnsi="Arial"/>
          <w:sz w:val="18"/>
          <w:szCs w:val="18"/>
          <w:color w:val="auto"/>
        </w:rPr>
        <w:t>TJX capitalizes interest during the active construction period of major capital projects. Capitalized interest is added to the cost of the related assets. Capitalized interest in fiscal 2018, 2017 and 2016 relates to costs on owned real estate projects and development costs on a merchandising system.</w:t>
      </w:r>
    </w:p>
    <w:p>
      <w:pPr>
        <w:spacing w:after="0" w:line="51" w:lineRule="exact"/>
        <w:rPr>
          <w:sz w:val="20"/>
          <w:szCs w:val="20"/>
          <w:color w:val="auto"/>
        </w:rPr>
      </w:pPr>
    </w:p>
    <w:p>
      <w:pPr>
        <w:ind w:right="60" w:firstLine="342"/>
        <w:spacing w:after="0" w:line="244"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financial reporting purposes, TJX provides for depreciation and amortization of property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method over the estimated useful lives of the assets. Buildings are depreciated over 33 years. Leasehold costs and improvements are generally amortized over their useful life or the committed lease term (typically 10 years), whichever is shorter. Furniture, fixtures and equipment are depreciated over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69" w:right="239" w:bottom="1440" w:gutter="0" w:footer="0" w:header="0"/>
        </w:sectPr>
      </w:pPr>
    </w:p>
    <w:bookmarkStart w:id="60" w:name="page61"/>
    <w:bookmarkEnd w:id="60"/>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to 10 years. Depreciation and amortization expense for property was $727.2 million in fiscal 2018, $664.5 million in fiscal 2017 and $622.0 million in fiscal 2016. TJX had no property held under capital leases during fiscal 2018, 2017, or 2016. Maintenance and repairs are charged to expense as incurred. Significant costs incurred for internally developed software are capitalized and amortized over 3 to 15 years. Upon retirement or sale, the cost of disposed assets and the related accumulated depreciation are eliminated and any gain or loss is included in income. Pre-opening costs, including rent, are expensed as incurred.</w:t>
      </w:r>
    </w:p>
    <w:p>
      <w:pPr>
        <w:spacing w:after="0" w:line="54" w:lineRule="exact"/>
        <w:rPr>
          <w:sz w:val="20"/>
          <w:szCs w:val="20"/>
          <w:color w:val="auto"/>
        </w:rPr>
      </w:pPr>
    </w:p>
    <w:p>
      <w:pPr>
        <w:ind w:right="40" w:firstLine="342"/>
        <w:spacing w:after="0" w:line="242" w:lineRule="auto"/>
        <w:rPr>
          <w:sz w:val="20"/>
          <w:szCs w:val="20"/>
          <w:color w:val="auto"/>
        </w:rPr>
      </w:pPr>
      <w:r>
        <w:rPr>
          <w:rFonts w:ascii="Arial" w:cs="Arial" w:eastAsia="Arial" w:hAnsi="Arial"/>
          <w:sz w:val="18"/>
          <w:szCs w:val="18"/>
          <w:b w:val="1"/>
          <w:bCs w:val="1"/>
          <w:i w:val="1"/>
          <w:iCs w:val="1"/>
          <w:color w:val="auto"/>
        </w:rPr>
        <w:t>Lease Accounting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generally leases stores, distribution centers and office space under operating leases. Store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generally include rent holidays, rent escalation clauses and contingent rent provisions for percentage of sales in excess of specified levels. We recognize rent on a straight-line basis over the term of the lease, including rent holiday periods and scheduled rent increases. We begin recording rent expense when we take possession of a store, which is typically 30 to 60 days prior to the opening of the store and generally occurs before the commencement of the lease term, as specified in the lease.</w:t>
      </w:r>
    </w:p>
    <w:p>
      <w:pPr>
        <w:spacing w:after="0" w:line="52" w:lineRule="exact"/>
        <w:rPr>
          <w:sz w:val="20"/>
          <w:szCs w:val="20"/>
          <w:color w:val="auto"/>
        </w:rPr>
      </w:pPr>
    </w:p>
    <w:p>
      <w:pPr>
        <w:ind w:right="40" w:firstLine="342"/>
        <w:spacing w:after="0" w:line="284"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establishes an asset retirement obligation, and related asset, for leases of property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 us to return the property to its original condition (commonly referred to as a reinstatement provision) if and when we exit the facility. These reinstatement provisions are primarily applicable to our TJX International locations. The income statement impact of our asset retirement obligation is recorded in general corporate expenses and our operating divisions are charged the actual costs incurred when a retirement takes place.</w:t>
      </w:r>
    </w:p>
    <w:p>
      <w:pPr>
        <w:spacing w:after="0" w:line="20"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b w:val="1"/>
          <w:bCs w:val="1"/>
          <w:i w:val="1"/>
          <w:iCs w:val="1"/>
          <w:color w:val="auto"/>
        </w:rPr>
        <w:t xml:space="preserve">Build to Suit Accounting: </w:t>
      </w:r>
      <w:r>
        <w:rPr>
          <w:rFonts w:ascii="Arial" w:cs="Arial" w:eastAsia="Arial" w:hAnsi="Arial"/>
          <w:sz w:val="18"/>
          <w:szCs w:val="18"/>
          <w:color w:val="auto"/>
        </w:rPr>
        <w:t>Lease agreements involving property built to our specifications are reviewed to determine if our involvement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project requires that we account for the project costs as if we were the owner for accounting purposes. We have entered into several lease agreements where we are deemed the owner of a construction project for accounting purposes. Thus, during construction of the facility the construction costs incurred by the lessor are included as a construction in progress asset along with a related liability of the same amount on our balance sheet. Upon completion of the project, a sale-leaseback analysis is performed to determine if the Company should record a sale to remove the related asset and related obligation and record the lease as either an operating or capital lease obligation. If the Company is precluded from derecognizing the asset when construction is complete, due to continuing involvement beyond a normal leaseback, the lease is accounted for as a financing transaction and the recorded asset and related financing obligation remain on the Consolidated Balance Sheets. Accordingly, the asset is depreciated over its estimated useful life in accordance with the Company’s policy and a portion of the lease payments is allocated to ground rent and treated as an operating lease. The portion of the lease payment allocated to ground rental expense is based on the fair value of the land at the commencement of construction. Lease payments allocated to the non-land asset are recognized as reductions to the financing obligation and interest expense.</w:t>
      </w:r>
    </w:p>
    <w:p>
      <w:pPr>
        <w:spacing w:after="0" w:line="57" w:lineRule="exact"/>
        <w:rPr>
          <w:sz w:val="20"/>
          <w:szCs w:val="20"/>
          <w:color w:val="auto"/>
        </w:rPr>
      </w:pPr>
    </w:p>
    <w:p>
      <w:pPr>
        <w:ind w:right="140" w:firstLine="342"/>
        <w:spacing w:after="0" w:line="242" w:lineRule="auto"/>
        <w:rPr>
          <w:sz w:val="20"/>
          <w:szCs w:val="20"/>
          <w:color w:val="auto"/>
        </w:rPr>
      </w:pPr>
      <w:r>
        <w:rPr>
          <w:rFonts w:ascii="Arial" w:cs="Arial" w:eastAsia="Arial" w:hAnsi="Arial"/>
          <w:sz w:val="18"/>
          <w:szCs w:val="18"/>
          <w:b w:val="1"/>
          <w:bCs w:val="1"/>
          <w:i w:val="1"/>
          <w:iCs w:val="1"/>
          <w:color w:val="auto"/>
        </w:rPr>
        <w:t>Goodwill and Tradenames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includes the excess of the purchase price paid over the carrying value of the minority interest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1990 in TJX’s former 83%-owned subsidiary and represents goodwill associated with the T.J. Maxx chain, as well as the excess of cost over the estimated fair market value of the net assets acquired by TJX in the purchase of Winners in fiscal 1991, the purchase of STP in fiscal 2013, and the purchase of Trade Secret in fiscal 2016, which was re-branded under the T.K. Maxx name during fiscal 2018. The following is a roll forward of goodwill by component: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color w:val="auto"/>
              </w:rPr>
              <w:t>Sierra</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7"/>
              <w:spacing w:after="0"/>
              <w:rPr>
                <w:sz w:val="20"/>
                <w:szCs w:val="20"/>
                <w:color w:val="auto"/>
              </w:rPr>
            </w:pPr>
            <w:r>
              <w:rPr>
                <w:rFonts w:ascii="Arial" w:cs="Arial" w:eastAsia="Arial" w:hAnsi="Arial"/>
                <w:sz w:val="14"/>
                <w:szCs w:val="14"/>
                <w:color w:val="auto"/>
              </w:rPr>
              <w:t>T.K.</w:t>
            </w: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157"/>
              <w:spacing w:after="0" w:line="149" w:lineRule="exact"/>
              <w:rPr>
                <w:sz w:val="20"/>
                <w:szCs w:val="20"/>
                <w:color w:val="auto"/>
              </w:rPr>
            </w:pPr>
            <w:r>
              <w:rPr>
                <w:rFonts w:ascii="Arial" w:cs="Arial" w:eastAsia="Arial" w:hAnsi="Arial"/>
                <w:sz w:val="14"/>
                <w:szCs w:val="14"/>
                <w:color w:val="auto"/>
              </w:rPr>
              <w:t>Trading</w:t>
            </w:r>
          </w:p>
        </w:tc>
        <w:tc>
          <w:tcPr>
            <w:tcW w:w="280" w:type="dxa"/>
            <w:vAlign w:val="bottom"/>
          </w:tcPr>
          <w:p>
            <w:pPr>
              <w:spacing w:after="0"/>
              <w:rPr>
                <w:sz w:val="12"/>
                <w:szCs w:val="12"/>
                <w:color w:val="auto"/>
              </w:rPr>
            </w:pPr>
          </w:p>
        </w:tc>
        <w:tc>
          <w:tcPr>
            <w:tcW w:w="78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Maxx in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Amounts in thousands</w:t>
            </w:r>
          </w:p>
        </w:tc>
        <w:tc>
          <w:tcPr>
            <w:tcW w:w="2700" w:type="dxa"/>
            <w:vAlign w:val="bottom"/>
            <w:tcBorders>
              <w:bottom w:val="single" w:sz="8" w:color="auto"/>
            </w:tcBorders>
          </w:tcPr>
          <w:p>
            <w:pPr>
              <w:jc w:val="right"/>
              <w:ind w:right="94"/>
              <w:spacing w:after="0" w:line="149" w:lineRule="exact"/>
              <w:rPr>
                <w:sz w:val="20"/>
                <w:szCs w:val="20"/>
                <w:color w:val="auto"/>
              </w:rPr>
            </w:pPr>
            <w:r>
              <w:rPr>
                <w:rFonts w:ascii="Arial" w:cs="Arial" w:eastAsia="Arial" w:hAnsi="Arial"/>
                <w:sz w:val="14"/>
                <w:szCs w:val="14"/>
                <w:color w:val="auto"/>
              </w:rPr>
              <w:t>Marmaxx</w:t>
            </w:r>
          </w:p>
        </w:tc>
        <w:tc>
          <w:tcPr>
            <w:tcW w:w="960" w:type="dxa"/>
            <w:vAlign w:val="bottom"/>
            <w:tcBorders>
              <w:bottom w:val="single" w:sz="8" w:color="auto"/>
            </w:tcBorders>
          </w:tcPr>
          <w:p>
            <w:pPr>
              <w:jc w:val="right"/>
              <w:ind w:right="134"/>
              <w:spacing w:after="0" w:line="149" w:lineRule="exact"/>
              <w:rPr>
                <w:sz w:val="20"/>
                <w:szCs w:val="20"/>
                <w:color w:val="auto"/>
              </w:rPr>
            </w:pPr>
            <w:r>
              <w:rPr>
                <w:rFonts w:ascii="Arial" w:cs="Arial" w:eastAsia="Arial" w:hAnsi="Arial"/>
                <w:sz w:val="14"/>
                <w:szCs w:val="14"/>
                <w:color w:val="auto"/>
              </w:rPr>
              <w:t>Winners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4"/>
                <w:szCs w:val="14"/>
                <w:color w:val="auto"/>
              </w:rPr>
              <w:t>Post</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7"/>
              <w:spacing w:after="0" w:line="149" w:lineRule="exact"/>
              <w:rPr>
                <w:sz w:val="20"/>
                <w:szCs w:val="20"/>
                <w:color w:val="auto"/>
              </w:rPr>
            </w:pPr>
            <w:r>
              <w:rPr>
                <w:rFonts w:ascii="Arial" w:cs="Arial" w:eastAsia="Arial" w:hAnsi="Arial"/>
                <w:sz w:val="14"/>
                <w:szCs w:val="14"/>
                <w:color w:val="auto"/>
                <w:w w:val="99"/>
              </w:rPr>
              <w:t>Australia</w:t>
            </w:r>
          </w:p>
        </w:tc>
        <w:tc>
          <w:tcPr>
            <w:tcW w:w="104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Total</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January 31, 2015</w:t>
            </w:r>
          </w:p>
        </w:tc>
        <w:tc>
          <w:tcPr>
            <w:tcW w:w="27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$70,027</w:t>
            </w:r>
          </w:p>
        </w:tc>
        <w:tc>
          <w:tcPr>
            <w:tcW w:w="96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$1,741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w w:val="95"/>
              </w:rPr>
              <w:t>$97,254</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7"/>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$169,022</w:t>
            </w:r>
          </w:p>
        </w:tc>
        <w:tc>
          <w:tcPr>
            <w:tcW w:w="100" w:type="dxa"/>
            <w:vAlign w:val="bottom"/>
            <w:shd w:val="clear" w:color="auto" w:fill="CCEEFF"/>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27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7"/>
              <w:spacing w:after="0" w:line="202" w:lineRule="exact"/>
              <w:rPr>
                <w:sz w:val="20"/>
                <w:szCs w:val="20"/>
                <w:color w:val="auto"/>
              </w:rPr>
            </w:pPr>
            <w:r>
              <w:rPr>
                <w:rFonts w:ascii="Arial" w:cs="Arial" w:eastAsia="Arial" w:hAnsi="Arial"/>
                <w:sz w:val="18"/>
                <w:szCs w:val="18"/>
                <w:color w:val="auto"/>
                <w:w w:val="98"/>
              </w:rPr>
              <w:t>25,233</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25,233</w:t>
            </w:r>
          </w:p>
        </w:tc>
      </w:tr>
      <w:tr>
        <w:trPr>
          <w:trHeight w:val="203"/>
        </w:trPr>
        <w:tc>
          <w:tcPr>
            <w:tcW w:w="4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goodwill</w:t>
            </w:r>
          </w:p>
        </w:tc>
        <w:tc>
          <w:tcPr>
            <w:tcW w:w="270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(190)</w:t>
            </w:r>
          </w:p>
        </w:tc>
        <w:tc>
          <w:tcPr>
            <w:tcW w:w="10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(344)</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January 30, 2016</w:t>
            </w:r>
          </w:p>
        </w:tc>
        <w:tc>
          <w:tcPr>
            <w:tcW w:w="2700" w:type="dxa"/>
            <w:vAlign w:val="bottom"/>
          </w:tcPr>
          <w:p>
            <w:pPr>
              <w:jc w:val="right"/>
              <w:ind w:right="94"/>
              <w:spacing w:after="0" w:line="196" w:lineRule="exact"/>
              <w:rPr>
                <w:sz w:val="20"/>
                <w:szCs w:val="20"/>
                <w:color w:val="auto"/>
              </w:rPr>
            </w:pPr>
            <w:r>
              <w:rPr>
                <w:rFonts w:ascii="Arial" w:cs="Arial" w:eastAsia="Arial" w:hAnsi="Arial"/>
                <w:sz w:val="18"/>
                <w:szCs w:val="18"/>
                <w:color w:val="auto"/>
              </w:rPr>
              <w:t>70,027</w:t>
            </w:r>
          </w:p>
        </w:tc>
        <w:tc>
          <w:tcPr>
            <w:tcW w:w="96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1,587</w:t>
            </w:r>
          </w:p>
        </w:tc>
        <w:tc>
          <w:tcPr>
            <w:tcW w:w="280" w:type="dxa"/>
            <w:vAlign w:val="bottom"/>
          </w:tcPr>
          <w:p>
            <w:pPr>
              <w:spacing w:after="0"/>
              <w:rPr>
                <w:sz w:val="17"/>
                <w:szCs w:val="17"/>
                <w:color w:val="auto"/>
              </w:rPr>
            </w:pPr>
          </w:p>
        </w:tc>
        <w:tc>
          <w:tcPr>
            <w:tcW w:w="880" w:type="dxa"/>
            <w:vAlign w:val="bottom"/>
          </w:tcPr>
          <w:p>
            <w:pPr>
              <w:jc w:val="right"/>
              <w:ind w:right="157"/>
              <w:spacing w:after="0" w:line="196" w:lineRule="exact"/>
              <w:rPr>
                <w:sz w:val="20"/>
                <w:szCs w:val="20"/>
                <w:color w:val="auto"/>
              </w:rPr>
            </w:pPr>
            <w:r>
              <w:rPr>
                <w:rFonts w:ascii="Arial" w:cs="Arial" w:eastAsia="Arial" w:hAnsi="Arial"/>
                <w:sz w:val="18"/>
                <w:szCs w:val="18"/>
                <w:color w:val="auto"/>
              </w:rPr>
              <w:t>97,254</w:t>
            </w:r>
          </w:p>
        </w:tc>
        <w:tc>
          <w:tcPr>
            <w:tcW w:w="280" w:type="dxa"/>
            <w:vAlign w:val="bottom"/>
          </w:tcPr>
          <w:p>
            <w:pPr>
              <w:spacing w:after="0"/>
              <w:rPr>
                <w:sz w:val="17"/>
                <w:szCs w:val="17"/>
                <w:color w:val="auto"/>
              </w:rPr>
            </w:pPr>
          </w:p>
        </w:tc>
        <w:tc>
          <w:tcPr>
            <w:tcW w:w="780" w:type="dxa"/>
            <w:vAlign w:val="bottom"/>
          </w:tcPr>
          <w:p>
            <w:pPr>
              <w:jc w:val="right"/>
              <w:ind w:right="137"/>
              <w:spacing w:after="0" w:line="196" w:lineRule="exact"/>
              <w:rPr>
                <w:sz w:val="20"/>
                <w:szCs w:val="20"/>
                <w:color w:val="auto"/>
              </w:rPr>
            </w:pPr>
            <w:r>
              <w:rPr>
                <w:rFonts w:ascii="Arial" w:cs="Arial" w:eastAsia="Arial" w:hAnsi="Arial"/>
                <w:sz w:val="18"/>
                <w:szCs w:val="18"/>
                <w:color w:val="auto"/>
                <w:w w:val="98"/>
              </w:rPr>
              <w:t>25,043</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193,911</w:t>
            </w:r>
          </w:p>
        </w:tc>
        <w:tc>
          <w:tcPr>
            <w:tcW w:w="100" w:type="dxa"/>
            <w:vAlign w:val="bottom"/>
          </w:tcPr>
          <w:p>
            <w:pPr>
              <w:spacing w:after="0"/>
              <w:rPr>
                <w:sz w:val="17"/>
                <w:szCs w:val="17"/>
                <w:color w:val="auto"/>
              </w:rPr>
            </w:pPr>
          </w:p>
        </w:tc>
      </w:tr>
      <w:tr>
        <w:trPr>
          <w:trHeight w:val="203"/>
        </w:trPr>
        <w:tc>
          <w:tcPr>
            <w:tcW w:w="45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goodwill</w:t>
            </w:r>
          </w:p>
        </w:tc>
        <w:tc>
          <w:tcPr>
            <w:tcW w:w="270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99</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1,861</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1,960</w:t>
            </w:r>
          </w:p>
        </w:tc>
        <w:tc>
          <w:tcPr>
            <w:tcW w:w="100" w:type="dxa"/>
            <w:vAlign w:val="bottom"/>
            <w:tcBorders>
              <w:bottom w:val="single" w:sz="8" w:color="auto"/>
            </w:tcBorders>
            <w:shd w:val="clear" w:color="auto" w:fill="CCEEFF"/>
          </w:tcPr>
          <w:p>
            <w:pPr>
              <w:spacing w:after="0"/>
              <w:rPr>
                <w:sz w:val="17"/>
                <w:szCs w:val="17"/>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January 28, 2017</w:t>
            </w:r>
          </w:p>
        </w:tc>
        <w:tc>
          <w:tcPr>
            <w:tcW w:w="2700" w:type="dxa"/>
            <w:vAlign w:val="bottom"/>
          </w:tcPr>
          <w:p>
            <w:pPr>
              <w:jc w:val="right"/>
              <w:ind w:right="94"/>
              <w:spacing w:after="0" w:line="196" w:lineRule="exact"/>
              <w:rPr>
                <w:sz w:val="20"/>
                <w:szCs w:val="20"/>
                <w:color w:val="auto"/>
              </w:rPr>
            </w:pPr>
            <w:r>
              <w:rPr>
                <w:rFonts w:ascii="Arial" w:cs="Arial" w:eastAsia="Arial" w:hAnsi="Arial"/>
                <w:sz w:val="18"/>
                <w:szCs w:val="18"/>
                <w:color w:val="auto"/>
              </w:rPr>
              <w:t>70,027</w:t>
            </w:r>
          </w:p>
        </w:tc>
        <w:tc>
          <w:tcPr>
            <w:tcW w:w="960" w:type="dxa"/>
            <w:vAlign w:val="bottom"/>
          </w:tcPr>
          <w:p>
            <w:pPr>
              <w:jc w:val="right"/>
              <w:ind w:right="134"/>
              <w:spacing w:after="0" w:line="196" w:lineRule="exact"/>
              <w:rPr>
                <w:sz w:val="20"/>
                <w:szCs w:val="20"/>
                <w:color w:val="auto"/>
              </w:rPr>
            </w:pPr>
            <w:r>
              <w:rPr>
                <w:rFonts w:ascii="Arial" w:cs="Arial" w:eastAsia="Arial" w:hAnsi="Arial"/>
                <w:sz w:val="18"/>
                <w:szCs w:val="18"/>
                <w:color w:val="auto"/>
              </w:rPr>
              <w:t>1,686</w:t>
            </w:r>
          </w:p>
        </w:tc>
        <w:tc>
          <w:tcPr>
            <w:tcW w:w="280" w:type="dxa"/>
            <w:vAlign w:val="bottom"/>
          </w:tcPr>
          <w:p>
            <w:pPr>
              <w:spacing w:after="0"/>
              <w:rPr>
                <w:sz w:val="17"/>
                <w:szCs w:val="17"/>
                <w:color w:val="auto"/>
              </w:rPr>
            </w:pPr>
          </w:p>
        </w:tc>
        <w:tc>
          <w:tcPr>
            <w:tcW w:w="880" w:type="dxa"/>
            <w:vAlign w:val="bottom"/>
          </w:tcPr>
          <w:p>
            <w:pPr>
              <w:jc w:val="right"/>
              <w:ind w:right="157"/>
              <w:spacing w:after="0" w:line="196" w:lineRule="exact"/>
              <w:rPr>
                <w:sz w:val="20"/>
                <w:szCs w:val="20"/>
                <w:color w:val="auto"/>
              </w:rPr>
            </w:pPr>
            <w:r>
              <w:rPr>
                <w:rFonts w:ascii="Arial" w:cs="Arial" w:eastAsia="Arial" w:hAnsi="Arial"/>
                <w:sz w:val="18"/>
                <w:szCs w:val="18"/>
                <w:color w:val="auto"/>
              </w:rPr>
              <w:t>97,254</w:t>
            </w:r>
          </w:p>
        </w:tc>
        <w:tc>
          <w:tcPr>
            <w:tcW w:w="280" w:type="dxa"/>
            <w:vAlign w:val="bottom"/>
          </w:tcPr>
          <w:p>
            <w:pPr>
              <w:spacing w:after="0"/>
              <w:rPr>
                <w:sz w:val="17"/>
                <w:szCs w:val="17"/>
                <w:color w:val="auto"/>
              </w:rPr>
            </w:pPr>
          </w:p>
        </w:tc>
        <w:tc>
          <w:tcPr>
            <w:tcW w:w="780" w:type="dxa"/>
            <w:vAlign w:val="bottom"/>
          </w:tcPr>
          <w:p>
            <w:pPr>
              <w:jc w:val="right"/>
              <w:ind w:right="137"/>
              <w:spacing w:after="0" w:line="196" w:lineRule="exact"/>
              <w:rPr>
                <w:sz w:val="20"/>
                <w:szCs w:val="20"/>
                <w:color w:val="auto"/>
              </w:rPr>
            </w:pPr>
            <w:r>
              <w:rPr>
                <w:rFonts w:ascii="Arial" w:cs="Arial" w:eastAsia="Arial" w:hAnsi="Arial"/>
                <w:sz w:val="18"/>
                <w:szCs w:val="18"/>
                <w:color w:val="auto"/>
                <w:w w:val="98"/>
              </w:rPr>
              <w:t>26,904</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195,871</w:t>
            </w:r>
          </w:p>
        </w:tc>
        <w:tc>
          <w:tcPr>
            <w:tcW w:w="10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27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(97,254)</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(97,254)</w:t>
            </w:r>
          </w:p>
        </w:tc>
      </w:tr>
      <w:tr>
        <w:trPr>
          <w:trHeight w:val="203"/>
        </w:trPr>
        <w:tc>
          <w:tcPr>
            <w:tcW w:w="45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 of exchange rate changes on goodwill</w:t>
            </w:r>
          </w:p>
        </w:tc>
        <w:tc>
          <w:tcPr>
            <w:tcW w:w="270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7"/>
              <w:spacing w:after="0" w:line="202" w:lineRule="exact"/>
              <w:rPr>
                <w:sz w:val="20"/>
                <w:szCs w:val="20"/>
                <w:color w:val="auto"/>
              </w:rPr>
            </w:pPr>
            <w:r>
              <w:rPr>
                <w:rFonts w:ascii="Arial" w:cs="Arial" w:eastAsia="Arial" w:hAnsi="Arial"/>
                <w:sz w:val="18"/>
                <w:szCs w:val="18"/>
                <w:color w:val="auto"/>
              </w:rPr>
              <w:t>1,354</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1,452</w:t>
            </w:r>
          </w:p>
        </w:tc>
        <w:tc>
          <w:tcPr>
            <w:tcW w:w="100" w:type="dxa"/>
            <w:vAlign w:val="bottom"/>
            <w:tcBorders>
              <w:bottom w:val="single" w:sz="8" w:color="auto"/>
            </w:tcBorders>
          </w:tcPr>
          <w:p>
            <w:pPr>
              <w:spacing w:after="0"/>
              <w:rPr>
                <w:sz w:val="17"/>
                <w:szCs w:val="17"/>
                <w:color w:val="auto"/>
              </w:rPr>
            </w:pP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February 3, 2018</w:t>
            </w:r>
          </w:p>
        </w:tc>
        <w:tc>
          <w:tcPr>
            <w:tcW w:w="27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$70,027</w:t>
            </w:r>
          </w:p>
        </w:tc>
        <w:tc>
          <w:tcPr>
            <w:tcW w:w="96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$1,784</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7"/>
              <w:spacing w:after="0" w:line="196" w:lineRule="exact"/>
              <w:rPr>
                <w:sz w:val="20"/>
                <w:szCs w:val="20"/>
                <w:color w:val="auto"/>
              </w:rPr>
            </w:pPr>
            <w:r>
              <w:rPr>
                <w:rFonts w:ascii="Arial" w:cs="Arial" w:eastAsia="Arial" w:hAnsi="Arial"/>
                <w:sz w:val="18"/>
                <w:szCs w:val="18"/>
                <w:color w:val="auto"/>
                <w:w w:val="98"/>
              </w:rPr>
              <w:t>28,258</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$100,069</w:t>
            </w:r>
          </w:p>
        </w:tc>
        <w:tc>
          <w:tcPr>
            <w:tcW w:w="100" w:type="dxa"/>
            <w:vAlign w:val="bottom"/>
            <w:shd w:val="clear" w:color="auto" w:fill="CCEEFF"/>
          </w:tcPr>
          <w:p>
            <w:pPr>
              <w:spacing w:after="0"/>
              <w:rPr>
                <w:sz w:val="17"/>
                <w:szCs w:val="17"/>
                <w:color w:val="auto"/>
              </w:rPr>
            </w:pPr>
          </w:p>
        </w:tc>
      </w:tr>
      <w:tr>
        <w:trPr>
          <w:trHeight w:val="370"/>
        </w:trPr>
        <w:tc>
          <w:tcPr>
            <w:tcW w:w="4500" w:type="dxa"/>
            <w:vAlign w:val="bottom"/>
          </w:tcPr>
          <w:p>
            <w:pPr>
              <w:spacing w:after="0"/>
              <w:rPr>
                <w:sz w:val="24"/>
                <w:szCs w:val="24"/>
                <w:color w:val="auto"/>
              </w:rPr>
            </w:pPr>
          </w:p>
        </w:tc>
        <w:tc>
          <w:tcPr>
            <w:tcW w:w="2700" w:type="dxa"/>
            <w:vAlign w:val="bottom"/>
          </w:tcPr>
          <w:p>
            <w:pPr>
              <w:jc w:val="right"/>
              <w:ind w:right="1214"/>
              <w:spacing w:after="0"/>
              <w:rPr>
                <w:sz w:val="20"/>
                <w:szCs w:val="20"/>
                <w:color w:val="auto"/>
              </w:rPr>
            </w:pPr>
            <w:r>
              <w:rPr>
                <w:rFonts w:ascii="Arial" w:cs="Arial" w:eastAsia="Arial" w:hAnsi="Arial"/>
                <w:sz w:val="18"/>
                <w:szCs w:val="18"/>
                <w:color w:val="auto"/>
              </w:rPr>
              <w:t>F-11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61" w:name="page62"/>
    <w:bookmarkEnd w:id="6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Goodwill is considered to have an indefinite life and accordingly is not amortized.</w:t>
      </w:r>
    </w:p>
    <w:p>
      <w:pPr>
        <w:spacing w:after="0" w:line="77" w:lineRule="exact"/>
        <w:rPr>
          <w:sz w:val="20"/>
          <w:szCs w:val="20"/>
          <w:color w:val="auto"/>
        </w:rPr>
      </w:pPr>
    </w:p>
    <w:p>
      <w:pPr>
        <w:ind w:right="140" w:firstLine="342"/>
        <w:spacing w:after="0" w:line="238" w:lineRule="auto"/>
        <w:rPr>
          <w:sz w:val="20"/>
          <w:szCs w:val="20"/>
          <w:color w:val="auto"/>
        </w:rPr>
      </w:pPr>
      <w:r>
        <w:rPr>
          <w:rFonts w:ascii="Arial" w:cs="Arial" w:eastAsia="Arial" w:hAnsi="Arial"/>
          <w:sz w:val="18"/>
          <w:szCs w:val="18"/>
          <w:color w:val="auto"/>
        </w:rPr>
        <w:t>In fiscal 2018, the Company recorded an impairment charge of $99.3 million which included $97.3 million of STP goodwill and $2.0 million for certain long-lived assets of STP as the estimated fair value of this business fell below the carrying value due to a decrease in projected revenue growth rates. The impairment charge is included within the Marmaxx segment results.</w:t>
      </w:r>
    </w:p>
    <w:p>
      <w:pPr>
        <w:spacing w:after="0" w:line="73" w:lineRule="exact"/>
        <w:rPr>
          <w:sz w:val="20"/>
          <w:szCs w:val="20"/>
          <w:color w:val="auto"/>
        </w:rPr>
      </w:pPr>
    </w:p>
    <w:p>
      <w:pPr>
        <w:ind w:right="60" w:firstLine="342"/>
        <w:spacing w:after="0" w:line="235" w:lineRule="auto"/>
        <w:rPr>
          <w:sz w:val="20"/>
          <w:szCs w:val="20"/>
          <w:color w:val="auto"/>
        </w:rPr>
      </w:pPr>
      <w:r>
        <w:rPr>
          <w:rFonts w:ascii="Arial" w:cs="Arial" w:eastAsia="Arial" w:hAnsi="Arial"/>
          <w:sz w:val="18"/>
          <w:szCs w:val="18"/>
          <w:color w:val="auto"/>
        </w:rPr>
        <w:t>Tradenames, which are included in other assets, are the value assigned to the name “Marshalls,” acquired by TJX in fiscal 1996 as part of the acquisition of the Marshalls chain, the value assigned to the name “Sierra Trading Post,” acquired by TJX in fiscal 2013 and the value assigned to the name “Trade Secret,” acquired by TJX in fiscal 2016. The tradenames were valued by calculating the discounted present value of assumed after-tax royalty payments. The Marshalls tradename is carried at a value of $107.7 million and is considered to have an indefinite life. The Sierra Trading Post tradename is being amortized over 15 years and was carried at a value of $25.5 million in fiscal 2018, $28.0 million in fiscal 2017 and $30.6 million in fiscal 2016 net of amortization of $13.0 million, $10.5 million and $7.9 million in fiscal 2018, fiscal 2017 and fiscal 2016, respectively. The Trade Secret tradename is being amortized over 7 years and was carried at a value of $11.7 million in fiscal 2018, $11.0 million in fiscal 2017 and $11.6 million in fiscal 2016, which included a positive impact from foreign exchange of $2.1 million in fiscal 2018, $640,000 in fiscal 2017 and a negative impact from foreign exchange of $90,000 in 2016. The carrying value is also net of amortization of $2.9 million, $1.6 million and $300,000 in fiscal 2018, 2017 and 2016, respectively.</w:t>
      </w:r>
    </w:p>
    <w:p>
      <w:pPr>
        <w:spacing w:after="0" w:line="80" w:lineRule="exact"/>
        <w:rPr>
          <w:sz w:val="20"/>
          <w:szCs w:val="20"/>
          <w:color w:val="auto"/>
        </w:rPr>
      </w:pPr>
    </w:p>
    <w:p>
      <w:pPr>
        <w:ind w:right="420" w:firstLine="342"/>
        <w:spacing w:after="0" w:line="238" w:lineRule="auto"/>
        <w:rPr>
          <w:sz w:val="20"/>
          <w:szCs w:val="20"/>
          <w:color w:val="auto"/>
        </w:rPr>
      </w:pPr>
      <w:r>
        <w:rPr>
          <w:rFonts w:ascii="Arial" w:cs="Arial" w:eastAsia="Arial" w:hAnsi="Arial"/>
          <w:sz w:val="18"/>
          <w:szCs w:val="18"/>
          <w:color w:val="auto"/>
        </w:rPr>
        <w:t>TJX occasionally acquires or licenses other trademarks to be used in connection with private label merchandise. Such trademarks are included in other assets and are amortized to cost of sales, including buying and occupancy costs, over their useful life, generally from 7 to 10 years.</w:t>
      </w:r>
    </w:p>
    <w:p>
      <w:pPr>
        <w:spacing w:after="0" w:line="73"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Goodwill, tradenames and trademarks, and the related accumulated amortization or impairment if any, are included in the respective operating segment to which they relate.</w:t>
      </w:r>
    </w:p>
    <w:p>
      <w:pPr>
        <w:spacing w:after="0" w:line="54" w:lineRule="exact"/>
        <w:rPr>
          <w:sz w:val="20"/>
          <w:szCs w:val="20"/>
          <w:color w:val="auto"/>
        </w:rPr>
      </w:pPr>
    </w:p>
    <w:p>
      <w:pPr>
        <w:jc w:val="both"/>
        <w:ind w:right="80" w:firstLine="342"/>
        <w:spacing w:after="0" w:line="248" w:lineRule="auto"/>
        <w:rPr>
          <w:sz w:val="20"/>
          <w:szCs w:val="20"/>
          <w:color w:val="auto"/>
        </w:rPr>
      </w:pPr>
      <w:r>
        <w:rPr>
          <w:rFonts w:ascii="Arial" w:cs="Arial" w:eastAsia="Arial" w:hAnsi="Arial"/>
          <w:sz w:val="18"/>
          <w:szCs w:val="18"/>
          <w:b w:val="1"/>
          <w:bCs w:val="1"/>
          <w:i w:val="1"/>
          <w:iCs w:val="1"/>
          <w:color w:val="auto"/>
        </w:rPr>
        <w:t xml:space="preserve">Impairment of Long-Lived Assets, Goodwill and Tradenames: </w:t>
      </w:r>
      <w:r>
        <w:rPr>
          <w:rFonts w:ascii="Arial" w:cs="Arial" w:eastAsia="Arial" w:hAnsi="Arial"/>
          <w:sz w:val="18"/>
          <w:szCs w:val="18"/>
          <w:color w:val="auto"/>
        </w:rPr>
        <w:t>TJX evaluates its long-lived assets, goodwill and tradenames for indicators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impairment at least annually in the fourth quarter of each fiscal year or whenever events or changes in circumstances indicate that their carrying amounts may not be recoverable.</w:t>
      </w:r>
    </w:p>
    <w:p>
      <w:pPr>
        <w:spacing w:after="0" w:line="67" w:lineRule="exact"/>
        <w:rPr>
          <w:sz w:val="20"/>
          <w:szCs w:val="20"/>
          <w:color w:val="auto"/>
        </w:rPr>
      </w:pPr>
    </w:p>
    <w:p>
      <w:pPr>
        <w:ind w:right="40" w:firstLine="342"/>
        <w:spacing w:after="0" w:line="271" w:lineRule="auto"/>
        <w:rPr>
          <w:sz w:val="20"/>
          <w:szCs w:val="20"/>
          <w:color w:val="auto"/>
        </w:rPr>
      </w:pPr>
      <w:r>
        <w:rPr>
          <w:rFonts w:ascii="Arial" w:cs="Arial" w:eastAsia="Arial" w:hAnsi="Arial"/>
          <w:sz w:val="16"/>
          <w:szCs w:val="16"/>
          <w:color w:val="auto"/>
        </w:rPr>
        <w:t>The evaluation for long-lived assets including tradenames that are amortized, is performed at the lowest level of identifiable cash flows which are largely independent of other groups of assets, generally at the individual store level for fixed assets and the reporting unit for tradenames that are amortized. If indicators of impairment are identified, an undiscounted cash flow analysis is performed to determine if the carrying value of the asset or asset group is recoverable. If the cash flow is less than the carrying value then an impairment charge will be recorded to the extent the fair value of an asset or asset group is less than the carrying value of that asset or asset group. During fiscal 2018, this analysis resulted in immaterial impairment charges of store fixed assets. The store-by-store evaluations did not indicate any recoverability issues in fiscal 2017 and 2016.</w:t>
      </w:r>
    </w:p>
    <w:p>
      <w:pPr>
        <w:spacing w:after="0" w:line="50" w:lineRule="exact"/>
        <w:rPr>
          <w:sz w:val="20"/>
          <w:szCs w:val="20"/>
          <w:color w:val="auto"/>
        </w:rPr>
      </w:pPr>
    </w:p>
    <w:p>
      <w:pPr>
        <w:ind w:firstLine="342"/>
        <w:spacing w:after="0" w:line="268" w:lineRule="auto"/>
        <w:rPr>
          <w:sz w:val="20"/>
          <w:szCs w:val="20"/>
          <w:color w:val="auto"/>
        </w:rPr>
      </w:pPr>
      <w:r>
        <w:rPr>
          <w:rFonts w:ascii="Arial" w:cs="Arial" w:eastAsia="Arial" w:hAnsi="Arial"/>
          <w:sz w:val="16"/>
          <w:szCs w:val="16"/>
          <w:color w:val="auto"/>
        </w:rPr>
        <w:t>Goodwill and tradenames with an indefinite life are tested for impairment whenever events or changes in circumstances indicate that an impairment may have occurred and at least annually in the fourth quarter of each fiscal year. The carrying value of tradenames with an indefinite life is compared to its fair value determined by calculating the discounted present value of assumed after-tax royalty payments to the carrying value of the tradename. There was no impairment related to tradenames in fiscal 2018, 2017 or 2016. Goodwill is tested for impairment by using a quantitative assessment by comparing the carrying value of the related reporting unit to its fair value. An impairment exists when this analysis, using typical valuation models such as the discounted cash flow method, shows that the fair value of the reporting unit is less than the carrying cost of the reporting unit. We may assess qualitative factors to determine if it is more likely than not that the fair value of a reporting unit is less than its carrying amount, including goodwill. The assessment of qualitative factors is optional and at the Company’s discretion. In fiscal 2018 and fiscal 2017, we bypassed the qualitative assessment and performed the first step of the quantitative goodwill impairment test. In fiscal 2018 the Company recorded an impairment charge of $97.3 million for STP goodwill as the estimated fair value of this business fell below the carrying value due to a decrease in projected revenue growth rates. There were no impairments related to our goodwill in fiscal 2017 or 2016.</w:t>
      </w:r>
    </w:p>
    <w:p>
      <w:pPr>
        <w:spacing w:after="0" w:line="235" w:lineRule="exact"/>
        <w:rPr>
          <w:sz w:val="20"/>
          <w:szCs w:val="20"/>
          <w:color w:val="auto"/>
        </w:rPr>
      </w:pPr>
    </w:p>
    <w:p>
      <w:pPr>
        <w:ind w:right="320" w:firstLine="342"/>
        <w:spacing w:after="0" w:line="262" w:lineRule="auto"/>
        <w:rPr>
          <w:sz w:val="20"/>
          <w:szCs w:val="20"/>
          <w:color w:val="auto"/>
        </w:rPr>
      </w:pPr>
      <w:r>
        <w:rPr>
          <w:rFonts w:ascii="Arial" w:cs="Arial" w:eastAsia="Arial" w:hAnsi="Arial"/>
          <w:sz w:val="18"/>
          <w:szCs w:val="18"/>
          <w:b w:val="1"/>
          <w:bCs w:val="1"/>
          <w:i w:val="1"/>
          <w:iCs w:val="1"/>
          <w:color w:val="auto"/>
        </w:rPr>
        <w:t xml:space="preserve">Advertising Costs: </w:t>
      </w:r>
      <w:r>
        <w:rPr>
          <w:rFonts w:ascii="Arial" w:cs="Arial" w:eastAsia="Arial" w:hAnsi="Arial"/>
          <w:sz w:val="18"/>
          <w:szCs w:val="18"/>
          <w:color w:val="auto"/>
        </w:rPr>
        <w:t>TJX expenses advertising costs as incurred. Advertising expense was $412.4 million for fiscal 2018, $402.6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2017 and $382.9 million for fiscal 2016.</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91" w:right="239" w:bottom="1440" w:gutter="0" w:footer="0" w:header="0"/>
        </w:sectPr>
      </w:pPr>
    </w:p>
    <w:bookmarkStart w:id="62" w:name="page63"/>
    <w:bookmarkEnd w:id="62"/>
    <w:p>
      <w:pPr>
        <w:ind w:right="60" w:firstLine="342"/>
        <w:spacing w:after="0" w:line="24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Currency Translation: </w:t>
      </w:r>
      <w:r>
        <w:rPr>
          <w:rFonts w:ascii="Arial" w:cs="Arial" w:eastAsia="Arial" w:hAnsi="Arial"/>
          <w:sz w:val="18"/>
          <w:szCs w:val="18"/>
          <w:color w:val="auto"/>
        </w:rPr>
        <w:t>TJX’s foreign assets and liabilities are translated into U.S. dollars at fiscal year-end exchange rates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translation gains and losses included in shareholders’ equity as a component of accumulated other comprehensive income (loss). Activity of the foreign operations that affect the statements of income and cash flows is translated at average exchange rates prevailing during the fiscal year.</w:t>
      </w:r>
    </w:p>
    <w:p>
      <w:pPr>
        <w:spacing w:after="0" w:line="50" w:lineRule="exact"/>
        <w:rPr>
          <w:sz w:val="20"/>
          <w:szCs w:val="20"/>
          <w:color w:val="auto"/>
        </w:rPr>
      </w:pPr>
    </w:p>
    <w:p>
      <w:pPr>
        <w:ind w:right="40" w:firstLine="342"/>
        <w:spacing w:after="0" w:line="244" w:lineRule="auto"/>
        <w:rPr>
          <w:sz w:val="20"/>
          <w:szCs w:val="20"/>
          <w:color w:val="auto"/>
        </w:rPr>
      </w:pPr>
      <w:r>
        <w:rPr>
          <w:rFonts w:ascii="Arial" w:cs="Arial" w:eastAsia="Arial" w:hAnsi="Arial"/>
          <w:sz w:val="18"/>
          <w:szCs w:val="18"/>
          <w:b w:val="1"/>
          <w:bCs w:val="1"/>
          <w:i w:val="1"/>
          <w:iCs w:val="1"/>
          <w:color w:val="auto"/>
        </w:rPr>
        <w:t xml:space="preserve">Loss Contingencies: </w:t>
      </w:r>
      <w:r>
        <w:rPr>
          <w:rFonts w:ascii="Arial" w:cs="Arial" w:eastAsia="Arial" w:hAnsi="Arial"/>
          <w:sz w:val="18"/>
          <w:szCs w:val="18"/>
          <w:color w:val="auto"/>
        </w:rPr>
        <w:t>TJX records a reserve for loss contingencies when it is both probable that a loss will be incurred and the amount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is reasonably estimable. TJX evaluates pending litigation and other contingencies at least quarterly and adjusts the reserve for such contingencies for changes in probable and reasonably estimable losses. TJX includes an estimate for related legal costs at the time such costs are both probable and reasonably estimable.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77"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In May 2014, the Financial Accounting Standards Board (the “FASB”) issued updated guidance on revenue recognition. The new guidance supersedes most preexisting revenue recognition guidance. The core principle of the guidance is that an entity should recognize revenue to depict the transfer of promised goods or services to customers in an amount that reflects the consideration to which the entity expects to be entitled in exchange for those goods or services. The new standard is effective for annual reporting periods beginning after December 15, 2017. We will adopt the new revenue recognition guidance on February 4, 2018 under the modified retrospective approach, which will result in immaterial cumulative adjustment to retained earnings. The cumulative adjustment will primarily relate to revenue recognized on the value of unredeemed rewards certificates issued to customers as part of the Company’s cobranded credit card rewards program as we will recognize the estimated unredeemed awards when they are earned, rather than when merchandise credits expire or the likelihood of redemption becomes remote. Other changes that have been identified relate to the presentation of revenue whereby outside cobranded credit card expenses will be classified as SG&amp;A rather than as a reduction of revenue. The new standard will require a change in the presentation of our sales return reserve on the balance sheet, which we currently record net of the value of returned merchandise. The new standard will require the reserve be established at the gross sales value with an asset established for the value of the merchandise returned. We believe that there will be no change in the timing or amount of revenue recognized under the new standard as it relates to revenue from point of sale at the registers in our stores, which constitutes more than 95% of our revenue. Overall we do not expect these changes to have a material impact on our financial condition or results of operations other than additional disclosure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77" w:lineRule="exact"/>
        <w:rPr>
          <w:sz w:val="20"/>
          <w:szCs w:val="20"/>
          <w:color w:val="auto"/>
        </w:rPr>
      </w:pPr>
    </w:p>
    <w:p>
      <w:pPr>
        <w:ind w:firstLine="342"/>
        <w:spacing w:after="0" w:line="267" w:lineRule="auto"/>
        <w:rPr>
          <w:sz w:val="20"/>
          <w:szCs w:val="20"/>
          <w:color w:val="auto"/>
        </w:rPr>
      </w:pPr>
      <w:r>
        <w:rPr>
          <w:rFonts w:ascii="Arial" w:cs="Arial" w:eastAsia="Arial" w:hAnsi="Arial"/>
          <w:sz w:val="16"/>
          <w:szCs w:val="16"/>
          <w:color w:val="auto"/>
        </w:rPr>
        <w:t>In February 2016, the FASB issued updated guidance on leases that aims to increase transparency and comparability among organizations by requiring lessees to recognize lease assets and lease liabilities on the balance sheet and requiring disclosure of key information about leasing arrangements. The new standard is effective for annual periods beginning after December 15, 2018, and interim periods within those annual periods; early adoption is permitted and modified retrospective application is required. We plan to adopt this standard in the first quarter of the fiscal year ending February 1, 2020. The Company is in the process of implementing a new lease accounting system and has established a cross-functional team to implement the updated lease guidance and who are in the process of evaluating our lease portfolio and the impact this standard will have on our Consolidated Financial Statements and Notes thereto. The Company expects this standard to have a material impact on its statement of financial condition as it will record a significant asset and liability associated with its more than 4,000 leased locations. We plan to take the transition package of three practical expedients permitted within the standard, which among other things, allows the carryforward of historical lease classifications. We expect to make an accounting policy election that will keep leases with a term of 12 months or less off the balance sheet and result in recognizing those lease payments on a straight-line basis over the lease term. As our leases do not provide an implicit rate, we plan to use our incremental borrowing rate based on information available at commencement date in the determining the present value of future payments. The Company has determined that the initial lease term will not differ under the new standard versus current accounting practice, and therefore the income statement impact of the new standard is not expected to be material.</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7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Flows</w:t>
      </w:r>
    </w:p>
    <w:p>
      <w:pPr>
        <w:spacing w:after="0" w:line="77" w:lineRule="exact"/>
        <w:rPr>
          <w:sz w:val="20"/>
          <w:szCs w:val="20"/>
          <w:color w:val="auto"/>
        </w:rPr>
      </w:pPr>
    </w:p>
    <w:p>
      <w:pPr>
        <w:ind w:firstLine="342"/>
        <w:spacing w:after="0" w:line="273" w:lineRule="auto"/>
        <w:rPr>
          <w:sz w:val="20"/>
          <w:szCs w:val="20"/>
          <w:color w:val="auto"/>
        </w:rPr>
      </w:pPr>
      <w:r>
        <w:rPr>
          <w:rFonts w:ascii="Arial" w:cs="Arial" w:eastAsia="Arial" w:hAnsi="Arial"/>
          <w:sz w:val="16"/>
          <w:szCs w:val="16"/>
          <w:color w:val="auto"/>
        </w:rPr>
        <w:t>In August 2016, the FASB issued a pronouncement that addresses diversity in how certain cash receipts and cash payments are presented in the statement of cash flows. The new guidance provides clarity around the cash flow classification for eight specific issues in an effort to reduce the current and potential future diversity in practice. The standard, which is to be applied retrospectively, will be effective for the first interim period within annual reporting periods beginning after December 15, 2017, and early adoption is permitted. We plan to adopt this standard in the first quarter of the fiscal year ending February 2, 2019 and we do not expect there to be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Benefits</w:t>
      </w:r>
    </w:p>
    <w:p>
      <w:pPr>
        <w:spacing w:after="0" w:line="77"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In March 2017, the FASB issued updated guidance related to retirement benefits, which requires that an employer report the service cost component of net periodic pension and net periodic post retirement cost in the same line item as other compensation costs arising from services rendered by the employees during the period. It also requires the other components of net periodic pension and net periodic postretirement benefit cost to be presented in the income statement separately from the service cost component and outside a subtotal of income from operations if such a subtotal is typically presented. We do not include such a subtotal on our income statement so we intend to record the non-service components of pension cost in our SG&amp;A expenses and present appropriate disclosures. Additionally, only the service cost component is eligible for capitalization. This pronouncement is effective for annual periods beginning after December 15, 2017, and interim periods within those fiscal years. Early adoption is permitted as of the beginning of an annual period for which financial statements have not been issued or made available for issuance. The amendments in this update are to be applied retrospectively for the presentation of the service cost component and the other components of net periodic pension cost as well as net periodic postretirement benefit cost in the income statement and prospectively, on and after the effective date, for the capitalization of the service cost component of net periodic pension cost and net periodic postretirement benefit in assets. We plan to adopt this standard in the first quarter of the fiscal year ending February 2, 2019. We do not expect there to be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Hedging Activities</w:t>
      </w:r>
    </w:p>
    <w:p>
      <w:pPr>
        <w:spacing w:after="0" w:line="77" w:lineRule="exact"/>
        <w:rPr>
          <w:sz w:val="20"/>
          <w:szCs w:val="20"/>
          <w:color w:val="auto"/>
        </w:rPr>
      </w:pPr>
    </w:p>
    <w:p>
      <w:pPr>
        <w:ind w:right="140" w:firstLine="342"/>
        <w:spacing w:after="0" w:line="236" w:lineRule="auto"/>
        <w:rPr>
          <w:sz w:val="20"/>
          <w:szCs w:val="20"/>
          <w:color w:val="auto"/>
        </w:rPr>
      </w:pPr>
      <w:r>
        <w:rPr>
          <w:rFonts w:ascii="Arial" w:cs="Arial" w:eastAsia="Arial" w:hAnsi="Arial"/>
          <w:sz w:val="18"/>
          <w:szCs w:val="18"/>
          <w:color w:val="auto"/>
        </w:rPr>
        <w:t>In August 2017, the FASB issued updated guidance on hedge accounting. The updates allow hedge accounting for new types of interest rate hedges of financial instruments and simplify documentation requirements to qualify for hedge accounting. In addition, any gain or loss from hedge ineffectiveness will be reported in the same income statement line with the effective hedge results and the hedged transaction. The updated guidance is effective for annual reporting periods beginning after December 15, 2018, and early adoption is permitted. The Company has not yet determined the timing for adoption or estimated the effect on the Company’s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Statement – Reporting Comprehensive Income</w:t>
      </w:r>
    </w:p>
    <w:p>
      <w:pPr>
        <w:spacing w:after="0" w:line="77"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In February 2018, the FASB issued updated guidance related to reporting comprehensive income. The amendments in the update allow for a one-time reclassification from accumulated other comprehensive income (“AOCI”) to retained earnings for stranded tax effect as a result from the enactment of the Tax Cuts and Jobs Act of 2017 (“2017 Tax Act”). The updated guidance is effective for all entities for fiscal years beginning after December 15, 2018, and interim periods within those fiscal years. Early adoption is permitted, including adoption in any interim period for reporting periods for which financial statements have not yet been issued. The updated guidance should be applied either in the period of adoption or retrospectively to each period (or periods) in which the effect of the change in the 2017 Tax Act is recognized. The Company has not yet determined the timing of adoption or estimated the effect on the Company’s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77"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In the fourth quarter of fiscal 2018, TJX early adopted a pronouncement that simplifies the subsequent measurement of goodwill by eliminating Step 2 from the goodwill impairment test. Under the new guidance, goodwill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91" w:right="239" w:bottom="1440" w:gutter="0" w:footer="0" w:header="0"/>
        </w:sectPr>
      </w:pPr>
    </w:p>
    <w:bookmarkStart w:id="64" w:name="page65"/>
    <w:bookmarkEnd w:id="64"/>
    <w:p>
      <w:pPr>
        <w:ind w:right="2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impairment is to be measured as the amount by which the carrying value exceeds the fair value of the reporting unit. The loss recognized should not exceed the total amount of goodwill allocated to the reporting unit.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Based Compensation</w:t>
      </w:r>
    </w:p>
    <w:p>
      <w:pPr>
        <w:spacing w:after="0" w:line="77" w:lineRule="exact"/>
        <w:rPr>
          <w:sz w:val="20"/>
          <w:szCs w:val="20"/>
          <w:color w:val="auto"/>
        </w:rPr>
      </w:pPr>
    </w:p>
    <w:p>
      <w:pPr>
        <w:ind w:right="80" w:firstLine="342"/>
        <w:spacing w:after="0" w:line="235" w:lineRule="auto"/>
        <w:rPr>
          <w:sz w:val="20"/>
          <w:szCs w:val="20"/>
          <w:color w:val="auto"/>
        </w:rPr>
      </w:pPr>
      <w:r>
        <w:rPr>
          <w:rFonts w:ascii="Arial" w:cs="Arial" w:eastAsia="Arial" w:hAnsi="Arial"/>
          <w:sz w:val="18"/>
          <w:szCs w:val="18"/>
          <w:color w:val="auto"/>
        </w:rPr>
        <w:t>In the first quarter of fiscal 2018, TJX adopted a pronouncement that aims to simplify several aspects of accounting and reporting for share-based payment transactions. One provision within this pronouncement requires that excess income tax benefits and tax deficiencies related to share-based payments be recognized within income tax expense in the statement of income, rather than within additional paid-in capital on the balance sheet. The adoption of this provision has been applied prospectively. The impact to TJX’s results of operations related to the adoption of this standard was a decrease in the provision for income taxes of $51.5 million for the fiscal year ended February 3, 2018. The impact of this benefit on TJX’s future results of operations will depend in part on the market prices for TJX’s shares on the dates there are taxable events related to share awards, and therefore the impact is difficult to predict. In addition, this pronouncement requires the cash paid to a taxing authority when shares are withheld to pay employee taxes to be classified as a “financing activity” rather than an “operating activity,” as previously classified on the Statement of Cash Flows. This reclassification was made on a retrospective basis. This provisions within the pronouncement did not have a material impact on our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Property at Cost</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are the components of property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56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4"/>
                <w:szCs w:val="14"/>
                <w:color w:val="auto"/>
              </w:rPr>
              <w:t>Fiscal Year Ended</w:t>
            </w:r>
          </w:p>
        </w:tc>
      </w:tr>
      <w:tr>
        <w:trPr>
          <w:trHeight w:val="125"/>
        </w:trPr>
        <w:tc>
          <w:tcPr>
            <w:tcW w:w="8860" w:type="dxa"/>
            <w:vAlign w:val="bottom"/>
          </w:tcPr>
          <w:p>
            <w:pPr>
              <w:spacing w:after="0"/>
              <w:rPr>
                <w:sz w:val="10"/>
                <w:szCs w:val="10"/>
                <w:color w:val="auto"/>
              </w:rPr>
            </w:pPr>
          </w:p>
        </w:tc>
        <w:tc>
          <w:tcPr>
            <w:tcW w:w="1420" w:type="dxa"/>
            <w:vAlign w:val="bottom"/>
          </w:tcPr>
          <w:p>
            <w:pPr>
              <w:jc w:val="right"/>
              <w:ind w:right="119"/>
              <w:spacing w:after="0" w:line="125" w:lineRule="exact"/>
              <w:rPr>
                <w:sz w:val="20"/>
                <w:szCs w:val="20"/>
                <w:color w:val="auto"/>
              </w:rPr>
            </w:pPr>
            <w:r>
              <w:rPr>
                <w:rFonts w:ascii="Arial" w:cs="Arial" w:eastAsia="Arial" w:hAnsi="Arial"/>
                <w:sz w:val="14"/>
                <w:szCs w:val="14"/>
                <w:b w:val="1"/>
                <w:bCs w:val="1"/>
                <w:color w:val="auto"/>
              </w:rPr>
              <w:t>February 3,</w:t>
            </w:r>
          </w:p>
        </w:tc>
        <w:tc>
          <w:tcPr>
            <w:tcW w:w="1140" w:type="dxa"/>
            <w:vAlign w:val="bottom"/>
          </w:tcPr>
          <w:p>
            <w:pPr>
              <w:jc w:val="right"/>
              <w:spacing w:after="0" w:line="125" w:lineRule="exact"/>
              <w:rPr>
                <w:sz w:val="20"/>
                <w:szCs w:val="20"/>
                <w:color w:val="auto"/>
              </w:rPr>
            </w:pPr>
            <w:r>
              <w:rPr>
                <w:rFonts w:ascii="Arial" w:cs="Arial" w:eastAsia="Arial" w:hAnsi="Arial"/>
                <w:sz w:val="14"/>
                <w:szCs w:val="14"/>
                <w:color w:val="auto"/>
              </w:rPr>
              <w:t>January 28,</w:t>
            </w:r>
          </w:p>
        </w:tc>
      </w:tr>
      <w:tr>
        <w:trPr>
          <w:trHeight w:val="165"/>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 and buildings</w:t>
            </w:r>
          </w:p>
        </w:tc>
        <w:tc>
          <w:tcPr>
            <w:tcW w:w="142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b w:val="1"/>
                <w:bCs w:val="1"/>
                <w:color w:val="auto"/>
              </w:rPr>
              <w:t>$1,355,777</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$1,247,585</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Leasehold costs and improvements</w:t>
            </w:r>
          </w:p>
        </w:tc>
        <w:tc>
          <w:tcPr>
            <w:tcW w:w="1420" w:type="dxa"/>
            <w:vAlign w:val="bottom"/>
          </w:tcPr>
          <w:p>
            <w:pPr>
              <w:jc w:val="right"/>
              <w:ind w:right="119"/>
              <w:spacing w:after="0" w:line="202" w:lineRule="exact"/>
              <w:rPr>
                <w:sz w:val="20"/>
                <w:szCs w:val="20"/>
                <w:color w:val="auto"/>
              </w:rPr>
            </w:pPr>
            <w:r>
              <w:rPr>
                <w:rFonts w:ascii="Arial" w:cs="Arial" w:eastAsia="Arial" w:hAnsi="Arial"/>
                <w:sz w:val="18"/>
                <w:szCs w:val="18"/>
                <w:b w:val="1"/>
                <w:bCs w:val="1"/>
                <w:color w:val="auto"/>
              </w:rPr>
              <w:t>3,254,830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2,884,054</w:t>
            </w:r>
          </w:p>
        </w:tc>
      </w:tr>
      <w:tr>
        <w:trPr>
          <w:trHeight w:val="203"/>
        </w:trPr>
        <w:tc>
          <w:tcPr>
            <w:tcW w:w="8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142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5,357,701</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4,871,764</w:t>
            </w:r>
          </w:p>
        </w:tc>
      </w:tr>
      <w:tr>
        <w:trPr>
          <w:trHeight w:val="196"/>
        </w:trPr>
        <w:tc>
          <w:tcPr>
            <w:tcW w:w="8860" w:type="dxa"/>
            <w:vAlign w:val="bottom"/>
          </w:tcPr>
          <w:p>
            <w:pPr>
              <w:ind w:left="220"/>
              <w:spacing w:after="0" w:line="196" w:lineRule="exact"/>
              <w:rPr>
                <w:sz w:val="20"/>
                <w:szCs w:val="20"/>
                <w:color w:val="auto"/>
              </w:rPr>
            </w:pPr>
            <w:r>
              <w:rPr>
                <w:rFonts w:ascii="Arial" w:cs="Arial" w:eastAsia="Arial" w:hAnsi="Arial"/>
                <w:sz w:val="18"/>
                <w:szCs w:val="18"/>
                <w:color w:val="auto"/>
              </w:rPr>
              <w:t>Total property at cost</w:t>
            </w:r>
          </w:p>
        </w:tc>
        <w:tc>
          <w:tcPr>
            <w:tcW w:w="1420" w:type="dxa"/>
            <w:vAlign w:val="bottom"/>
          </w:tcPr>
          <w:p>
            <w:pPr>
              <w:jc w:val="right"/>
              <w:ind w:right="119"/>
              <w:spacing w:after="0" w:line="196" w:lineRule="exact"/>
              <w:rPr>
                <w:sz w:val="20"/>
                <w:szCs w:val="20"/>
                <w:color w:val="auto"/>
              </w:rPr>
            </w:pPr>
            <w:r>
              <w:rPr>
                <w:rFonts w:ascii="Arial" w:cs="Arial" w:eastAsia="Arial" w:hAnsi="Arial"/>
                <w:sz w:val="18"/>
                <w:szCs w:val="18"/>
                <w:b w:val="1"/>
                <w:bCs w:val="1"/>
                <w:color w:val="auto"/>
              </w:rPr>
              <w:t>$9,968,308</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$9,003,403</w:t>
            </w:r>
          </w:p>
        </w:tc>
      </w:tr>
      <w:tr>
        <w:trPr>
          <w:trHeight w:val="203"/>
        </w:trPr>
        <w:tc>
          <w:tcPr>
            <w:tcW w:w="8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2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4,962,255</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4,470,509</w:t>
            </w:r>
          </w:p>
        </w:tc>
      </w:tr>
      <w:tr>
        <w:trPr>
          <w:trHeight w:val="196"/>
        </w:trPr>
        <w:tc>
          <w:tcPr>
            <w:tcW w:w="88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Net property at cost</w:t>
            </w:r>
          </w:p>
        </w:tc>
        <w:tc>
          <w:tcPr>
            <w:tcW w:w="142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b w:val="1"/>
                <w:bCs w:val="1"/>
                <w:color w:val="auto"/>
              </w:rPr>
              <w:t>$5,006,053</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$4,532,894</w:t>
            </w:r>
          </w:p>
        </w:tc>
      </w:tr>
      <w:tr>
        <w:trPr>
          <w:trHeight w:val="289"/>
        </w:trPr>
        <w:tc>
          <w:tcPr>
            <w:tcW w:w="8860" w:type="dxa"/>
            <w:vAlign w:val="bottom"/>
          </w:tcPr>
          <w:p>
            <w:pPr>
              <w:ind w:left="360"/>
              <w:spacing w:after="0"/>
              <w:rPr>
                <w:sz w:val="20"/>
                <w:szCs w:val="20"/>
                <w:color w:val="auto"/>
              </w:rPr>
            </w:pPr>
            <w:r>
              <w:rPr>
                <w:rFonts w:ascii="Arial" w:cs="Arial" w:eastAsia="Arial" w:hAnsi="Arial"/>
                <w:sz w:val="18"/>
                <w:szCs w:val="18"/>
                <w:color w:val="auto"/>
                <w:w w:val="99"/>
              </w:rPr>
              <w:t>Presented below is information related to carrying values of TJX’s long-lived assets by geographic location:</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0"/>
        </w:trPr>
        <w:tc>
          <w:tcPr>
            <w:tcW w:w="88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r>
      <w:tr>
        <w:trPr>
          <w:trHeight w:val="237"/>
        </w:trPr>
        <w:tc>
          <w:tcPr>
            <w:tcW w:w="8860" w:type="dxa"/>
            <w:vAlign w:val="bottom"/>
          </w:tcPr>
          <w:p>
            <w:pPr>
              <w:spacing w:after="0"/>
              <w:rPr>
                <w:sz w:val="20"/>
                <w:szCs w:val="20"/>
                <w:color w:val="auto"/>
              </w:rPr>
            </w:pPr>
          </w:p>
        </w:tc>
        <w:tc>
          <w:tcPr>
            <w:tcW w:w="256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4"/>
                <w:szCs w:val="14"/>
                <w:color w:val="auto"/>
              </w:rPr>
              <w:t>Fiscal Year Ended</w:t>
            </w:r>
          </w:p>
        </w:tc>
      </w:tr>
      <w:tr>
        <w:trPr>
          <w:trHeight w:val="125"/>
        </w:trPr>
        <w:tc>
          <w:tcPr>
            <w:tcW w:w="8860" w:type="dxa"/>
            <w:vAlign w:val="bottom"/>
          </w:tcPr>
          <w:p>
            <w:pPr>
              <w:spacing w:after="0"/>
              <w:rPr>
                <w:sz w:val="10"/>
                <w:szCs w:val="10"/>
                <w:color w:val="auto"/>
              </w:rPr>
            </w:pPr>
          </w:p>
        </w:tc>
        <w:tc>
          <w:tcPr>
            <w:tcW w:w="1420" w:type="dxa"/>
            <w:vAlign w:val="bottom"/>
          </w:tcPr>
          <w:p>
            <w:pPr>
              <w:jc w:val="right"/>
              <w:ind w:right="119"/>
              <w:spacing w:after="0" w:line="125" w:lineRule="exact"/>
              <w:rPr>
                <w:sz w:val="20"/>
                <w:szCs w:val="20"/>
                <w:color w:val="auto"/>
              </w:rPr>
            </w:pPr>
            <w:r>
              <w:rPr>
                <w:rFonts w:ascii="Arial" w:cs="Arial" w:eastAsia="Arial" w:hAnsi="Arial"/>
                <w:sz w:val="14"/>
                <w:szCs w:val="14"/>
                <w:b w:val="1"/>
                <w:bCs w:val="1"/>
                <w:color w:val="auto"/>
              </w:rPr>
              <w:t>February 3,</w:t>
            </w:r>
          </w:p>
        </w:tc>
        <w:tc>
          <w:tcPr>
            <w:tcW w:w="1140" w:type="dxa"/>
            <w:vAlign w:val="bottom"/>
          </w:tcPr>
          <w:p>
            <w:pPr>
              <w:jc w:val="right"/>
              <w:spacing w:after="0" w:line="125" w:lineRule="exact"/>
              <w:rPr>
                <w:sz w:val="20"/>
                <w:szCs w:val="20"/>
                <w:color w:val="auto"/>
              </w:rPr>
            </w:pPr>
            <w:r>
              <w:rPr>
                <w:rFonts w:ascii="Arial" w:cs="Arial" w:eastAsia="Arial" w:hAnsi="Arial"/>
                <w:sz w:val="14"/>
                <w:szCs w:val="14"/>
                <w:color w:val="auto"/>
              </w:rPr>
              <w:t>January 28,</w:t>
            </w:r>
          </w:p>
        </w:tc>
      </w:tr>
      <w:tr>
        <w:trPr>
          <w:trHeight w:val="179"/>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42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b w:val="1"/>
                <w:bCs w:val="1"/>
                <w:color w:val="auto"/>
              </w:rPr>
              <w:t>$3,514,628</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$3,312,210</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1420" w:type="dxa"/>
            <w:vAlign w:val="bottom"/>
          </w:tcPr>
          <w:p>
            <w:pPr>
              <w:jc w:val="right"/>
              <w:ind w:right="119"/>
              <w:spacing w:after="0" w:line="202" w:lineRule="exact"/>
              <w:rPr>
                <w:sz w:val="20"/>
                <w:szCs w:val="20"/>
                <w:color w:val="auto"/>
              </w:rPr>
            </w:pPr>
            <w:r>
              <w:rPr>
                <w:rFonts w:ascii="Arial" w:cs="Arial" w:eastAsia="Arial" w:hAnsi="Arial"/>
                <w:sz w:val="18"/>
                <w:szCs w:val="18"/>
                <w:b w:val="1"/>
                <w:bCs w:val="1"/>
                <w:color w:val="auto"/>
              </w:rPr>
              <w:t>308,259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283,688</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42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1,151,972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920,710</w:t>
            </w:r>
          </w:p>
        </w:tc>
      </w:tr>
      <w:tr>
        <w:trPr>
          <w:trHeight w:val="203"/>
        </w:trPr>
        <w:tc>
          <w:tcPr>
            <w:tcW w:w="8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Australia</w:t>
            </w:r>
          </w:p>
        </w:tc>
        <w:tc>
          <w:tcPr>
            <w:tcW w:w="1420" w:type="dxa"/>
            <w:vAlign w:val="bottom"/>
            <w:tcBorders>
              <w:bottom w:val="single" w:sz="8" w:color="auto"/>
            </w:tcBorders>
          </w:tcPr>
          <w:p>
            <w:pPr>
              <w:jc w:val="right"/>
              <w:ind w:right="119"/>
              <w:spacing w:after="0" w:line="202" w:lineRule="exact"/>
              <w:rPr>
                <w:sz w:val="20"/>
                <w:szCs w:val="20"/>
                <w:color w:val="auto"/>
              </w:rPr>
            </w:pPr>
            <w:r>
              <w:rPr>
                <w:rFonts w:ascii="Arial" w:cs="Arial" w:eastAsia="Arial" w:hAnsi="Arial"/>
                <w:sz w:val="18"/>
                <w:szCs w:val="18"/>
                <w:b w:val="1"/>
                <w:bCs w:val="1"/>
                <w:color w:val="auto"/>
              </w:rPr>
              <w:t>31,194</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16,286</w:t>
            </w:r>
          </w:p>
        </w:tc>
      </w:tr>
      <w:tr>
        <w:trPr>
          <w:trHeight w:val="196"/>
        </w:trPr>
        <w:tc>
          <w:tcPr>
            <w:tcW w:w="8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long-lived assets</w:t>
            </w:r>
          </w:p>
        </w:tc>
        <w:tc>
          <w:tcPr>
            <w:tcW w:w="142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b w:val="1"/>
                <w:bCs w:val="1"/>
                <w:color w:val="auto"/>
              </w:rPr>
              <w:t>$5,006,053</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$4,532,894</w:t>
            </w:r>
          </w:p>
        </w:tc>
      </w:tr>
      <w:tr>
        <w:trPr>
          <w:trHeight w:val="356"/>
        </w:trPr>
        <w:tc>
          <w:tcPr>
            <w:tcW w:w="8860" w:type="dxa"/>
            <w:vAlign w:val="bottom"/>
          </w:tcPr>
          <w:p>
            <w:pPr>
              <w:ind w:left="5540"/>
              <w:spacing w:after="0"/>
              <w:rPr>
                <w:sz w:val="20"/>
                <w:szCs w:val="20"/>
                <w:color w:val="auto"/>
              </w:rPr>
            </w:pPr>
            <w:r>
              <w:rPr>
                <w:rFonts w:ascii="Arial" w:cs="Arial" w:eastAsia="Arial" w:hAnsi="Arial"/>
                <w:sz w:val="18"/>
                <w:szCs w:val="18"/>
                <w:color w:val="auto"/>
              </w:rPr>
              <w:t>F-15</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65" w:name="page66"/>
    <w:bookmarkEnd w:id="65"/>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C.</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99"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Amounts included in accumulated other comprehensive income (loss) relate to the Company’s foreign currency translation adjustments, deferred gains/losses on pension and other post-retirement obligations and a cash flow hedge on issued debt, all of which are recorded net of the related income tax effects. The following table details the changes in accumulated other comprehensive income (loss) for fiscal 2018, fiscal 2017 and fiscal 2016:</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40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Foreign</w:t>
            </w:r>
          </w:p>
        </w:tc>
        <w:tc>
          <w:tcPr>
            <w:tcW w:w="1340" w:type="dxa"/>
            <w:vAlign w:val="bottom"/>
            <w:vMerge w:val="restart"/>
          </w:tcPr>
          <w:p>
            <w:pPr>
              <w:jc w:val="right"/>
              <w:ind w:right="214"/>
              <w:spacing w:after="0"/>
              <w:rPr>
                <w:sz w:val="20"/>
                <w:szCs w:val="20"/>
                <w:color w:val="auto"/>
              </w:rPr>
            </w:pPr>
            <w:r>
              <w:rPr>
                <w:rFonts w:ascii="Arial" w:cs="Arial" w:eastAsia="Arial" w:hAnsi="Arial"/>
                <w:sz w:val="14"/>
                <w:szCs w:val="14"/>
                <w:color w:val="auto"/>
              </w:rPr>
              <w:t>Deferred</w:t>
            </w: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1400" w:type="dxa"/>
            <w:vAlign w:val="bottom"/>
          </w:tcPr>
          <w:p>
            <w:pPr>
              <w:jc w:val="right"/>
              <w:ind w:right="215"/>
              <w:spacing w:after="0" w:line="135" w:lineRule="exact"/>
              <w:rPr>
                <w:sz w:val="20"/>
                <w:szCs w:val="20"/>
                <w:color w:val="auto"/>
              </w:rPr>
            </w:pPr>
            <w:r>
              <w:rPr>
                <w:rFonts w:ascii="Arial" w:cs="Arial" w:eastAsia="Arial" w:hAnsi="Arial"/>
                <w:sz w:val="14"/>
                <w:szCs w:val="14"/>
                <w:color w:val="auto"/>
              </w:rPr>
              <w:t>Currency</w:t>
            </w:r>
          </w:p>
        </w:tc>
        <w:tc>
          <w:tcPr>
            <w:tcW w:w="1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jc w:val="right"/>
              <w:ind w:right="213"/>
              <w:spacing w:after="0" w:line="135" w:lineRule="exact"/>
              <w:rPr>
                <w:sz w:val="20"/>
                <w:szCs w:val="20"/>
                <w:color w:val="auto"/>
              </w:rPr>
            </w:pPr>
            <w:r>
              <w:rPr>
                <w:rFonts w:ascii="Arial" w:cs="Arial" w:eastAsia="Arial" w:hAnsi="Arial"/>
                <w:sz w:val="14"/>
                <w:szCs w:val="14"/>
                <w:color w:val="auto"/>
              </w:rPr>
              <w:t>Cash Flow</w:t>
            </w:r>
          </w:p>
        </w:tc>
        <w:tc>
          <w:tcPr>
            <w:tcW w:w="1300" w:type="dxa"/>
            <w:vAlign w:val="bottom"/>
            <w:gridSpan w:val="2"/>
          </w:tcPr>
          <w:p>
            <w:pPr>
              <w:jc w:val="right"/>
              <w:ind w:right="15"/>
              <w:spacing w:after="0" w:line="135" w:lineRule="exact"/>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63"/>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in thousands</w:t>
            </w:r>
          </w:p>
        </w:tc>
        <w:tc>
          <w:tcPr>
            <w:tcW w:w="14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Translation</w:t>
            </w: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Benefit Costs</w:t>
            </w: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Hedge on Debt</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94"/>
              </w:rPr>
              <w:t>Income (Loss)</w:t>
            </w: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January 31, 2015</w:t>
            </w:r>
          </w:p>
        </w:tc>
        <w:tc>
          <w:tcPr>
            <w:tcW w:w="1400" w:type="dxa"/>
            <w:vAlign w:val="bottom"/>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 (295,269)</w:t>
            </w:r>
          </w:p>
        </w:tc>
        <w:tc>
          <w:tcPr>
            <w:tcW w:w="1340" w:type="dxa"/>
            <w:vAlign w:val="bottom"/>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 (254,806)</w:t>
            </w:r>
          </w:p>
        </w:tc>
        <w:tc>
          <w:tcPr>
            <w:tcW w:w="4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(4,310)</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(554,385)</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 (net of taxes of $41,048)</w:t>
            </w:r>
          </w:p>
        </w:tc>
        <w:tc>
          <w:tcPr>
            <w:tcW w:w="14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(143,923)</w:t>
            </w:r>
          </w:p>
        </w:tc>
        <w:tc>
          <w:tcPr>
            <w:tcW w:w="13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(143,923)</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Recognition of net gains/losses on benefit obligations (net of taxes of</w:t>
            </w: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$6,335)</w:t>
            </w:r>
          </w:p>
        </w:tc>
        <w:tc>
          <w:tcPr>
            <w:tcW w:w="1400" w:type="dxa"/>
            <w:vAlign w:val="bottom"/>
            <w:shd w:val="clear" w:color="auto" w:fill="CCEEFF"/>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4"/>
              <w:spacing w:after="0" w:line="200" w:lineRule="exact"/>
              <w:rPr>
                <w:sz w:val="20"/>
                <w:szCs w:val="20"/>
                <w:color w:val="auto"/>
              </w:rPr>
            </w:pPr>
            <w:r>
              <w:rPr>
                <w:rFonts w:ascii="Arial" w:cs="Arial" w:eastAsia="Arial" w:hAnsi="Arial"/>
                <w:sz w:val="18"/>
                <w:szCs w:val="18"/>
                <w:color w:val="auto"/>
              </w:rPr>
              <w:t>9,629</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loss on cash flow hedge (net of taxes of $450)</w:t>
            </w:r>
          </w:p>
        </w:tc>
        <w:tc>
          <w:tcPr>
            <w:tcW w:w="14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684</w:t>
            </w:r>
          </w:p>
        </w:tc>
        <w:tc>
          <w:tcPr>
            <w:tcW w:w="34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Amortization of prior service cost and deferred gains/losses (net of taxes</w:t>
            </w: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Borders>
              <w:bottom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of $13,501)</w:t>
            </w:r>
          </w:p>
        </w:tc>
        <w:tc>
          <w:tcPr>
            <w:tcW w:w="1400" w:type="dxa"/>
            <w:vAlign w:val="bottom"/>
            <w:tcBorders>
              <w:bottom w:val="single" w:sz="8" w:color="auto"/>
            </w:tcBorders>
            <w:shd w:val="clear" w:color="auto" w:fill="CCEEFF"/>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14"/>
              <w:spacing w:after="0" w:line="200" w:lineRule="exact"/>
              <w:rPr>
                <w:sz w:val="20"/>
                <w:szCs w:val="20"/>
                <w:color w:val="auto"/>
              </w:rPr>
            </w:pPr>
            <w:r>
              <w:rPr>
                <w:rFonts w:ascii="Arial" w:cs="Arial" w:eastAsia="Arial" w:hAnsi="Arial"/>
                <w:sz w:val="18"/>
                <w:szCs w:val="18"/>
                <w:color w:val="auto"/>
              </w:rPr>
              <w:t>20,523</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January 30, 2016</w:t>
            </w:r>
          </w:p>
        </w:tc>
        <w:tc>
          <w:tcPr>
            <w:tcW w:w="1400" w:type="dxa"/>
            <w:vAlign w:val="bottom"/>
          </w:tcPr>
          <w:p>
            <w:pPr>
              <w:jc w:val="right"/>
              <w:ind w:right="155"/>
              <w:spacing w:after="0" w:line="196" w:lineRule="exact"/>
              <w:rPr>
                <w:sz w:val="20"/>
                <w:szCs w:val="20"/>
                <w:color w:val="auto"/>
              </w:rPr>
            </w:pPr>
            <w:r>
              <w:rPr>
                <w:rFonts w:ascii="Arial" w:cs="Arial" w:eastAsia="Arial" w:hAnsi="Arial"/>
                <w:sz w:val="18"/>
                <w:szCs w:val="18"/>
                <w:color w:val="auto"/>
              </w:rPr>
              <w:t>(439,192)</w:t>
            </w:r>
          </w:p>
        </w:tc>
        <w:tc>
          <w:tcPr>
            <w:tcW w:w="1340" w:type="dxa"/>
            <w:vAlign w:val="bottom"/>
          </w:tcPr>
          <w:p>
            <w:pPr>
              <w:jc w:val="right"/>
              <w:ind w:right="154"/>
              <w:spacing w:after="0" w:line="196" w:lineRule="exact"/>
              <w:rPr>
                <w:sz w:val="20"/>
                <w:szCs w:val="20"/>
                <w:color w:val="auto"/>
              </w:rPr>
            </w:pPr>
            <w:r>
              <w:rPr>
                <w:rFonts w:ascii="Arial" w:cs="Arial" w:eastAsia="Arial" w:hAnsi="Arial"/>
                <w:sz w:val="18"/>
                <w:szCs w:val="18"/>
                <w:color w:val="auto"/>
              </w:rPr>
              <w:t>(224,654)</w:t>
            </w:r>
          </w:p>
        </w:tc>
        <w:tc>
          <w:tcPr>
            <w:tcW w:w="420" w:type="dxa"/>
            <w:vAlign w:val="bottom"/>
          </w:tcPr>
          <w:p>
            <w:pPr>
              <w:spacing w:after="0"/>
              <w:rPr>
                <w:sz w:val="17"/>
                <w:szCs w:val="17"/>
                <w:color w:val="auto"/>
              </w:rPr>
            </w:pPr>
          </w:p>
        </w:tc>
        <w:tc>
          <w:tcPr>
            <w:tcW w:w="102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(3,626)</w:t>
            </w:r>
          </w:p>
        </w:tc>
        <w:tc>
          <w:tcPr>
            <w:tcW w:w="3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(667,472)</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 (net of taxes of $25,656)</w:t>
            </w:r>
          </w:p>
        </w:tc>
        <w:tc>
          <w:tcPr>
            <w:tcW w:w="14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(52,611)</w:t>
            </w:r>
          </w:p>
        </w:tc>
        <w:tc>
          <w:tcPr>
            <w:tcW w:w="13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(52,611)</w:t>
            </w:r>
          </w:p>
        </w:tc>
        <w:tc>
          <w:tcPr>
            <w:tcW w:w="0" w:type="dxa"/>
            <w:vAlign w:val="bottom"/>
          </w:tcPr>
          <w:p>
            <w:pPr>
              <w:spacing w:after="0"/>
              <w:rPr>
                <w:sz w:val="1"/>
                <w:szCs w:val="1"/>
                <w:color w:val="auto"/>
              </w:rPr>
            </w:pPr>
          </w:p>
        </w:tc>
      </w:tr>
      <w:tr>
        <w:trPr>
          <w:trHeight w:val="206"/>
        </w:trPr>
        <w:tc>
          <w:tcPr>
            <w:tcW w:w="5940" w:type="dxa"/>
            <w:vAlign w:val="bottom"/>
          </w:tcPr>
          <w:p>
            <w:pPr>
              <w:spacing w:after="0" w:line="206" w:lineRule="exact"/>
              <w:rPr>
                <w:sz w:val="20"/>
                <w:szCs w:val="20"/>
                <w:color w:val="auto"/>
              </w:rPr>
            </w:pPr>
            <w:r>
              <w:rPr>
                <w:rFonts w:ascii="Arial" w:cs="Arial" w:eastAsia="Arial" w:hAnsi="Arial"/>
                <w:sz w:val="18"/>
                <w:szCs w:val="18"/>
                <w:color w:val="auto"/>
              </w:rPr>
              <w:t>Recognition of net gains/losses on benefit obligations (net of taxes of</w:t>
            </w: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Pr>
          <w:p>
            <w:pPr>
              <w:ind w:left="220"/>
              <w:spacing w:after="0" w:line="200" w:lineRule="exact"/>
              <w:rPr>
                <w:sz w:val="20"/>
                <w:szCs w:val="20"/>
                <w:color w:val="auto"/>
              </w:rPr>
            </w:pPr>
            <w:r>
              <w:rPr>
                <w:rFonts w:ascii="Arial" w:cs="Arial" w:eastAsia="Arial" w:hAnsi="Arial"/>
                <w:sz w:val="18"/>
                <w:szCs w:val="18"/>
                <w:color w:val="auto"/>
              </w:rPr>
              <w:t>$7,394)</w:t>
            </w:r>
          </w:p>
        </w:tc>
        <w:tc>
          <w:tcPr>
            <w:tcW w:w="1400" w:type="dxa"/>
            <w:vAlign w:val="bottom"/>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54"/>
              <w:spacing w:after="0" w:line="200" w:lineRule="exact"/>
              <w:rPr>
                <w:sz w:val="20"/>
                <w:szCs w:val="20"/>
                <w:color w:val="auto"/>
              </w:rPr>
            </w:pPr>
            <w:r>
              <w:rPr>
                <w:rFonts w:ascii="Arial" w:cs="Arial" w:eastAsia="Arial" w:hAnsi="Arial"/>
                <w:sz w:val="18"/>
                <w:szCs w:val="18"/>
                <w:color w:val="auto"/>
              </w:rPr>
              <w:t>(11,239)</w:t>
            </w:r>
          </w:p>
        </w:tc>
        <w:tc>
          <w:tcPr>
            <w:tcW w:w="420" w:type="dxa"/>
            <w:vAlign w:val="bottom"/>
          </w:tcPr>
          <w:p>
            <w:pPr>
              <w:spacing w:after="0"/>
              <w:rPr>
                <w:sz w:val="17"/>
                <w:szCs w:val="17"/>
                <w:color w:val="auto"/>
              </w:rPr>
            </w:pPr>
          </w:p>
        </w:tc>
        <w:tc>
          <w:tcPr>
            <w:tcW w:w="102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settlement charge (net of taxes of $12,369)</w:t>
            </w:r>
          </w:p>
        </w:tc>
        <w:tc>
          <w:tcPr>
            <w:tcW w:w="140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18,804</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18,804</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Amortization of loss on cash flow hedge (net of taxes of $450)</w:t>
            </w:r>
          </w:p>
        </w:tc>
        <w:tc>
          <w:tcPr>
            <w:tcW w:w="140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684</w:t>
            </w:r>
          </w:p>
        </w:tc>
        <w:tc>
          <w:tcPr>
            <w:tcW w:w="34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Amortization of prior service cost and deferred gains/losses (net of taxes</w:t>
            </w: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Borders>
              <w:bottom w:val="single" w:sz="8" w:color="auto"/>
            </w:tcBorders>
            <w:shd w:val="clear" w:color="auto" w:fill="CCEEFF"/>
          </w:tcPr>
          <w:p>
            <w:pPr>
              <w:ind w:left="220"/>
              <w:spacing w:after="0" w:line="200" w:lineRule="exact"/>
              <w:rPr>
                <w:sz w:val="20"/>
                <w:szCs w:val="20"/>
                <w:color w:val="auto"/>
              </w:rPr>
            </w:pPr>
            <w:r>
              <w:rPr>
                <w:rFonts w:ascii="Arial" w:cs="Arial" w:eastAsia="Arial" w:hAnsi="Arial"/>
                <w:sz w:val="18"/>
                <w:szCs w:val="18"/>
                <w:color w:val="auto"/>
              </w:rPr>
              <w:t>of $11,584)</w:t>
            </w:r>
          </w:p>
        </w:tc>
        <w:tc>
          <w:tcPr>
            <w:tcW w:w="1400" w:type="dxa"/>
            <w:vAlign w:val="bottom"/>
            <w:tcBorders>
              <w:bottom w:val="single" w:sz="8" w:color="auto"/>
            </w:tcBorders>
            <w:shd w:val="clear" w:color="auto" w:fill="CCEEFF"/>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14"/>
              <w:spacing w:after="0" w:line="200" w:lineRule="exact"/>
              <w:rPr>
                <w:sz w:val="20"/>
                <w:szCs w:val="20"/>
                <w:color w:val="auto"/>
              </w:rPr>
            </w:pPr>
            <w:r>
              <w:rPr>
                <w:rFonts w:ascii="Arial" w:cs="Arial" w:eastAsia="Arial" w:hAnsi="Arial"/>
                <w:sz w:val="18"/>
                <w:szCs w:val="18"/>
                <w:color w:val="auto"/>
              </w:rPr>
              <w:t>17,608</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17,608</w:t>
            </w:r>
          </w:p>
        </w:tc>
        <w:tc>
          <w:tcPr>
            <w:tcW w:w="0" w:type="dxa"/>
            <w:vAlign w:val="bottom"/>
          </w:tcPr>
          <w:p>
            <w:pPr>
              <w:spacing w:after="0"/>
              <w:rPr>
                <w:sz w:val="1"/>
                <w:szCs w:val="1"/>
                <w:color w:val="auto"/>
              </w:rPr>
            </w:pP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January 28, 2017</w:t>
            </w:r>
          </w:p>
        </w:tc>
        <w:tc>
          <w:tcPr>
            <w:tcW w:w="1400" w:type="dxa"/>
            <w:vAlign w:val="bottom"/>
          </w:tcPr>
          <w:p>
            <w:pPr>
              <w:jc w:val="right"/>
              <w:ind w:right="155"/>
              <w:spacing w:after="0" w:line="196" w:lineRule="exact"/>
              <w:rPr>
                <w:sz w:val="20"/>
                <w:szCs w:val="20"/>
                <w:color w:val="auto"/>
              </w:rPr>
            </w:pPr>
            <w:r>
              <w:rPr>
                <w:rFonts w:ascii="Arial" w:cs="Arial" w:eastAsia="Arial" w:hAnsi="Arial"/>
                <w:sz w:val="18"/>
                <w:szCs w:val="18"/>
                <w:color w:val="auto"/>
              </w:rPr>
              <w:t>(491,803)</w:t>
            </w:r>
          </w:p>
        </w:tc>
        <w:tc>
          <w:tcPr>
            <w:tcW w:w="1340" w:type="dxa"/>
            <w:vAlign w:val="bottom"/>
          </w:tcPr>
          <w:p>
            <w:pPr>
              <w:jc w:val="right"/>
              <w:ind w:right="154"/>
              <w:spacing w:after="0" w:line="196" w:lineRule="exact"/>
              <w:rPr>
                <w:sz w:val="20"/>
                <w:szCs w:val="20"/>
                <w:color w:val="auto"/>
              </w:rPr>
            </w:pPr>
            <w:r>
              <w:rPr>
                <w:rFonts w:ascii="Arial" w:cs="Arial" w:eastAsia="Arial" w:hAnsi="Arial"/>
                <w:sz w:val="18"/>
                <w:szCs w:val="18"/>
                <w:color w:val="auto"/>
              </w:rPr>
              <w:t>(199,481)</w:t>
            </w:r>
          </w:p>
        </w:tc>
        <w:tc>
          <w:tcPr>
            <w:tcW w:w="420" w:type="dxa"/>
            <w:vAlign w:val="bottom"/>
          </w:tcPr>
          <w:p>
            <w:pPr>
              <w:spacing w:after="0"/>
              <w:rPr>
                <w:sz w:val="17"/>
                <w:szCs w:val="17"/>
                <w:color w:val="auto"/>
              </w:rPr>
            </w:pPr>
          </w:p>
        </w:tc>
        <w:tc>
          <w:tcPr>
            <w:tcW w:w="102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(2,942)</w:t>
            </w:r>
          </w:p>
        </w:tc>
        <w:tc>
          <w:tcPr>
            <w:tcW w:w="3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(694,226)</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 (net of taxes of $36,929)</w:t>
            </w:r>
          </w:p>
        </w:tc>
        <w:tc>
          <w:tcPr>
            <w:tcW w:w="140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211,752</w:t>
            </w:r>
          </w:p>
        </w:tc>
        <w:tc>
          <w:tcPr>
            <w:tcW w:w="13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211,752</w:t>
            </w:r>
          </w:p>
        </w:tc>
        <w:tc>
          <w:tcPr>
            <w:tcW w:w="0" w:type="dxa"/>
            <w:vAlign w:val="bottom"/>
          </w:tcPr>
          <w:p>
            <w:pPr>
              <w:spacing w:after="0"/>
              <w:rPr>
                <w:sz w:val="1"/>
                <w:szCs w:val="1"/>
                <w:color w:val="auto"/>
              </w:rPr>
            </w:pPr>
          </w:p>
        </w:tc>
      </w:tr>
      <w:tr>
        <w:trPr>
          <w:trHeight w:val="206"/>
        </w:trPr>
        <w:tc>
          <w:tcPr>
            <w:tcW w:w="5940" w:type="dxa"/>
            <w:vAlign w:val="bottom"/>
          </w:tcPr>
          <w:p>
            <w:pPr>
              <w:spacing w:after="0" w:line="206" w:lineRule="exact"/>
              <w:rPr>
                <w:sz w:val="20"/>
                <w:szCs w:val="20"/>
                <w:color w:val="auto"/>
              </w:rPr>
            </w:pPr>
            <w:r>
              <w:rPr>
                <w:rFonts w:ascii="Arial" w:cs="Arial" w:eastAsia="Arial" w:hAnsi="Arial"/>
                <w:sz w:val="18"/>
                <w:szCs w:val="18"/>
                <w:color w:val="auto"/>
              </w:rPr>
              <w:t>Recognition of net gains/losses on benefit obligations (net of taxes of</w:t>
            </w: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Pr>
          <w:p>
            <w:pPr>
              <w:ind w:left="220"/>
              <w:spacing w:after="0" w:line="200" w:lineRule="exact"/>
              <w:rPr>
                <w:sz w:val="20"/>
                <w:szCs w:val="20"/>
                <w:color w:val="auto"/>
              </w:rPr>
            </w:pPr>
            <w:r>
              <w:rPr>
                <w:rFonts w:ascii="Arial" w:cs="Arial" w:eastAsia="Arial" w:hAnsi="Arial"/>
                <w:sz w:val="18"/>
                <w:szCs w:val="18"/>
                <w:color w:val="auto"/>
              </w:rPr>
              <w:t>$8,989)</w:t>
            </w:r>
          </w:p>
        </w:tc>
        <w:tc>
          <w:tcPr>
            <w:tcW w:w="1400" w:type="dxa"/>
            <w:vAlign w:val="bottom"/>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24,691</w:t>
            </w:r>
          </w:p>
        </w:tc>
        <w:tc>
          <w:tcPr>
            <w:tcW w:w="420" w:type="dxa"/>
            <w:vAlign w:val="bottom"/>
          </w:tcPr>
          <w:p>
            <w:pPr>
              <w:spacing w:after="0"/>
              <w:rPr>
                <w:sz w:val="17"/>
                <w:szCs w:val="17"/>
                <w:color w:val="auto"/>
              </w:rPr>
            </w:pPr>
          </w:p>
        </w:tc>
        <w:tc>
          <w:tcPr>
            <w:tcW w:w="102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24,691</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loss on cash flow hedge (net of taxes of $438)</w:t>
            </w:r>
          </w:p>
        </w:tc>
        <w:tc>
          <w:tcPr>
            <w:tcW w:w="140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696</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6"/>
        </w:trPr>
        <w:tc>
          <w:tcPr>
            <w:tcW w:w="5940" w:type="dxa"/>
            <w:vAlign w:val="bottom"/>
          </w:tcPr>
          <w:p>
            <w:pPr>
              <w:spacing w:after="0" w:line="206" w:lineRule="exact"/>
              <w:rPr>
                <w:sz w:val="20"/>
                <w:szCs w:val="20"/>
                <w:color w:val="auto"/>
              </w:rPr>
            </w:pPr>
            <w:r>
              <w:rPr>
                <w:rFonts w:ascii="Arial" w:cs="Arial" w:eastAsia="Arial" w:hAnsi="Arial"/>
                <w:sz w:val="18"/>
                <w:szCs w:val="18"/>
                <w:color w:val="auto"/>
              </w:rPr>
              <w:t>Amortization of prior service cost and deferred gains/losses (net of taxes</w:t>
            </w: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of $9,592)</w:t>
            </w:r>
          </w:p>
        </w:tc>
        <w:tc>
          <w:tcPr>
            <w:tcW w:w="1400" w:type="dxa"/>
            <w:vAlign w:val="bottom"/>
            <w:tcBorders>
              <w:bottom w:val="single" w:sz="8" w:color="auto"/>
            </w:tcBorders>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4"/>
              <w:spacing w:after="0" w:line="200" w:lineRule="exact"/>
              <w:rPr>
                <w:sz w:val="20"/>
                <w:szCs w:val="20"/>
                <w:color w:val="auto"/>
              </w:rPr>
            </w:pPr>
            <w:r>
              <w:rPr>
                <w:rFonts w:ascii="Arial" w:cs="Arial" w:eastAsia="Arial" w:hAnsi="Arial"/>
                <w:sz w:val="18"/>
                <w:szCs w:val="18"/>
                <w:color w:val="auto"/>
              </w:rPr>
              <w:t>15,228</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February 3, 2018</w:t>
            </w:r>
          </w:p>
        </w:tc>
        <w:tc>
          <w:tcPr>
            <w:tcW w:w="1400" w:type="dxa"/>
            <w:vAlign w:val="bottom"/>
            <w:tcBorders>
              <w:bottom w:val="single" w:sz="8" w:color="auto"/>
            </w:tcBorders>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 (280,051)</w:t>
            </w:r>
          </w:p>
        </w:tc>
        <w:tc>
          <w:tcPr>
            <w:tcW w:w="134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Arial" w:cs="Arial" w:eastAsia="Arial" w:hAnsi="Arial"/>
                <w:sz w:val="18"/>
                <w:szCs w:val="18"/>
                <w:color w:val="auto"/>
              </w:rPr>
              <w:t>$ (159,562)</w:t>
            </w:r>
          </w:p>
        </w:tc>
        <w:tc>
          <w:tcPr>
            <w:tcW w:w="42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(2,246)</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(441,859)</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Capital Stock and Earnings Per Share</w:t>
      </w:r>
    </w:p>
    <w:p>
      <w:pPr>
        <w:spacing w:after="0" w:line="79" w:lineRule="exact"/>
        <w:rPr>
          <w:sz w:val="20"/>
          <w:szCs w:val="20"/>
          <w:color w:val="auto"/>
        </w:rPr>
      </w:pPr>
    </w:p>
    <w:p>
      <w:pPr>
        <w:ind w:right="160" w:firstLine="342"/>
        <w:spacing w:after="0" w:line="241" w:lineRule="auto"/>
        <w:rPr>
          <w:sz w:val="20"/>
          <w:szCs w:val="20"/>
          <w:color w:val="auto"/>
        </w:rPr>
      </w:pPr>
      <w:r>
        <w:rPr>
          <w:rFonts w:ascii="Arial" w:cs="Arial" w:eastAsia="Arial" w:hAnsi="Arial"/>
          <w:sz w:val="18"/>
          <w:szCs w:val="18"/>
          <w:b w:val="1"/>
          <w:bCs w:val="1"/>
          <w:i w:val="1"/>
          <w:iCs w:val="1"/>
          <w:color w:val="auto"/>
        </w:rPr>
        <w:t xml:space="preserve">Capital Stock: </w:t>
      </w:r>
      <w:r>
        <w:rPr>
          <w:rFonts w:ascii="Arial" w:cs="Arial" w:eastAsia="Arial" w:hAnsi="Arial"/>
          <w:sz w:val="18"/>
          <w:szCs w:val="18"/>
          <w:color w:val="auto"/>
        </w:rPr>
        <w:t>TJX repurchased and retired 22.3 million shares of its common stock at a cost of $1.7 billion during fiscal 2018, on a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basis.” TJX reflects stock repurchases in its financial statements on a “settlement date” or cash basis. TJX had cash expenditures under repurchase programs of $1.6 billion in fiscal 2018, $1.7 billion in fiscal 2017 and $1.8 billion in fiscal 2016, and repurchased 22.2 million shares in fiscal 2018, 22.3 million shares in fiscal 2017 and 26.6 million shares in fiscal 2016. These expenditures were funded primarily by cash generated from operations.</w:t>
      </w:r>
    </w:p>
    <w:p>
      <w:pPr>
        <w:spacing w:after="0" w:line="75" w:lineRule="exact"/>
        <w:rPr>
          <w:sz w:val="20"/>
          <w:szCs w:val="20"/>
          <w:color w:val="auto"/>
        </w:rPr>
      </w:pPr>
    </w:p>
    <w:p>
      <w:pPr>
        <w:ind w:right="680" w:firstLine="342"/>
        <w:spacing w:after="0" w:line="299" w:lineRule="auto"/>
        <w:rPr>
          <w:sz w:val="20"/>
          <w:szCs w:val="20"/>
          <w:color w:val="auto"/>
        </w:rPr>
      </w:pPr>
      <w:r>
        <w:rPr>
          <w:rFonts w:ascii="Arial" w:cs="Arial" w:eastAsia="Arial" w:hAnsi="Arial"/>
          <w:sz w:val="16"/>
          <w:szCs w:val="16"/>
          <w:color w:val="auto"/>
        </w:rPr>
        <w:t>As of February 3, 2018 TJX had $1.1 billion available under previously announced stock repurchase programs. In February 2018, TJX announced that its Board of Directors had approved the repurchase of an additional $3.0 billion of TJX common stock from time to time.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shares repurchased under the stock repurchase programs have been retired.</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TJX has five million shares of authorized but unissued preferred stock, $1 par value.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69" w:right="239" w:bottom="1440" w:gutter="0" w:footer="0" w:header="0"/>
        </w:sectPr>
      </w:pPr>
    </w:p>
    <w:bookmarkStart w:id="66" w:name="page67"/>
    <w:bookmarkEnd w:id="66"/>
    <w:p>
      <w:pPr>
        <w:ind w:left="3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r>
        <w:rPr>
          <w:rFonts w:ascii="Arial" w:cs="Arial" w:eastAsia="Arial" w:hAnsi="Arial"/>
          <w:sz w:val="18"/>
          <w:szCs w:val="18"/>
          <w:color w:val="auto"/>
        </w:rPr>
        <w:t>: The following table presents the calculation of basic and diluted earnings per share for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color w:val="auto"/>
              </w:rPr>
              <w:t>Fiscal Year Ended</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25"/>
        </w:trPr>
        <w:tc>
          <w:tcPr>
            <w:tcW w:w="7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jc w:val="right"/>
              <w:ind w:right="58"/>
              <w:spacing w:after="0" w:line="125" w:lineRule="exact"/>
              <w:rPr>
                <w:sz w:val="20"/>
                <w:szCs w:val="20"/>
                <w:color w:val="auto"/>
              </w:rPr>
            </w:pPr>
            <w:r>
              <w:rPr>
                <w:rFonts w:ascii="Arial" w:cs="Arial" w:eastAsia="Arial" w:hAnsi="Arial"/>
                <w:sz w:val="14"/>
                <w:szCs w:val="14"/>
                <w:b w:val="1"/>
                <w:bCs w:val="1"/>
                <w:color w:val="auto"/>
              </w:rPr>
              <w:t>February 3,</w:t>
            </w:r>
          </w:p>
        </w:tc>
        <w:tc>
          <w:tcPr>
            <w:tcW w:w="360" w:type="dxa"/>
            <w:vAlign w:val="bottom"/>
          </w:tcPr>
          <w:p>
            <w:pPr>
              <w:spacing w:after="0"/>
              <w:rPr>
                <w:sz w:val="10"/>
                <w:szCs w:val="10"/>
                <w:color w:val="auto"/>
              </w:rPr>
            </w:pPr>
          </w:p>
        </w:tc>
        <w:tc>
          <w:tcPr>
            <w:tcW w:w="1020" w:type="dxa"/>
            <w:vAlign w:val="bottom"/>
          </w:tcPr>
          <w:p>
            <w:pPr>
              <w:jc w:val="right"/>
              <w:ind w:right="156"/>
              <w:spacing w:after="0" w:line="125" w:lineRule="exact"/>
              <w:rPr>
                <w:sz w:val="20"/>
                <w:szCs w:val="20"/>
                <w:color w:val="auto"/>
              </w:rPr>
            </w:pPr>
            <w:r>
              <w:rPr>
                <w:rFonts w:ascii="Arial" w:cs="Arial" w:eastAsia="Arial" w:hAnsi="Arial"/>
                <w:sz w:val="14"/>
                <w:szCs w:val="14"/>
                <w:color w:val="auto"/>
              </w:rPr>
              <w:t>January 28,</w:t>
            </w:r>
          </w:p>
        </w:tc>
        <w:tc>
          <w:tcPr>
            <w:tcW w:w="26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r>
      <w:tr>
        <w:trPr>
          <w:trHeight w:val="179"/>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in thousands except per share amounts</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42"/>
        </w:trPr>
        <w:tc>
          <w:tcPr>
            <w:tcW w:w="7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ind w:right="178"/>
              <w:spacing w:after="0" w:line="142" w:lineRule="exact"/>
              <w:rPr>
                <w:sz w:val="20"/>
                <w:szCs w:val="20"/>
                <w:color w:val="auto"/>
              </w:rPr>
            </w:pPr>
            <w:r>
              <w:rPr>
                <w:rFonts w:ascii="Arial" w:cs="Arial" w:eastAsia="Arial" w:hAnsi="Arial"/>
                <w:sz w:val="14"/>
                <w:szCs w:val="14"/>
                <w:color w:val="auto"/>
                <w:w w:val="93"/>
              </w:rPr>
              <w:t>(53 weeks)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Basic earnings per share: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b w:val="1"/>
                <w:bCs w:val="1"/>
                <w:color w:val="auto"/>
                <w:w w:val="94"/>
              </w:rPr>
              <w:t>2,607,948</w:t>
            </w: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6"/>
              <w:spacing w:after="0" w:line="202" w:lineRule="exact"/>
              <w:rPr>
                <w:sz w:val="20"/>
                <w:szCs w:val="20"/>
                <w:color w:val="auto"/>
              </w:rPr>
            </w:pPr>
            <w:r>
              <w:rPr>
                <w:rFonts w:ascii="Arial" w:cs="Arial" w:eastAsia="Arial" w:hAnsi="Arial"/>
                <w:sz w:val="18"/>
                <w:szCs w:val="18"/>
                <w:color w:val="auto"/>
                <w:w w:val="94"/>
              </w:rPr>
              <w:t>2,298,234</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2,277,658</w:t>
            </w: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stock outstanding for basic earnings per share calculation</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8"/>
              <w:spacing w:after="0" w:line="196" w:lineRule="exact"/>
              <w:rPr>
                <w:sz w:val="20"/>
                <w:szCs w:val="20"/>
                <w:color w:val="auto"/>
              </w:rPr>
            </w:pPr>
            <w:r>
              <w:rPr>
                <w:rFonts w:ascii="Arial" w:cs="Arial" w:eastAsia="Arial" w:hAnsi="Arial"/>
                <w:sz w:val="18"/>
                <w:szCs w:val="18"/>
                <w:b w:val="1"/>
                <w:bCs w:val="1"/>
                <w:color w:val="auto"/>
              </w:rPr>
              <w:t>636,827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655,647</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673,484</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4.10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3.51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earnings per share:</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7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b w:val="1"/>
                <w:bCs w:val="1"/>
                <w:color w:val="auto"/>
                <w:w w:val="94"/>
              </w:rPr>
              <w:t>2,607,948</w:t>
            </w: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6"/>
              <w:spacing w:after="0" w:line="202" w:lineRule="exact"/>
              <w:rPr>
                <w:sz w:val="20"/>
                <w:szCs w:val="20"/>
                <w:color w:val="auto"/>
              </w:rPr>
            </w:pPr>
            <w:r>
              <w:rPr>
                <w:rFonts w:ascii="Arial" w:cs="Arial" w:eastAsia="Arial" w:hAnsi="Arial"/>
                <w:sz w:val="18"/>
                <w:szCs w:val="18"/>
                <w:color w:val="auto"/>
                <w:w w:val="94"/>
              </w:rPr>
              <w:t>2,298,234</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2,277,658</w:t>
            </w: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stock outstanding for basic earnings per share calculation</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8"/>
              <w:spacing w:after="0" w:line="196" w:lineRule="exact"/>
              <w:rPr>
                <w:sz w:val="20"/>
                <w:szCs w:val="20"/>
                <w:color w:val="auto"/>
              </w:rPr>
            </w:pPr>
            <w:r>
              <w:rPr>
                <w:rFonts w:ascii="Arial" w:cs="Arial" w:eastAsia="Arial" w:hAnsi="Arial"/>
                <w:sz w:val="18"/>
                <w:szCs w:val="18"/>
                <w:b w:val="1"/>
                <w:bCs w:val="1"/>
                <w:color w:val="auto"/>
              </w:rPr>
              <w:t>636,827</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655,647</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673,484</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Assumed exercise / vesting of:</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7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and awards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8"/>
              <w:spacing w:after="0" w:line="202" w:lineRule="exact"/>
              <w:rPr>
                <w:sz w:val="20"/>
                <w:szCs w:val="20"/>
                <w:color w:val="auto"/>
              </w:rPr>
            </w:pPr>
            <w:r>
              <w:rPr>
                <w:rFonts w:ascii="Arial" w:cs="Arial" w:eastAsia="Arial" w:hAnsi="Arial"/>
                <w:sz w:val="18"/>
                <w:szCs w:val="18"/>
                <w:b w:val="1"/>
                <w:bCs w:val="1"/>
                <w:color w:val="auto"/>
              </w:rPr>
              <w:t>9,278</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8,785</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9,767</w:t>
            </w:r>
          </w:p>
        </w:tc>
      </w:tr>
      <w:tr>
        <w:trPr>
          <w:trHeight w:val="196"/>
        </w:trPr>
        <w:tc>
          <w:tcPr>
            <w:tcW w:w="7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Weighted average common stock outstanding for diluted earnings per share calculation</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8"/>
              <w:spacing w:after="0" w:line="196" w:lineRule="exact"/>
              <w:rPr>
                <w:sz w:val="20"/>
                <w:szCs w:val="20"/>
                <w:color w:val="auto"/>
              </w:rPr>
            </w:pPr>
            <w:r>
              <w:rPr>
                <w:rFonts w:ascii="Arial" w:cs="Arial" w:eastAsia="Arial" w:hAnsi="Arial"/>
                <w:sz w:val="18"/>
                <w:szCs w:val="18"/>
                <w:b w:val="1"/>
                <w:bCs w:val="1"/>
                <w:color w:val="auto"/>
              </w:rPr>
              <w:t>646,105</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664,432</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683,251</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8"/>
              <w:spacing w:after="0" w:line="196" w:lineRule="exact"/>
              <w:rPr>
                <w:sz w:val="20"/>
                <w:szCs w:val="20"/>
                <w:color w:val="auto"/>
              </w:rPr>
            </w:pPr>
            <w:r>
              <w:rPr>
                <w:rFonts w:ascii="Arial" w:cs="Arial" w:eastAsia="Arial" w:hAnsi="Arial"/>
                <w:sz w:val="18"/>
                <w:szCs w:val="18"/>
                <w:b w:val="1"/>
                <w:bCs w:val="1"/>
                <w:color w:val="auto"/>
              </w:rPr>
              <w:t>4.04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3.46</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w:t>
            </w:r>
          </w:p>
        </w:tc>
      </w:tr>
    </w:tbl>
    <w:p>
      <w:pPr>
        <w:spacing w:after="0" w:line="84"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The weighted average common shares for the diluted earnings per share calculation exclude the impact of outstanding stock options if the assumed proceeds per share of the option is in excess of the average price of TJX’s common stock for the related fiscal periods. Such options are excluded because they would have an antidilutive effect. There were 12.5 million, 8.1 million and 4.1 million such options excluded at the end of fiscal 2018, fiscal 2017 and fiscal 2016, respectively.</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Financial Instruments</w:t>
      </w:r>
    </w:p>
    <w:p>
      <w:pPr>
        <w:spacing w:after="0" w:line="99" w:lineRule="exact"/>
        <w:rPr>
          <w:sz w:val="20"/>
          <w:szCs w:val="20"/>
          <w:color w:val="auto"/>
        </w:rPr>
      </w:pPr>
    </w:p>
    <w:p>
      <w:pPr>
        <w:ind w:right="20" w:firstLine="342"/>
        <w:spacing w:after="0" w:line="235" w:lineRule="auto"/>
        <w:rPr>
          <w:sz w:val="20"/>
          <w:szCs w:val="20"/>
          <w:color w:val="auto"/>
        </w:rPr>
      </w:pPr>
      <w:r>
        <w:rPr>
          <w:rFonts w:ascii="Arial" w:cs="Arial" w:eastAsia="Arial" w:hAnsi="Arial"/>
          <w:sz w:val="18"/>
          <w:szCs w:val="18"/>
          <w:color w:val="auto"/>
        </w:rPr>
        <w:t>As a result of its operating and financing activities, TJX is exposed to market risks from changes in interest and foreign currency exchange rates as well as changes in fuel costs. These market risks may adversely affect TJX’s operating results and financial position. TJX seeks to minimize risk from changes in interest rates, foreign currency exchange rates and fuel costs through the use of derivative financial instruments when and to the extent we deem appropriate. TJX does not use derivative financial instruments for trading or other speculative purposes and does not use any leveraged derivative financial instruments. TJX recognizes all derivative instruments as either assets or liabilities in the statements of financial position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other comprehensive income or are recognized currently in earnings, along with an offsetting adjustment against the basis of the item being hedged. TJX periodically reviews its net investments in foreign subsidiaries and did not enter into hedges for such investments during fiscal 2018.</w:t>
      </w:r>
    </w:p>
    <w:p>
      <w:pPr>
        <w:spacing w:after="0" w:line="60" w:lineRule="exact"/>
        <w:rPr>
          <w:sz w:val="20"/>
          <w:szCs w:val="20"/>
          <w:color w:val="auto"/>
        </w:rPr>
      </w:pPr>
    </w:p>
    <w:p>
      <w:pPr>
        <w:ind w:right="120" w:firstLine="342"/>
        <w:spacing w:after="0" w:line="274" w:lineRule="auto"/>
        <w:rPr>
          <w:sz w:val="20"/>
          <w:szCs w:val="20"/>
          <w:color w:val="auto"/>
        </w:rPr>
      </w:pPr>
      <w:r>
        <w:rPr>
          <w:rFonts w:ascii="Arial" w:cs="Arial" w:eastAsia="Arial" w:hAnsi="Arial"/>
          <w:sz w:val="16"/>
          <w:szCs w:val="16"/>
          <w:b w:val="1"/>
          <w:bCs w:val="1"/>
          <w:i w:val="1"/>
          <w:iCs w:val="1"/>
          <w:color w:val="auto"/>
        </w:rPr>
        <w:t xml:space="preserve">Diesel Fuel Contracts: </w:t>
      </w:r>
      <w:r>
        <w:rPr>
          <w:rFonts w:ascii="Arial" w:cs="Arial" w:eastAsia="Arial" w:hAnsi="Arial"/>
          <w:sz w:val="16"/>
          <w:szCs w:val="16"/>
          <w:color w:val="auto"/>
        </w:rPr>
        <w:t>TJX hedges portions of its estimated notional diesel requirements based on the diesel fuel expected to be consumed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independent freight carriers transporting TJX’s inventory. Independent freight carriers transporting TJX’s inventory charge TJX a mileage surcharge based on the price of diesel fuel. The hedge agreements are designed to mitigate the volatility of diesel fuel pricing (and the resulting per mile surcharges payable by TJX) by setting a fixed price per gallon for the period being hedged. During fiscal 2018, TJX entered into agreements to hedge a portion of its estimated notional diesel requirements for fiscal 2019. The hedge agreements outstanding at February 3, 2018 relate to approximately 50% of TJX’s estimated notional diesel requirements for fiscal 2019. These diesel fuel hedge agreements will settle throughout fiscal 2019 and the first month of fiscal 2020. TJX elected not to apply hedge accounting rules to these contracts.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1" w:right="239" w:bottom="1440" w:gutter="0" w:footer="0" w:header="0"/>
        </w:sectPr>
      </w:pPr>
    </w:p>
    <w:bookmarkStart w:id="67" w:name="page68"/>
    <w:bookmarkEnd w:id="67"/>
    <w:p>
      <w:pPr>
        <w:ind w:right="60" w:firstLine="342"/>
        <w:spacing w:after="0" w:line="23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Foreign Currency Contracts: </w:t>
      </w:r>
      <w:r>
        <w:rPr>
          <w:rFonts w:ascii="Arial" w:cs="Arial" w:eastAsia="Arial" w:hAnsi="Arial"/>
          <w:sz w:val="18"/>
          <w:szCs w:val="18"/>
          <w:color w:val="auto"/>
        </w:rPr>
        <w:t>TJX enters into forward foreign currency exchange contracts to obtain economic hedges on portions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merchandise purchases made and anticipated to be made by the Company’s operations in TJX International (United Kingdom, Ireland, Germany, Poland, Austria, the Netherlands and Australia), TJX Canada (Canada), Marmaxx (U.S.) and HomeGoods (U.S.) in currencies other than their respective functional currencies. These contracts typically have a term of twelve months or less. The contracts outstanding at February 3, 2018 cover a portion of such actual and anticipated merchandise purchases throughout fiscal 2019. Additionally, TJX’s operations in Europe are subject to foreign currency exposure as a result of their buying function being centralized in the United Kingdom. All merchandise is purchased centrally in the U.K. and then shipped and billed to the retail entities in other countries. This intercompany billing to TJX’s European businesses’ Euro denominated operations creates exposure to the buying entity for changes in the exchange rate between the Euro and British Pound. The inflow of Euros to the central buying entity provides a natural hedge for merchandise purchased from third-party vendors that is denominated in Euros. However, with the growth of TJX’s Euro denominated retail operations, the intercompany billings committed to the Euro denominated operations is generating Euros in excess of those needed to meet merchandise commitments to outside vendors. TJX calculates this excess Euro exposure each month and enters into forward contracts of approximately 30 days duration to mitigate the exposure. TJX elected not to apply hedge accounting rules to these contracts.</w:t>
      </w:r>
    </w:p>
    <w:p>
      <w:pPr>
        <w:spacing w:after="0" w:line="77"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TJX also enters into derivative contracts, generally designated as fair value hedges, to hedge intercompany debt and intercompany interest payable. The changes in fair value of these contracts are recorded in selling, general and administrative expenses and are offset by marking the underlying item to fair value in the same period. Upon settlement, the realized gains and losses on these contracts are offset by the realized gains and losses of the underlying item in selling, general and administrative expenses.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TJX’s derivative financial instruments, related fair value and balance sheet classification at February 3, 2018: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Net Fair</w:t>
            </w:r>
          </w:p>
        </w:tc>
      </w:tr>
      <w:tr>
        <w:trPr>
          <w:trHeight w:val="149"/>
        </w:trPr>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Value in</w:t>
            </w:r>
          </w:p>
        </w:tc>
      </w:tr>
      <w:tr>
        <w:trPr>
          <w:trHeight w:val="149"/>
        </w:trPr>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Blended</w:t>
            </w:r>
          </w:p>
        </w:tc>
        <w:tc>
          <w:tcPr>
            <w:tcW w:w="1080" w:type="dxa"/>
            <w:vAlign w:val="bottom"/>
          </w:tcPr>
          <w:p>
            <w:pPr>
              <w:spacing w:after="0"/>
              <w:rPr>
                <w:sz w:val="12"/>
                <w:szCs w:val="12"/>
                <w:color w:val="auto"/>
              </w:rPr>
            </w:pPr>
          </w:p>
        </w:tc>
        <w:tc>
          <w:tcPr>
            <w:tcW w:w="6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Current</w:t>
            </w:r>
          </w:p>
        </w:tc>
        <w:tc>
          <w:tcPr>
            <w:tcW w:w="22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U.S.$ at</w:t>
            </w:r>
          </w:p>
        </w:tc>
      </w:tr>
      <w:tr>
        <w:trPr>
          <w:trHeight w:val="149"/>
        </w:trPr>
        <w:tc>
          <w:tcPr>
            <w:tcW w:w="4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Contract</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Balance Sheet</w:t>
            </w:r>
          </w:p>
        </w:tc>
        <w:tc>
          <w:tcPr>
            <w:tcW w:w="2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Asset</w:t>
            </w: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(Liability)</w:t>
            </w:r>
          </w:p>
        </w:tc>
        <w:tc>
          <w:tcPr>
            <w:tcW w:w="8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February 3,</w:t>
            </w:r>
          </w:p>
        </w:tc>
      </w:tr>
      <w:tr>
        <w:trPr>
          <w:trHeight w:val="149"/>
        </w:trPr>
        <w:tc>
          <w:tcPr>
            <w:tcW w:w="4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Pay</w:t>
            </w: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4"/>
              </w:rPr>
              <w:t>Receive</w:t>
            </w: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Rate</w:t>
            </w:r>
          </w:p>
        </w:tc>
        <w:tc>
          <w:tcPr>
            <w:tcW w:w="10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Location</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U.S.$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U.S.$</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2018</w:t>
            </w:r>
          </w:p>
        </w:tc>
      </w:tr>
      <w:tr>
        <w:trPr>
          <w:trHeight w:val="142"/>
        </w:trPr>
        <w:tc>
          <w:tcPr>
            <w:tcW w:w="4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Fair value hedges:</w:t>
            </w: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Arial" w:cs="Arial" w:eastAsia="Arial" w:hAnsi="Arial"/>
                <w:sz w:val="14"/>
                <w:szCs w:val="14"/>
                <w:color w:val="auto"/>
              </w:rPr>
              <w:t>Intercompany balances, primarily debt and related interest</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zł</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67,000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14,035</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0.2095</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44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51,950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46,095</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0.8873</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(318)</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77,079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55,000</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0.7136</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1,636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1,636</w:t>
            </w:r>
          </w:p>
        </w:tc>
      </w:tr>
      <w:tr>
        <w:trPr>
          <w:trHeight w:val="257"/>
        </w:trPr>
        <w:tc>
          <w:tcPr>
            <w:tcW w:w="4480" w:type="dxa"/>
            <w:vAlign w:val="bottom"/>
          </w:tcPr>
          <w:p>
            <w:pPr>
              <w:spacing w:after="0"/>
              <w:rPr>
                <w:sz w:val="20"/>
                <w:szCs w:val="20"/>
                <w:color w:val="auto"/>
              </w:rPr>
            </w:pPr>
            <w:r>
              <w:rPr>
                <w:rFonts w:ascii="Arial" w:cs="Arial" w:eastAsia="Arial" w:hAnsi="Arial"/>
                <w:sz w:val="14"/>
                <w:szCs w:val="14"/>
                <w:color w:val="auto"/>
              </w:rPr>
              <w:t>Economic hedges for which hedge accounting was not elected:</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8"/>
        </w:trPr>
        <w:tc>
          <w:tcPr>
            <w:tcW w:w="448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Diesel contracts</w:t>
            </w:r>
          </w:p>
        </w:tc>
        <w:tc>
          <w:tcPr>
            <w:tcW w:w="1500" w:type="dxa"/>
            <w:vAlign w:val="bottom"/>
            <w:gridSpan w:val="2"/>
            <w:shd w:val="clear" w:color="auto" w:fill="CCEEFF"/>
          </w:tcPr>
          <w:p>
            <w:pPr>
              <w:jc w:val="right"/>
              <w:ind w:right="232"/>
              <w:spacing w:after="0" w:line="148" w:lineRule="exact"/>
              <w:rPr>
                <w:sz w:val="20"/>
                <w:szCs w:val="20"/>
                <w:color w:val="auto"/>
              </w:rPr>
            </w:pPr>
            <w:r>
              <w:rPr>
                <w:rFonts w:ascii="Arial" w:cs="Arial" w:eastAsia="Arial" w:hAnsi="Arial"/>
                <w:sz w:val="14"/>
                <w:szCs w:val="14"/>
                <w:color w:val="auto"/>
              </w:rPr>
              <w:t>Fixed on 2.2M</w:t>
            </w:r>
          </w:p>
        </w:tc>
        <w:tc>
          <w:tcPr>
            <w:tcW w:w="1300" w:type="dxa"/>
            <w:vAlign w:val="bottom"/>
            <w:gridSpan w:val="2"/>
            <w:shd w:val="clear" w:color="auto" w:fill="CCEEFF"/>
          </w:tcPr>
          <w:p>
            <w:pPr>
              <w:jc w:val="right"/>
              <w:ind w:right="92"/>
              <w:spacing w:after="0" w:line="148" w:lineRule="exact"/>
              <w:rPr>
                <w:sz w:val="20"/>
                <w:szCs w:val="20"/>
                <w:color w:val="auto"/>
              </w:rPr>
            </w:pPr>
            <w:r>
              <w:rPr>
                <w:rFonts w:ascii="Arial" w:cs="Arial" w:eastAsia="Arial" w:hAnsi="Arial"/>
                <w:sz w:val="14"/>
                <w:szCs w:val="14"/>
                <w:color w:val="auto"/>
              </w:rPr>
              <w:t>Float on 2.2M</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 3.0M gal</w:t>
            </w:r>
          </w:p>
        </w:tc>
        <w:tc>
          <w:tcPr>
            <w:tcW w:w="13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 3.0M gal</w:t>
            </w: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3"/>
        </w:trPr>
        <w:tc>
          <w:tcPr>
            <w:tcW w:w="44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per month</w:t>
            </w:r>
          </w:p>
        </w:tc>
        <w:tc>
          <w:tcPr>
            <w:tcW w:w="1300" w:type="dxa"/>
            <w:vAlign w:val="bottom"/>
            <w:gridSpan w:val="2"/>
            <w:shd w:val="clear" w:color="auto" w:fill="CCEEFF"/>
          </w:tcPr>
          <w:p>
            <w:pPr>
              <w:jc w:val="right"/>
              <w:ind w:right="92"/>
              <w:spacing w:after="0"/>
              <w:rPr>
                <w:sz w:val="20"/>
                <w:szCs w:val="20"/>
                <w:color w:val="auto"/>
              </w:rPr>
            </w:pPr>
            <w:r>
              <w:rPr>
                <w:rFonts w:ascii="Arial" w:cs="Arial" w:eastAsia="Arial" w:hAnsi="Arial"/>
                <w:sz w:val="14"/>
                <w:szCs w:val="14"/>
                <w:color w:val="auto"/>
              </w:rPr>
              <w:t>per month</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Prepaid Exp</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7,854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7,854</w:t>
            </w:r>
          </w:p>
        </w:tc>
      </w:tr>
      <w:tr>
        <w:trPr>
          <w:trHeight w:val="149"/>
        </w:trPr>
        <w:tc>
          <w:tcPr>
            <w:tcW w:w="4480" w:type="dxa"/>
            <w:vAlign w:val="bottom"/>
          </w:tcPr>
          <w:p>
            <w:pPr>
              <w:ind w:left="220"/>
              <w:spacing w:after="0" w:line="149" w:lineRule="exact"/>
              <w:rPr>
                <w:sz w:val="20"/>
                <w:szCs w:val="20"/>
                <w:color w:val="auto"/>
              </w:rPr>
            </w:pPr>
            <w:r>
              <w:rPr>
                <w:rFonts w:ascii="Arial" w:cs="Arial" w:eastAsia="Arial" w:hAnsi="Arial"/>
                <w:sz w:val="14"/>
                <w:szCs w:val="14"/>
                <w:color w:val="auto"/>
              </w:rPr>
              <w:t>Intercompany billings in TJX Europe, primarily merchandise related</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26,000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22,948</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0.8826</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257"/>
        </w:trPr>
        <w:tc>
          <w:tcPr>
            <w:tcW w:w="4480" w:type="dxa"/>
            <w:vAlign w:val="bottom"/>
          </w:tcPr>
          <w:p>
            <w:pPr>
              <w:ind w:left="220"/>
              <w:spacing w:after="0"/>
              <w:rPr>
                <w:sz w:val="20"/>
                <w:szCs w:val="20"/>
                <w:color w:val="auto"/>
              </w:rPr>
            </w:pPr>
            <w:r>
              <w:rPr>
                <w:rFonts w:ascii="Arial" w:cs="Arial" w:eastAsia="Arial" w:hAnsi="Arial"/>
                <w:sz w:val="14"/>
                <w:szCs w:val="14"/>
                <w:color w:val="auto"/>
              </w:rPr>
              <w:t>Merchandise purchase commitments</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48"/>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462,464</w:t>
            </w:r>
          </w:p>
        </w:tc>
        <w:tc>
          <w:tcPr>
            <w:tcW w:w="13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U.S.$ 367,200</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0.7940</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(5,478)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(5,429)</w:t>
            </w:r>
          </w:p>
        </w:tc>
      </w:tr>
      <w:tr>
        <w:trPr>
          <w:trHeight w:val="149"/>
        </w:trPr>
        <w:tc>
          <w:tcPr>
            <w:tcW w:w="44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C$</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22,562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15,000</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0.6648</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557</w:t>
            </w:r>
          </w:p>
        </w:tc>
        <w:tc>
          <w:tcPr>
            <w:tcW w:w="16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557</w:t>
            </w:r>
          </w:p>
        </w:tc>
      </w:tr>
      <w:tr>
        <w:trPr>
          <w:trHeight w:val="148"/>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176,911</w:t>
            </w:r>
          </w:p>
        </w:tc>
        <w:tc>
          <w:tcPr>
            <w:tcW w:w="130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U.S.$ 238,000</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1.3453</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1"/>
              </w:rPr>
              <w:t>(12,838)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(12,665)</w:t>
            </w:r>
          </w:p>
        </w:tc>
      </w:tr>
      <w:tr>
        <w:trPr>
          <w:trHeight w:val="149"/>
        </w:trPr>
        <w:tc>
          <w:tcPr>
            <w:tcW w:w="44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zł</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288,646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60,023</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0.2079</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(1,303)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(1,303)</w:t>
            </w:r>
          </w:p>
        </w:tc>
      </w:tr>
      <w:tr>
        <w:trPr>
          <w:trHeight w:val="148"/>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4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28,635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U.S.$</w:t>
            </w:r>
          </w:p>
        </w:tc>
        <w:tc>
          <w:tcPr>
            <w:tcW w:w="6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22,230</w:t>
            </w:r>
          </w:p>
        </w:tc>
        <w:tc>
          <w:tcPr>
            <w:tcW w:w="7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0.7763</w:t>
            </w: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r>
      <w:tr>
        <w:trPr>
          <w:trHeight w:val="149"/>
        </w:trPr>
        <w:tc>
          <w:tcPr>
            <w:tcW w:w="4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U.S.$</w:t>
            </w:r>
          </w:p>
        </w:tc>
        <w:tc>
          <w:tcPr>
            <w:tcW w:w="840" w:type="dxa"/>
            <w:vAlign w:val="bottom"/>
            <w:tcBorders>
              <w:bottom w:val="single" w:sz="8" w:color="auto"/>
            </w:tcBorders>
          </w:tcPr>
          <w:p>
            <w:pPr>
              <w:jc w:val="right"/>
              <w:ind w:right="232"/>
              <w:spacing w:after="0" w:line="149" w:lineRule="exact"/>
              <w:rPr>
                <w:sz w:val="20"/>
                <w:szCs w:val="20"/>
                <w:color w:val="auto"/>
              </w:rPr>
            </w:pPr>
            <w:r>
              <w:rPr>
                <w:rFonts w:ascii="Arial" w:cs="Arial" w:eastAsia="Arial" w:hAnsi="Arial"/>
                <w:sz w:val="14"/>
                <w:szCs w:val="14"/>
                <w:color w:val="auto"/>
              </w:rPr>
              <w:t>44,223</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36,950</w:t>
            </w: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0.8355</w:t>
            </w:r>
          </w:p>
        </w:tc>
        <w:tc>
          <w:tcPr>
            <w:tcW w:w="10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1,905</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1,905</w:t>
            </w:r>
          </w:p>
        </w:tc>
      </w:tr>
      <w:tr>
        <w:trPr>
          <w:trHeight w:val="142"/>
        </w:trPr>
        <w:tc>
          <w:tcPr>
            <w:tcW w:w="44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fair value of financial instruments</w:t>
            </w:r>
          </w:p>
        </w:tc>
        <w:tc>
          <w:tcPr>
            <w:tcW w:w="6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$12,217</w:t>
            </w:r>
          </w:p>
        </w:tc>
        <w:tc>
          <w:tcPr>
            <w:tcW w:w="740" w:type="dxa"/>
            <w:vAlign w:val="bottom"/>
            <w:tcBorders>
              <w:bottom w:val="single" w:sz="8" w:color="auto"/>
            </w:tcBorders>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 (20,557)</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(8,340)</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71" w:right="239" w:bottom="1440" w:gutter="0" w:footer="0" w:header="0"/>
        </w:sectPr>
      </w:pPr>
    </w:p>
    <w:bookmarkStart w:id="68" w:name="page69"/>
    <w:bookmarkEnd w:id="68"/>
    <w:p>
      <w:pPr>
        <w:ind w:left="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summary of TJX’s derivative financial instruments, related fair value and balance sheet classification at January 28, 2017:</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Net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Value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Blended</w:t>
            </w:r>
          </w:p>
        </w:tc>
        <w:tc>
          <w:tcPr>
            <w:tcW w:w="1140" w:type="dxa"/>
            <w:vAlign w:val="bottom"/>
          </w:tcPr>
          <w:p>
            <w:pPr>
              <w:spacing w:after="0"/>
              <w:rPr>
                <w:sz w:val="12"/>
                <w:szCs w:val="12"/>
                <w:color w:val="auto"/>
              </w:rPr>
            </w:pPr>
          </w:p>
        </w:tc>
        <w:tc>
          <w:tcPr>
            <w:tcW w:w="7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Current</w:t>
            </w:r>
          </w:p>
        </w:tc>
        <w:tc>
          <w:tcPr>
            <w:tcW w:w="22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Current</w:t>
            </w:r>
          </w:p>
        </w:tc>
        <w:tc>
          <w:tcPr>
            <w:tcW w:w="2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U.S.$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Contract</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Balance Sheet</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Asset</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(Liability)</w:t>
            </w: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January 28,</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Pay</w:t>
            </w:r>
          </w:p>
        </w:tc>
        <w:tc>
          <w:tcPr>
            <w:tcW w:w="760" w:type="dxa"/>
            <w:vAlign w:val="bottom"/>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8"/>
              </w:rPr>
              <w:t>Receive</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Rate</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Location</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U.S.$</w:t>
            </w:r>
          </w:p>
        </w:tc>
        <w:tc>
          <w:tcPr>
            <w:tcW w:w="22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U.S.$</w:t>
            </w:r>
          </w:p>
        </w:tc>
        <w:tc>
          <w:tcPr>
            <w:tcW w:w="2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Fair value hedges:</w:t>
            </w:r>
          </w:p>
        </w:tc>
        <w:tc>
          <w:tcPr>
            <w:tcW w:w="4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Intercompany balances, primarily debt and related interest</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zł</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67,000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13,000</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0.1940</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63,000</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54,452</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0.8643</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263</w:t>
            </w:r>
          </w:p>
        </w:tc>
        <w:tc>
          <w:tcPr>
            <w:tcW w:w="22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68,445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55,000</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0.8036</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6"/>
              </w:rPr>
              <w:t>1,196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Economic hedges for which hedge accounting was not elected:</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Diesel contracts</w:t>
            </w:r>
          </w:p>
        </w:tc>
        <w:tc>
          <w:tcPr>
            <w:tcW w:w="1360" w:type="dxa"/>
            <w:vAlign w:val="bottom"/>
            <w:gridSpan w:val="2"/>
            <w:shd w:val="clear" w:color="auto" w:fill="CCEEFF"/>
          </w:tcPr>
          <w:p>
            <w:pPr>
              <w:jc w:val="right"/>
              <w:ind w:right="272"/>
              <w:spacing w:after="0" w:line="148" w:lineRule="exact"/>
              <w:rPr>
                <w:sz w:val="20"/>
                <w:szCs w:val="20"/>
                <w:color w:val="auto"/>
              </w:rPr>
            </w:pPr>
            <w:r>
              <w:rPr>
                <w:rFonts w:ascii="Arial" w:cs="Arial" w:eastAsia="Arial" w:hAnsi="Arial"/>
                <w:sz w:val="14"/>
                <w:szCs w:val="14"/>
                <w:color w:val="auto"/>
              </w:rPr>
              <w:t>Fixed on 2.1M</w:t>
            </w:r>
          </w:p>
        </w:tc>
        <w:tc>
          <w:tcPr>
            <w:tcW w:w="1500" w:type="dxa"/>
            <w:vAlign w:val="bottom"/>
            <w:gridSpan w:val="2"/>
            <w:shd w:val="clear" w:color="auto" w:fill="CCEEFF"/>
          </w:tcPr>
          <w:p>
            <w:pPr>
              <w:jc w:val="right"/>
              <w:ind w:right="152"/>
              <w:spacing w:after="0" w:line="148" w:lineRule="exact"/>
              <w:rPr>
                <w:sz w:val="20"/>
                <w:szCs w:val="20"/>
                <w:color w:val="auto"/>
              </w:rPr>
            </w:pPr>
            <w:r>
              <w:rPr>
                <w:rFonts w:ascii="Arial" w:cs="Arial" w:eastAsia="Arial" w:hAnsi="Arial"/>
                <w:sz w:val="14"/>
                <w:szCs w:val="14"/>
                <w:color w:val="auto"/>
              </w:rPr>
              <w:t>Float on 2.1M</w:t>
            </w:r>
          </w:p>
        </w:tc>
        <w:tc>
          <w:tcPr>
            <w:tcW w:w="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 2.5M gal per</w:t>
            </w:r>
          </w:p>
        </w:tc>
        <w:tc>
          <w:tcPr>
            <w:tcW w:w="150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 2.5M gal per</w:t>
            </w:r>
          </w:p>
        </w:tc>
        <w:tc>
          <w:tcPr>
            <w:tcW w:w="8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month</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month</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Prepaid Exp</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96"/>
              </w:rPr>
              <w:t>2,183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00"/>
              <w:spacing w:after="0" w:line="149" w:lineRule="exact"/>
              <w:rPr>
                <w:sz w:val="20"/>
                <w:szCs w:val="20"/>
                <w:color w:val="auto"/>
              </w:rPr>
            </w:pPr>
            <w:r>
              <w:rPr>
                <w:rFonts w:ascii="Arial" w:cs="Arial" w:eastAsia="Arial" w:hAnsi="Arial"/>
                <w:sz w:val="14"/>
                <w:szCs w:val="14"/>
                <w:color w:val="auto"/>
                <w:w w:val="97"/>
              </w:rPr>
              <w:t>Intercompany billings in Europe, primarily merchandise related</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68,000</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58,306</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0.8574</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Prepaid Exp</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Pr>
          <w:p>
            <w:pPr>
              <w:ind w:left="200"/>
              <w:spacing w:after="0"/>
              <w:rPr>
                <w:sz w:val="20"/>
                <w:szCs w:val="20"/>
                <w:color w:val="auto"/>
              </w:rPr>
            </w:pPr>
            <w:r>
              <w:rPr>
                <w:rFonts w:ascii="Arial" w:cs="Arial" w:eastAsia="Arial" w:hAnsi="Arial"/>
                <w:sz w:val="14"/>
                <w:szCs w:val="14"/>
                <w:color w:val="auto"/>
              </w:rPr>
              <w:t>Merchandise purchase commitments</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462,025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8"/>
              </w:rPr>
              <w:t>349,750</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0.7570</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6"/>
              </w:rPr>
              <w:t>1,089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(3,081)</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C$</w:t>
            </w: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19,571</w:t>
            </w:r>
          </w:p>
        </w:tc>
        <w:tc>
          <w:tcPr>
            <w:tcW w:w="760" w:type="dxa"/>
            <w:vAlign w:val="bottom"/>
            <w:vMerge w:val="continue"/>
          </w:tcPr>
          <w:p>
            <w:pPr>
              <w:spacing w:after="0"/>
              <w:rPr>
                <w:sz w:val="12"/>
                <w:szCs w:val="12"/>
                <w:color w:val="auto"/>
              </w:rPr>
            </w:pP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13,650</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0.6975</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(290)</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180,963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8"/>
              </w:rPr>
              <w:t>227,500</w:t>
            </w:r>
          </w:p>
        </w:tc>
        <w:tc>
          <w:tcPr>
            <w:tcW w:w="8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1.2572</w:t>
            </w:r>
          </w:p>
        </w:tc>
        <w:tc>
          <w:tcPr>
            <w:tcW w:w="11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6"/>
              </w:rPr>
              <w:t>2,327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(2,695)</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zł</w:t>
            </w:r>
          </w:p>
        </w:tc>
        <w:tc>
          <w:tcPr>
            <w:tcW w:w="9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249,079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48,593</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0.1951</w:t>
            </w:r>
          </w:p>
        </w:tc>
        <w:tc>
          <w:tcPr>
            <w:tcW w:w="11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681</w:t>
            </w: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(927)</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Prepaid Exp /</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U.S.$</w:t>
            </w:r>
          </w:p>
        </w:tc>
        <w:tc>
          <w:tcPr>
            <w:tcW w:w="900" w:type="dxa"/>
            <w:vAlign w:val="bottom"/>
            <w:tcBorders>
              <w:bottom w:val="single" w:sz="8" w:color="auto"/>
            </w:tcBorders>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22,226</w:t>
            </w: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20,686</w:t>
            </w:r>
          </w:p>
        </w:tc>
        <w:tc>
          <w:tcPr>
            <w:tcW w:w="8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0.9307</w:t>
            </w:r>
          </w:p>
        </w:tc>
        <w:tc>
          <w:tcPr>
            <w:tcW w:w="114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(Accrued Exp)</w:t>
            </w:r>
          </w:p>
        </w:tc>
        <w:tc>
          <w:tcPr>
            <w:tcW w:w="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178</w:t>
            </w: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(257)</w:t>
            </w:r>
          </w:p>
        </w:tc>
        <w:tc>
          <w:tcPr>
            <w:tcW w:w="2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 fair value of financial instruments</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$ 8,201</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(7,256)</w:t>
            </w:r>
          </w:p>
        </w:tc>
        <w:tc>
          <w:tcPr>
            <w:tcW w:w="2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impact of derivative financial instruments on the statements of income during fiscal 2018, fiscal 2017 and fiscal 2016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Borders>
              <w:top w:val="single" w:sz="8" w:color="auto"/>
            </w:tcBorders>
          </w:tcPr>
          <w:p>
            <w:pPr>
              <w:spacing w:after="0"/>
              <w:rPr>
                <w:sz w:val="14"/>
                <w:szCs w:val="14"/>
                <w:color w:val="auto"/>
              </w:rPr>
            </w:pPr>
          </w:p>
        </w:tc>
        <w:tc>
          <w:tcPr>
            <w:tcW w:w="4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5"/>
          </w:tcPr>
          <w:p>
            <w:pPr>
              <w:jc w:val="center"/>
              <w:ind w:right="220"/>
              <w:spacing w:after="0"/>
              <w:rPr>
                <w:sz w:val="20"/>
                <w:szCs w:val="20"/>
                <w:color w:val="auto"/>
              </w:rPr>
            </w:pPr>
            <w:r>
              <w:rPr>
                <w:rFonts w:ascii="Arial" w:cs="Arial" w:eastAsia="Arial" w:hAnsi="Arial"/>
                <w:sz w:val="14"/>
                <w:szCs w:val="14"/>
                <w:color w:val="auto"/>
                <w:w w:val="96"/>
              </w:rPr>
              <w:t>Amount of Gain (Loss) Recognized in</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320" w:type="dxa"/>
            <w:vAlign w:val="bottom"/>
            <w:vMerge w:val="restart"/>
          </w:tcPr>
          <w:p>
            <w:pPr>
              <w:jc w:val="center"/>
              <w:spacing w:after="0"/>
              <w:rPr>
                <w:sz w:val="20"/>
                <w:szCs w:val="20"/>
                <w:color w:val="auto"/>
              </w:rPr>
            </w:pPr>
            <w:r>
              <w:rPr>
                <w:rFonts w:ascii="Arial" w:cs="Arial" w:eastAsia="Arial" w:hAnsi="Arial"/>
                <w:sz w:val="14"/>
                <w:szCs w:val="14"/>
                <w:color w:val="auto"/>
                <w:w w:val="96"/>
              </w:rPr>
              <w:t>Location of Gain (Loss) Recognized in</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Income by Derivative</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tcPr>
          <w:p>
            <w:pPr>
              <w:spacing w:after="0"/>
              <w:rPr>
                <w:sz w:val="10"/>
                <w:szCs w:val="10"/>
                <w:color w:val="auto"/>
              </w:rPr>
            </w:pPr>
          </w:p>
        </w:tc>
        <w:tc>
          <w:tcPr>
            <w:tcW w:w="4320" w:type="dxa"/>
            <w:vAlign w:val="bottom"/>
            <w:vMerge w:val="continue"/>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February 3,</w:t>
            </w:r>
          </w:p>
        </w:tc>
        <w:tc>
          <w:tcPr>
            <w:tcW w:w="1400" w:type="dxa"/>
            <w:vAlign w:val="bottom"/>
          </w:tcPr>
          <w:p>
            <w:pPr>
              <w:jc w:val="center"/>
              <w:spacing w:after="0" w:line="125" w:lineRule="exact"/>
              <w:rPr>
                <w:sz w:val="20"/>
                <w:szCs w:val="20"/>
                <w:color w:val="auto"/>
              </w:rPr>
            </w:pPr>
            <w:r>
              <w:rPr>
                <w:rFonts w:ascii="Arial" w:cs="Arial" w:eastAsia="Arial" w:hAnsi="Arial"/>
                <w:sz w:val="14"/>
                <w:szCs w:val="14"/>
                <w:color w:val="auto"/>
                <w:w w:val="95"/>
              </w:rPr>
              <w:t>January 28,</w:t>
            </w:r>
          </w:p>
        </w:tc>
        <w:tc>
          <w:tcPr>
            <w:tcW w:w="800" w:type="dxa"/>
            <w:vAlign w:val="bottom"/>
            <w:gridSpan w:val="2"/>
          </w:tcPr>
          <w:p>
            <w:pPr>
              <w:ind w:left="80"/>
              <w:spacing w:after="0" w:line="125" w:lineRule="exact"/>
              <w:rPr>
                <w:sz w:val="20"/>
                <w:szCs w:val="20"/>
                <w:color w:val="auto"/>
              </w:rPr>
            </w:pPr>
            <w:r>
              <w:rPr>
                <w:rFonts w:ascii="Arial" w:cs="Arial" w:eastAsia="Arial" w:hAnsi="Arial"/>
                <w:sz w:val="14"/>
                <w:szCs w:val="14"/>
                <w:color w:val="auto"/>
                <w:w w:val="95"/>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Income by Derivative</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2018</w:t>
            </w:r>
          </w:p>
        </w:tc>
        <w:tc>
          <w:tcPr>
            <w:tcW w:w="14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40" w:type="dxa"/>
            <w:vAlign w:val="bottom"/>
            <w:gridSpan w:val="2"/>
          </w:tcPr>
          <w:p>
            <w:pPr>
              <w:jc w:val="right"/>
              <w:ind w:right="58"/>
              <w:spacing w:after="0" w:line="142" w:lineRule="exact"/>
              <w:rPr>
                <w:sz w:val="20"/>
                <w:szCs w:val="20"/>
                <w:color w:val="auto"/>
              </w:rPr>
            </w:pPr>
            <w:r>
              <w:rPr>
                <w:rFonts w:ascii="Arial" w:cs="Arial" w:eastAsia="Arial" w:hAnsi="Arial"/>
                <w:sz w:val="14"/>
                <w:szCs w:val="14"/>
                <w:color w:val="auto"/>
                <w:w w:val="99"/>
              </w:rPr>
              <w:t>(53 weeks)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hedges:</w:t>
            </w:r>
          </w:p>
        </w:tc>
        <w:tc>
          <w:tcPr>
            <w:tcW w:w="4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220"/>
              <w:spacing w:after="0" w:line="206" w:lineRule="exact"/>
              <w:rPr>
                <w:sz w:val="20"/>
                <w:szCs w:val="20"/>
                <w:color w:val="auto"/>
              </w:rPr>
            </w:pPr>
            <w:r>
              <w:rPr>
                <w:rFonts w:ascii="Arial" w:cs="Arial" w:eastAsia="Arial" w:hAnsi="Arial"/>
                <w:sz w:val="18"/>
                <w:szCs w:val="18"/>
                <w:color w:val="auto"/>
              </w:rPr>
              <w:t>Intercompany balances, primarily debt and</w:t>
            </w:r>
          </w:p>
        </w:tc>
        <w:tc>
          <w:tcPr>
            <w:tcW w:w="4320" w:type="dxa"/>
            <w:vAlign w:val="bottom"/>
          </w:tcPr>
          <w:p>
            <w:pPr>
              <w:jc w:val="center"/>
              <w:spacing w:after="0" w:line="206" w:lineRule="exact"/>
              <w:rPr>
                <w:sz w:val="20"/>
                <w:szCs w:val="20"/>
                <w:color w:val="auto"/>
              </w:rPr>
            </w:pPr>
            <w:r>
              <w:rPr>
                <w:rFonts w:ascii="Arial" w:cs="Arial" w:eastAsia="Arial" w:hAnsi="Arial"/>
                <w:sz w:val="18"/>
                <w:szCs w:val="18"/>
                <w:color w:val="auto"/>
                <w:w w:val="98"/>
              </w:rPr>
              <w:t>Selling, general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line="202" w:lineRule="exact"/>
              <w:rPr>
                <w:sz w:val="20"/>
                <w:szCs w:val="20"/>
                <w:color w:val="auto"/>
              </w:rPr>
            </w:pPr>
            <w:r>
              <w:rPr>
                <w:rFonts w:ascii="Arial" w:cs="Arial" w:eastAsia="Arial" w:hAnsi="Arial"/>
                <w:sz w:val="18"/>
                <w:szCs w:val="18"/>
                <w:color w:val="auto"/>
              </w:rPr>
              <w:t>related interest</w:t>
            </w:r>
          </w:p>
        </w:tc>
        <w:tc>
          <w:tcPr>
            <w:tcW w:w="4320" w:type="dxa"/>
            <w:vAlign w:val="bottom"/>
          </w:tcPr>
          <w:p>
            <w:pPr>
              <w:jc w:val="center"/>
              <w:spacing w:after="0" w:line="202" w:lineRule="exact"/>
              <w:rPr>
                <w:sz w:val="20"/>
                <w:szCs w:val="20"/>
                <w:color w:val="auto"/>
              </w:rPr>
            </w:pPr>
            <w:r>
              <w:rPr>
                <w:rFonts w:ascii="Arial" w:cs="Arial" w:eastAsia="Arial" w:hAnsi="Arial"/>
                <w:sz w:val="18"/>
                <w:szCs w:val="18"/>
                <w:color w:val="auto"/>
                <w:w w:val="97"/>
              </w:rPr>
              <w:t>and administrative</w:t>
            </w: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1,207</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expenses</w:t>
            </w: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0" w:type="dxa"/>
            <w:vAlign w:val="bottom"/>
          </w:tcPr>
          <w:p>
            <w:pPr>
              <w:jc w:val="right"/>
              <w:ind w:right="220"/>
              <w:spacing w:after="0"/>
              <w:rPr>
                <w:sz w:val="20"/>
                <w:szCs w:val="20"/>
                <w:color w:val="auto"/>
              </w:rPr>
            </w:pPr>
            <w:r>
              <w:rPr>
                <w:rFonts w:ascii="Arial" w:cs="Arial" w:eastAsia="Arial" w:hAnsi="Arial"/>
                <w:sz w:val="18"/>
                <w:szCs w:val="18"/>
                <w:color w:val="auto"/>
              </w:rPr>
              <w:t>$ (17,250)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97"/>
        </w:trPr>
        <w:tc>
          <w:tcPr>
            <w:tcW w:w="39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Economic hedges for which hedge accounting</w:t>
            </w:r>
          </w:p>
        </w:tc>
        <w:tc>
          <w:tcPr>
            <w:tcW w:w="4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was not elected:</w:t>
            </w:r>
          </w:p>
        </w:tc>
        <w:tc>
          <w:tcPr>
            <w:tcW w:w="4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220"/>
              <w:spacing w:after="0" w:line="206" w:lineRule="exact"/>
              <w:rPr>
                <w:sz w:val="20"/>
                <w:szCs w:val="20"/>
                <w:color w:val="auto"/>
              </w:rPr>
            </w:pPr>
            <w:r>
              <w:rPr>
                <w:rFonts w:ascii="Arial" w:cs="Arial" w:eastAsia="Arial" w:hAnsi="Arial"/>
                <w:sz w:val="18"/>
                <w:szCs w:val="18"/>
                <w:color w:val="auto"/>
              </w:rPr>
              <w:t>Diesel contracts</w:t>
            </w:r>
          </w:p>
        </w:tc>
        <w:tc>
          <w:tcPr>
            <w:tcW w:w="4320" w:type="dxa"/>
            <w:vAlign w:val="bottom"/>
          </w:tcPr>
          <w:p>
            <w:pPr>
              <w:jc w:val="center"/>
              <w:spacing w:after="0" w:line="206" w:lineRule="exact"/>
              <w:rPr>
                <w:sz w:val="20"/>
                <w:szCs w:val="20"/>
                <w:color w:val="auto"/>
              </w:rPr>
            </w:pPr>
            <w:r>
              <w:rPr>
                <w:rFonts w:ascii="Arial" w:cs="Arial" w:eastAsia="Arial" w:hAnsi="Arial"/>
                <w:sz w:val="18"/>
                <w:szCs w:val="18"/>
                <w:color w:val="auto"/>
                <w:w w:val="97"/>
              </w:rPr>
              <w:t>Cost of sales, including buying and occupancy</w:t>
            </w:r>
          </w:p>
        </w:tc>
        <w:tc>
          <w:tcPr>
            <w:tcW w:w="120" w:type="dxa"/>
            <w:vAlign w:val="bottom"/>
          </w:tcPr>
          <w:p>
            <w:pPr>
              <w:spacing w:after="0"/>
              <w:rPr>
                <w:sz w:val="17"/>
                <w:szCs w:val="17"/>
                <w:color w:val="auto"/>
              </w:rPr>
            </w:pPr>
          </w:p>
        </w:tc>
        <w:tc>
          <w:tcPr>
            <w:tcW w:w="72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7,946</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tcPr>
          <w:p>
            <w:pPr>
              <w:spacing w:after="0"/>
              <w:rPr>
                <w:sz w:val="17"/>
                <w:szCs w:val="17"/>
                <w:color w:val="auto"/>
              </w:rPr>
            </w:pPr>
          </w:p>
        </w:tc>
        <w:tc>
          <w:tcPr>
            <w:tcW w:w="4320" w:type="dxa"/>
            <w:vAlign w:val="bottom"/>
          </w:tcPr>
          <w:p>
            <w:pPr>
              <w:jc w:val="center"/>
              <w:spacing w:after="0" w:line="200" w:lineRule="exact"/>
              <w:rPr>
                <w:sz w:val="20"/>
                <w:szCs w:val="20"/>
                <w:color w:val="auto"/>
              </w:rPr>
            </w:pPr>
            <w:r>
              <w:rPr>
                <w:rFonts w:ascii="Arial" w:cs="Arial" w:eastAsia="Arial" w:hAnsi="Arial"/>
                <w:sz w:val="18"/>
                <w:szCs w:val="18"/>
                <w:color w:val="auto"/>
                <w:w w:val="99"/>
              </w:rPr>
              <w:t>costs</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400" w:type="dxa"/>
            <w:vAlign w:val="bottom"/>
          </w:tcPr>
          <w:p>
            <w:pPr>
              <w:jc w:val="right"/>
              <w:ind w:right="280"/>
              <w:spacing w:after="0" w:line="200" w:lineRule="exact"/>
              <w:rPr>
                <w:sz w:val="20"/>
                <w:szCs w:val="20"/>
                <w:color w:val="auto"/>
              </w:rPr>
            </w:pPr>
            <w:r>
              <w:rPr>
                <w:rFonts w:ascii="Arial" w:cs="Arial" w:eastAsia="Arial" w:hAnsi="Arial"/>
                <w:sz w:val="18"/>
                <w:szCs w:val="18"/>
                <w:color w:val="auto"/>
              </w:rPr>
              <w:t>3,906</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w w:val="98"/>
              </w:rPr>
              <w:t>(21,797)</w:t>
            </w: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Intercompany billings in Europe, primarily</w:t>
            </w:r>
          </w:p>
        </w:tc>
        <w:tc>
          <w:tcPr>
            <w:tcW w:w="43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Cost of sales, including buying and occupancy</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(3,042)</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merchandise related</w:t>
            </w:r>
          </w:p>
        </w:tc>
        <w:tc>
          <w:tcPr>
            <w:tcW w:w="43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costs</w:t>
            </w: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400" w:type="dxa"/>
            <w:vAlign w:val="bottom"/>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(8,684)</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314"/>
        </w:trPr>
        <w:tc>
          <w:tcPr>
            <w:tcW w:w="3960" w:type="dxa"/>
            <w:vAlign w:val="bottom"/>
          </w:tcPr>
          <w:p>
            <w:pPr>
              <w:ind w:left="220"/>
              <w:spacing w:after="0"/>
              <w:rPr>
                <w:sz w:val="20"/>
                <w:szCs w:val="20"/>
                <w:color w:val="auto"/>
              </w:rPr>
            </w:pPr>
            <w:r>
              <w:rPr>
                <w:rFonts w:ascii="Arial" w:cs="Arial" w:eastAsia="Arial" w:hAnsi="Arial"/>
                <w:sz w:val="18"/>
                <w:szCs w:val="18"/>
                <w:color w:val="auto"/>
              </w:rPr>
              <w:t>Merchandise purchase commitments</w:t>
            </w:r>
          </w:p>
        </w:tc>
        <w:tc>
          <w:tcPr>
            <w:tcW w:w="4320" w:type="dxa"/>
            <w:vAlign w:val="bottom"/>
          </w:tcPr>
          <w:p>
            <w:pPr>
              <w:jc w:val="center"/>
              <w:spacing w:after="0"/>
              <w:rPr>
                <w:sz w:val="20"/>
                <w:szCs w:val="20"/>
                <w:color w:val="auto"/>
              </w:rPr>
            </w:pPr>
            <w:r>
              <w:rPr>
                <w:rFonts w:ascii="Arial" w:cs="Arial" w:eastAsia="Arial" w:hAnsi="Arial"/>
                <w:sz w:val="18"/>
                <w:szCs w:val="18"/>
                <w:color w:val="auto"/>
                <w:w w:val="97"/>
              </w:rPr>
              <w:t>Cost of sales, including buying and occupancy</w:t>
            </w:r>
          </w:p>
        </w:tc>
        <w:tc>
          <w:tcPr>
            <w:tcW w:w="1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(45,886)</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9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costs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right"/>
              <w:ind w:right="280"/>
              <w:spacing w:after="0" w:line="200" w:lineRule="exact"/>
              <w:rPr>
                <w:sz w:val="20"/>
                <w:szCs w:val="20"/>
                <w:color w:val="auto"/>
              </w:rPr>
            </w:pPr>
            <w:r>
              <w:rPr>
                <w:rFonts w:ascii="Arial" w:cs="Arial" w:eastAsia="Arial" w:hAnsi="Arial"/>
                <w:sz w:val="18"/>
                <w:szCs w:val="18"/>
                <w:color w:val="auto"/>
              </w:rPr>
              <w:t>5,626</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00"/>
              <w:spacing w:after="0" w:line="200" w:lineRule="exact"/>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(Loss) gain recognized in income</w:t>
            </w:r>
          </w:p>
        </w:tc>
        <w:tc>
          <w:tcPr>
            <w:tcW w:w="4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(39,775)</w:t>
            </w:r>
          </w:p>
        </w:tc>
        <w:tc>
          <w:tcPr>
            <w:tcW w:w="1400" w:type="dxa"/>
            <w:vAlign w:val="bottom"/>
            <w:tcBorders>
              <w:bottom w:val="single" w:sz="8" w:color="auto"/>
            </w:tcBorders>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 (16,402)</w:t>
            </w:r>
          </w:p>
        </w:tc>
        <w:tc>
          <w:tcPr>
            <w:tcW w:w="18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4"/>
                <w:szCs w:val="24"/>
                <w:color w:val="auto"/>
              </w:rPr>
            </w:pPr>
          </w:p>
        </w:tc>
        <w:tc>
          <w:tcPr>
            <w:tcW w:w="4320" w:type="dxa"/>
            <w:vAlign w:val="bottom"/>
          </w:tcPr>
          <w:p>
            <w:pPr>
              <w:ind w:left="1580"/>
              <w:spacing w:after="0"/>
              <w:rPr>
                <w:sz w:val="20"/>
                <w:szCs w:val="20"/>
                <w:color w:val="auto"/>
              </w:rPr>
            </w:pPr>
            <w:r>
              <w:rPr>
                <w:rFonts w:ascii="Arial" w:cs="Arial" w:eastAsia="Arial" w:hAnsi="Arial"/>
                <w:sz w:val="18"/>
                <w:szCs w:val="18"/>
                <w:color w:val="auto"/>
              </w:rPr>
              <w:t>F-19</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69" w:name="page70"/>
    <w:bookmarkEnd w:id="69"/>
    <w:p>
      <w:pPr>
        <w:ind w:right="20" w:firstLine="342"/>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the table above are realized losses of $30.5 million in fiscal 2018 and $6.1 million in fiscal 2017, and a gain of $28.5 million in fiscal 2016, all of which were largely offset by gains and losses on the underlying hedged item.</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F.</w:t>
      </w:r>
      <w:r>
        <w:rPr>
          <w:sz w:val="20"/>
          <w:szCs w:val="20"/>
          <w:color w:val="auto"/>
        </w:rPr>
        <w:tab/>
      </w:r>
      <w:r>
        <w:rPr>
          <w:rFonts w:ascii="Arial" w:cs="Arial" w:eastAsia="Arial" w:hAnsi="Arial"/>
          <w:sz w:val="16"/>
          <w:szCs w:val="16"/>
          <w:b w:val="1"/>
          <w:bCs w:val="1"/>
          <w:color w:val="auto"/>
        </w:rPr>
        <w:t>Fair Value Measurements</w:t>
      </w:r>
    </w:p>
    <w:p>
      <w:pPr>
        <w:spacing w:after="0" w:line="99" w:lineRule="exact"/>
        <w:rPr>
          <w:sz w:val="20"/>
          <w:szCs w:val="20"/>
          <w:color w:val="auto"/>
        </w:rPr>
      </w:pPr>
    </w:p>
    <w:p>
      <w:pPr>
        <w:ind w:right="160" w:firstLine="342"/>
        <w:spacing w:after="0" w:line="29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or “exit price.” The inputs used to measure fair value are generally classified into the following hierarchy:</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w:t>
      </w:r>
    </w:p>
    <w:p>
      <w:pPr>
        <w:ind w:left="920" w:right="120" w:hanging="917"/>
        <w:spacing w:after="0" w:line="234"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TJX’s financial assets and liabilities that are accounted for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Fiscal Year Ended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5"/>
        </w:trPr>
        <w:tc>
          <w:tcPr>
            <w:tcW w:w="7980" w:type="dxa"/>
            <w:vAlign w:val="bottom"/>
          </w:tcPr>
          <w:p>
            <w:pPr>
              <w:spacing w:after="0"/>
              <w:rPr>
                <w:sz w:val="10"/>
                <w:szCs w:val="10"/>
                <w:color w:val="auto"/>
              </w:rPr>
            </w:pPr>
          </w:p>
        </w:tc>
        <w:tc>
          <w:tcPr>
            <w:tcW w:w="1200" w:type="dxa"/>
            <w:vAlign w:val="bottom"/>
            <w:gridSpan w:val="2"/>
          </w:tcPr>
          <w:p>
            <w:pPr>
              <w:ind w:left="360"/>
              <w:spacing w:after="0" w:line="125" w:lineRule="exact"/>
              <w:rPr>
                <w:sz w:val="20"/>
                <w:szCs w:val="20"/>
                <w:color w:val="auto"/>
              </w:rPr>
            </w:pPr>
            <w:r>
              <w:rPr>
                <w:rFonts w:ascii="Arial" w:cs="Arial" w:eastAsia="Arial" w:hAnsi="Arial"/>
                <w:sz w:val="14"/>
                <w:szCs w:val="14"/>
                <w:b w:val="1"/>
                <w:bCs w:val="1"/>
                <w:color w:val="auto"/>
              </w:rPr>
              <w:t>February 3,</w:t>
            </w:r>
          </w:p>
        </w:tc>
        <w:tc>
          <w:tcPr>
            <w:tcW w:w="1320" w:type="dxa"/>
            <w:vAlign w:val="bottom"/>
            <w:gridSpan w:val="2"/>
          </w:tcPr>
          <w:p>
            <w:pPr>
              <w:jc w:val="right"/>
              <w:ind w:right="215"/>
              <w:spacing w:after="0" w:line="125" w:lineRule="exact"/>
              <w:rPr>
                <w:sz w:val="20"/>
                <w:szCs w:val="20"/>
                <w:color w:val="auto"/>
              </w:rPr>
            </w:pPr>
            <w:r>
              <w:rPr>
                <w:rFonts w:ascii="Arial" w:cs="Arial" w:eastAsia="Arial" w:hAnsi="Arial"/>
                <w:sz w:val="14"/>
                <w:szCs w:val="14"/>
                <w:color w:val="auto"/>
              </w:rPr>
              <w:t>January 28,</w:t>
            </w:r>
          </w:p>
        </w:tc>
        <w:tc>
          <w:tcPr>
            <w:tcW w:w="92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980" w:type="dxa"/>
            <w:vAlign w:val="bottom"/>
          </w:tcPr>
          <w:p>
            <w:pPr>
              <w:ind w:left="220"/>
              <w:spacing w:after="0" w:line="202" w:lineRule="exact"/>
              <w:rPr>
                <w:sz w:val="20"/>
                <w:szCs w:val="20"/>
                <w:color w:val="auto"/>
              </w:rPr>
            </w:pPr>
            <w:r>
              <w:rPr>
                <w:rFonts w:ascii="Arial" w:cs="Arial" w:eastAsia="Arial" w:hAnsi="Arial"/>
                <w:sz w:val="18"/>
                <w:szCs w:val="18"/>
                <w:color w:val="auto"/>
              </w:rPr>
              <w:t>Assets: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Executive Savings Plan investments</w:t>
            </w:r>
          </w:p>
        </w:tc>
        <w:tc>
          <w:tcPr>
            <w:tcW w:w="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w w:val="95"/>
              </w:rPr>
              <w:t>249,045</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w w:val="95"/>
              </w:rPr>
              <w:t>195,733</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155,847</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Level 2</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980" w:type="dxa"/>
            <w:vAlign w:val="bottom"/>
          </w:tcPr>
          <w:p>
            <w:pPr>
              <w:ind w:left="440"/>
              <w:spacing w:after="0" w:line="202" w:lineRule="exact"/>
              <w:rPr>
                <w:sz w:val="20"/>
                <w:szCs w:val="20"/>
                <w:color w:val="auto"/>
              </w:rPr>
            </w:pPr>
            <w:r>
              <w:rPr>
                <w:rFonts w:ascii="Arial" w:cs="Arial" w:eastAsia="Arial" w:hAnsi="Arial"/>
                <w:sz w:val="18"/>
                <w:szCs w:val="18"/>
                <w:color w:val="auto"/>
              </w:rPr>
              <w:t>Short-term investments</w:t>
            </w:r>
          </w:p>
        </w:tc>
        <w:tc>
          <w:tcPr>
            <w:tcW w:w="460" w:type="dxa"/>
            <w:vAlign w:val="bottom"/>
          </w:tcPr>
          <w:p>
            <w:pPr>
              <w:ind w:left="34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5"/>
              </w:rPr>
              <w:t>506,165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w w:val="95"/>
              </w:rPr>
              <w:t>543,242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352,313</w:t>
            </w:r>
          </w:p>
        </w:tc>
      </w:tr>
      <w:tr>
        <w:trPr>
          <w:trHeight w:val="203"/>
        </w:trPr>
        <w:tc>
          <w:tcPr>
            <w:tcW w:w="7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exchange contracts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4,363</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6,018</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28,643</w:t>
            </w:r>
          </w:p>
        </w:tc>
      </w:tr>
      <w:tr>
        <w:trPr>
          <w:trHeight w:val="203"/>
        </w:trPr>
        <w:tc>
          <w:tcPr>
            <w:tcW w:w="7980" w:type="dxa"/>
            <w:vAlign w:val="bottom"/>
          </w:tcPr>
          <w:p>
            <w:pPr>
              <w:ind w:left="440"/>
              <w:spacing w:after="0" w:line="202" w:lineRule="exact"/>
              <w:rPr>
                <w:sz w:val="20"/>
                <w:szCs w:val="20"/>
                <w:color w:val="auto"/>
              </w:rPr>
            </w:pPr>
            <w:r>
              <w:rPr>
                <w:rFonts w:ascii="Arial" w:cs="Arial" w:eastAsia="Arial" w:hAnsi="Arial"/>
                <w:sz w:val="18"/>
                <w:szCs w:val="18"/>
                <w:color w:val="auto"/>
              </w:rPr>
              <w:t>Diesel fuel contracts</w:t>
            </w:r>
          </w:p>
        </w:tc>
        <w:tc>
          <w:tcPr>
            <w:tcW w:w="4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7,854</w:t>
            </w:r>
          </w:p>
        </w:tc>
        <w:tc>
          <w:tcPr>
            <w:tcW w:w="380" w:type="dxa"/>
            <w:vAlign w:val="bottom"/>
          </w:tcPr>
          <w:p>
            <w:pPr>
              <w:spacing w:after="0"/>
              <w:rPr>
                <w:sz w:val="17"/>
                <w:szCs w:val="17"/>
                <w:color w:val="auto"/>
              </w:rPr>
            </w:pP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2,183</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798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exchange contracts</w:t>
            </w:r>
          </w:p>
        </w:tc>
        <w:tc>
          <w:tcPr>
            <w:tcW w:w="460" w:type="dxa"/>
            <w:vAlign w:val="bottom"/>
          </w:tcPr>
          <w:p>
            <w:pPr>
              <w:ind w:left="34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20,557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7,256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3,455</w:t>
            </w:r>
          </w:p>
        </w:tc>
      </w:tr>
      <w:tr>
        <w:trPr>
          <w:trHeight w:val="203"/>
        </w:trPr>
        <w:tc>
          <w:tcPr>
            <w:tcW w:w="7980" w:type="dxa"/>
            <w:vAlign w:val="bottom"/>
            <w:tcBorders>
              <w:bottom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Diesel fuel contracts</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13,952</w:t>
            </w:r>
          </w:p>
        </w:tc>
      </w:tr>
    </w:tbl>
    <w:p>
      <w:pPr>
        <w:spacing w:after="0" w:line="84"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Investments designed to meet obligations under the Executive Savings Plan are invested in registered investment companies traded in active markets and are recorded at unadjusted quoted prices.</w:t>
      </w:r>
    </w:p>
    <w:p>
      <w:pPr>
        <w:spacing w:after="0" w:line="74"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Short-term investments, foreign currency exchange contracts and diesel fuel contracts are valued using broker quotations, which include observable market information. TJX’s investments are primarily high-grade commercial paper, institutional money market funds and time deposits with major banks.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spacing w:after="0" w:line="76"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 fair value of TJX’s general corporate debt was estimated by obtaining market quotes given the trading levels of other bonds of the same general issuer type and market perceived credit quality. These inputs are considered to be Level 2. The fair value of long-term debt at February 3, 2018 was $2.16 billion compared to a carrying value of $2.23 billion. The fair value of long-term debt at January 28, 2017 was $2.17 billion compared to a carrying value of $2.23 billion. The fair value of long-term debt at January 30, 2016 was $1.70 billion compared to a carrying value of $1.62 billion. These estimates do not necessarily reflect provisions or restrictions in the various debt agreements that might affect TJX’s ability to settle these obligations.</w:t>
      </w:r>
    </w:p>
    <w:p>
      <w:pPr>
        <w:spacing w:after="0" w:line="75" w:lineRule="exact"/>
        <w:rPr>
          <w:sz w:val="20"/>
          <w:szCs w:val="20"/>
          <w:color w:val="auto"/>
        </w:rPr>
      </w:pPr>
    </w:p>
    <w:p>
      <w:pPr>
        <w:ind w:right="1720" w:firstLine="342"/>
        <w:spacing w:after="0" w:line="375" w:lineRule="auto"/>
        <w:rPr>
          <w:sz w:val="20"/>
          <w:szCs w:val="20"/>
          <w:color w:val="auto"/>
        </w:rPr>
      </w:pPr>
      <w:r>
        <w:rPr>
          <w:rFonts w:ascii="Arial" w:cs="Arial" w:eastAsia="Arial" w:hAnsi="Arial"/>
          <w:sz w:val="18"/>
          <w:szCs w:val="18"/>
          <w:color w:val="auto"/>
        </w:rPr>
        <w:t xml:space="preserve">TJX’s cash equivalents are stated at cost, which approximates fair value due to the short maturities of these instruments. </w:t>
      </w:r>
      <w:r>
        <w:rPr>
          <w:rFonts w:ascii="Arial" w:cs="Arial" w:eastAsia="Arial" w:hAnsi="Arial"/>
          <w:sz w:val="18"/>
          <w:szCs w:val="18"/>
          <w:b w:val="1"/>
          <w:bCs w:val="1"/>
          <w:color w:val="auto"/>
        </w:rPr>
        <w:t>Note G. Segment Information</w:t>
      </w:r>
    </w:p>
    <w:p>
      <w:pPr>
        <w:spacing w:after="0" w:line="1" w:lineRule="exact"/>
        <w:rPr>
          <w:sz w:val="20"/>
          <w:szCs w:val="20"/>
          <w:color w:val="auto"/>
        </w:rPr>
      </w:pPr>
    </w:p>
    <w:p>
      <w:pPr>
        <w:jc w:val="both"/>
        <w:ind w:right="380" w:firstLine="342"/>
        <w:spacing w:after="0" w:line="238" w:lineRule="auto"/>
        <w:rPr>
          <w:sz w:val="20"/>
          <w:szCs w:val="20"/>
          <w:color w:val="auto"/>
        </w:rPr>
      </w:pPr>
      <w:r>
        <w:rPr>
          <w:rFonts w:ascii="Arial" w:cs="Arial" w:eastAsia="Arial" w:hAnsi="Arial"/>
          <w:sz w:val="18"/>
          <w:szCs w:val="18"/>
          <w:color w:val="auto"/>
        </w:rPr>
        <w:t>TJX operates four main business segments. The Marmaxx segment (T.J. Maxx, Marshalls and tjmaxx.com) and the HomeGoods segment (HomeGoods and Homesense) both operate in the United States, the TJX Canada segment operates Winners, HomeSense and Marshalls in Canada, and the TJX International segment operates T.K.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91" w:right="239" w:bottom="1440" w:gutter="0" w:footer="0" w:header="0"/>
        </w:sectPr>
      </w:pPr>
    </w:p>
    <w:bookmarkStart w:id="70" w:name="page71"/>
    <w:bookmarkEnd w:id="70"/>
    <w:p>
      <w:pPr>
        <w:ind w:right="6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Maxx, Homesense and tkmaxx.com in Europe and T.K. Maxx in Australia. TJX also operates STP, an off-price Internet retailer that operates sierratradingpost.com and retail stores in the U.S. The results of STP are included in the Marmaxx segment.</w:t>
      </w:r>
    </w:p>
    <w:p>
      <w:pPr>
        <w:spacing w:after="0" w:line="74" w:lineRule="exact"/>
        <w:rPr>
          <w:sz w:val="20"/>
          <w:szCs w:val="20"/>
          <w:color w:val="auto"/>
        </w:rPr>
      </w:pPr>
    </w:p>
    <w:p>
      <w:pPr>
        <w:ind w:right="100" w:firstLine="342"/>
        <w:spacing w:after="0" w:line="239" w:lineRule="auto"/>
        <w:rPr>
          <w:sz w:val="20"/>
          <w:szCs w:val="20"/>
          <w:color w:val="auto"/>
        </w:rPr>
      </w:pPr>
      <w:r>
        <w:rPr>
          <w:rFonts w:ascii="Arial" w:cs="Arial" w:eastAsia="Arial" w:hAnsi="Arial"/>
          <w:sz w:val="18"/>
          <w:szCs w:val="18"/>
          <w:color w:val="auto"/>
        </w:rPr>
        <w:t>All of TJX’s stores, with the exception of HomeGoods and HomeSense, sell family apparel and home fashions. HomeGoods and HomeSense offer home fashions.</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percentages of our consolidated revenues by major product category for the last three fiscal years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600" w:type="dxa"/>
            <w:vAlign w:val="bottom"/>
            <w:tcBorders>
              <w:top w:val="single" w:sz="8" w:color="auto"/>
            </w:tcBorders>
          </w:tcPr>
          <w:p>
            <w:pPr>
              <w:spacing w:after="0"/>
              <w:rPr>
                <w:sz w:val="12"/>
                <w:szCs w:val="12"/>
                <w:color w:val="auto"/>
              </w:rPr>
            </w:pPr>
          </w:p>
        </w:tc>
        <w:tc>
          <w:tcPr>
            <w:tcW w:w="4020" w:type="dxa"/>
            <w:vAlign w:val="bottom"/>
            <w:tcBorders>
              <w:top w:val="single" w:sz="8" w:color="auto"/>
            </w:tcBorders>
          </w:tcPr>
          <w:p>
            <w:pPr>
              <w:jc w:val="right"/>
              <w:ind w:right="299"/>
              <w:spacing w:after="0" w:line="145" w:lineRule="exact"/>
              <w:rPr>
                <w:sz w:val="20"/>
                <w:szCs w:val="20"/>
                <w:color w:val="auto"/>
              </w:rPr>
            </w:pPr>
            <w:r>
              <w:rPr>
                <w:rFonts w:ascii="Arial" w:cs="Arial" w:eastAsia="Arial" w:hAnsi="Arial"/>
                <w:sz w:val="14"/>
                <w:szCs w:val="14"/>
                <w:b w:val="1"/>
                <w:bCs w:val="1"/>
                <w:color w:val="auto"/>
              </w:rPr>
              <w:t>Fiscal</w:t>
            </w:r>
          </w:p>
        </w:tc>
        <w:tc>
          <w:tcPr>
            <w:tcW w:w="1000" w:type="dxa"/>
            <w:vAlign w:val="bottom"/>
            <w:tcBorders>
              <w:top w:val="single" w:sz="8" w:color="auto"/>
            </w:tcBorders>
          </w:tcPr>
          <w:p>
            <w:pPr>
              <w:jc w:val="right"/>
              <w:ind w:right="319"/>
              <w:spacing w:after="0" w:line="145" w:lineRule="exact"/>
              <w:rPr>
                <w:sz w:val="20"/>
                <w:szCs w:val="20"/>
                <w:color w:val="auto"/>
              </w:rPr>
            </w:pPr>
            <w:r>
              <w:rPr>
                <w:rFonts w:ascii="Arial" w:cs="Arial" w:eastAsia="Arial" w:hAnsi="Arial"/>
                <w:sz w:val="14"/>
                <w:szCs w:val="14"/>
                <w:color w:val="auto"/>
              </w:rPr>
              <w:t>Fiscal</w:t>
            </w:r>
          </w:p>
        </w:tc>
        <w:tc>
          <w:tcPr>
            <w:tcW w:w="800" w:type="dxa"/>
            <w:vAlign w:val="bottom"/>
            <w:tcBorders>
              <w:top w:val="single" w:sz="8" w:color="auto"/>
            </w:tcBorders>
          </w:tcPr>
          <w:p>
            <w:pPr>
              <w:jc w:val="right"/>
              <w:ind w:right="139"/>
              <w:spacing w:after="0" w:line="145" w:lineRule="exact"/>
              <w:rPr>
                <w:sz w:val="20"/>
                <w:szCs w:val="20"/>
                <w:color w:val="auto"/>
              </w:rPr>
            </w:pPr>
            <w:r>
              <w:rPr>
                <w:rFonts w:ascii="Arial" w:cs="Arial" w:eastAsia="Arial" w:hAnsi="Arial"/>
                <w:sz w:val="14"/>
                <w:szCs w:val="14"/>
                <w:color w:val="auto"/>
              </w:rPr>
              <w:t>Fiscal</w:t>
            </w:r>
          </w:p>
        </w:tc>
      </w:tr>
      <w:tr>
        <w:trPr>
          <w:trHeight w:val="165"/>
        </w:trPr>
        <w:tc>
          <w:tcPr>
            <w:tcW w:w="56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2016</w:t>
            </w: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Apparel</w:t>
            </w:r>
          </w:p>
        </w:tc>
        <w:tc>
          <w:tcPr>
            <w:tcW w:w="4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Clothing including footwear</w:t>
            </w:r>
          </w:p>
        </w:tc>
        <w:tc>
          <w:tcPr>
            <w:tcW w:w="4020" w:type="dxa"/>
            <w:vAlign w:val="bottom"/>
          </w:tcPr>
          <w:p>
            <w:pPr>
              <w:jc w:val="right"/>
              <w:ind w:right="159"/>
              <w:spacing w:after="0" w:line="202" w:lineRule="exact"/>
              <w:rPr>
                <w:sz w:val="20"/>
                <w:szCs w:val="20"/>
                <w:color w:val="auto"/>
              </w:rPr>
            </w:pPr>
            <w:r>
              <w:rPr>
                <w:rFonts w:ascii="Arial" w:cs="Arial" w:eastAsia="Arial" w:hAnsi="Arial"/>
                <w:sz w:val="18"/>
                <w:szCs w:val="18"/>
                <w:b w:val="1"/>
                <w:bCs w:val="1"/>
                <w:color w:val="auto"/>
              </w:rPr>
              <w:t>52%</w:t>
            </w:r>
          </w:p>
        </w:tc>
        <w:tc>
          <w:tcPr>
            <w:tcW w:w="1000" w:type="dxa"/>
            <w:vAlign w:val="bottom"/>
          </w:tcPr>
          <w:p>
            <w:pPr>
              <w:jc w:val="right"/>
              <w:ind w:right="159"/>
              <w:spacing w:after="0" w:line="202" w:lineRule="exact"/>
              <w:rPr>
                <w:sz w:val="20"/>
                <w:szCs w:val="20"/>
                <w:color w:val="auto"/>
              </w:rPr>
            </w:pPr>
            <w:r>
              <w:rPr>
                <w:rFonts w:ascii="Arial" w:cs="Arial" w:eastAsia="Arial" w:hAnsi="Arial"/>
                <w:sz w:val="18"/>
                <w:szCs w:val="18"/>
                <w:color w:val="auto"/>
              </w:rPr>
              <w:t>54%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5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Jewelry and accessories</w:t>
            </w:r>
          </w:p>
        </w:tc>
        <w:tc>
          <w:tcPr>
            <w:tcW w:w="4020" w:type="dxa"/>
            <w:vAlign w:val="bottom"/>
            <w:shd w:val="clear" w:color="auto" w:fill="CCEEFF"/>
          </w:tcPr>
          <w:p>
            <w:pPr>
              <w:jc w:val="right"/>
              <w:ind w:right="299"/>
              <w:spacing w:after="0" w:line="202" w:lineRule="exact"/>
              <w:rPr>
                <w:sz w:val="20"/>
                <w:szCs w:val="20"/>
                <w:color w:val="auto"/>
              </w:rPr>
            </w:pPr>
            <w:r>
              <w:rPr>
                <w:rFonts w:ascii="Arial" w:cs="Arial" w:eastAsia="Arial" w:hAnsi="Arial"/>
                <w:sz w:val="18"/>
                <w:szCs w:val="18"/>
                <w:b w:val="1"/>
                <w:bCs w:val="1"/>
                <w:color w:val="auto"/>
              </w:rPr>
              <w:t>15</w:t>
            </w:r>
          </w:p>
        </w:tc>
        <w:tc>
          <w:tcPr>
            <w:tcW w:w="1000" w:type="dxa"/>
            <w:vAlign w:val="bottom"/>
            <w:shd w:val="clear" w:color="auto" w:fill="CCEEFF"/>
          </w:tcPr>
          <w:p>
            <w:pPr>
              <w:jc w:val="right"/>
              <w:ind w:right="319"/>
              <w:spacing w:after="0" w:line="202" w:lineRule="exact"/>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15</w:t>
            </w: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Home fashions</w:t>
            </w:r>
          </w:p>
        </w:tc>
        <w:tc>
          <w:tcPr>
            <w:tcW w:w="4020" w:type="dxa"/>
            <w:vAlign w:val="bottom"/>
            <w:tcBorders>
              <w:bottom w:val="single" w:sz="8" w:color="auto"/>
            </w:tcBorders>
          </w:tcPr>
          <w:p>
            <w:pPr>
              <w:jc w:val="right"/>
              <w:ind w:right="299"/>
              <w:spacing w:after="0" w:line="202" w:lineRule="exact"/>
              <w:rPr>
                <w:sz w:val="20"/>
                <w:szCs w:val="20"/>
                <w:color w:val="auto"/>
              </w:rPr>
            </w:pPr>
            <w:r>
              <w:rPr>
                <w:rFonts w:ascii="Arial" w:cs="Arial" w:eastAsia="Arial" w:hAnsi="Arial"/>
                <w:sz w:val="18"/>
                <w:szCs w:val="18"/>
                <w:b w:val="1"/>
                <w:bCs w:val="1"/>
                <w:color w:val="auto"/>
              </w:rPr>
              <w:t>33</w:t>
            </w:r>
          </w:p>
        </w:tc>
        <w:tc>
          <w:tcPr>
            <w:tcW w:w="1000" w:type="dxa"/>
            <w:vAlign w:val="bottom"/>
            <w:tcBorders>
              <w:bottom w:val="single" w:sz="8" w:color="auto"/>
            </w:tcBorders>
          </w:tcPr>
          <w:p>
            <w:pPr>
              <w:jc w:val="right"/>
              <w:ind w:right="319"/>
              <w:spacing w:after="0" w:line="202" w:lineRule="exact"/>
              <w:rPr>
                <w:sz w:val="20"/>
                <w:szCs w:val="20"/>
                <w:color w:val="auto"/>
              </w:rPr>
            </w:pPr>
            <w:r>
              <w:rPr>
                <w:rFonts w:ascii="Arial" w:cs="Arial" w:eastAsia="Arial" w:hAnsi="Arial"/>
                <w:sz w:val="18"/>
                <w:szCs w:val="18"/>
                <w:color w:val="auto"/>
              </w:rPr>
              <w:t>31</w:t>
            </w:r>
          </w:p>
        </w:tc>
        <w:tc>
          <w:tcPr>
            <w:tcW w:w="800" w:type="dxa"/>
            <w:vAlign w:val="bottom"/>
            <w:tcBorders>
              <w:bottom w:val="single" w:sz="8" w:color="auto"/>
            </w:tcBorders>
          </w:tcPr>
          <w:p>
            <w:pPr>
              <w:jc w:val="right"/>
              <w:ind w:right="139"/>
              <w:spacing w:after="0" w:line="202" w:lineRule="exact"/>
              <w:rPr>
                <w:sz w:val="20"/>
                <w:szCs w:val="20"/>
                <w:color w:val="auto"/>
              </w:rPr>
            </w:pPr>
            <w:r>
              <w:rPr>
                <w:rFonts w:ascii="Arial" w:cs="Arial" w:eastAsia="Arial" w:hAnsi="Arial"/>
                <w:sz w:val="18"/>
                <w:szCs w:val="18"/>
                <w:color w:val="auto"/>
              </w:rPr>
              <w:t>30</w:t>
            </w:r>
          </w:p>
        </w:tc>
      </w:tr>
      <w:tr>
        <w:trPr>
          <w:trHeight w:val="196"/>
        </w:trPr>
        <w:tc>
          <w:tcPr>
            <w:tcW w:w="560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4020" w:type="dxa"/>
            <w:vAlign w:val="bottom"/>
            <w:tcBorders>
              <w:bottom w:val="single" w:sz="8" w:color="auto"/>
            </w:tcBorders>
            <w:shd w:val="clear" w:color="auto" w:fill="CCEEFF"/>
          </w:tcPr>
          <w:p>
            <w:pPr>
              <w:jc w:val="right"/>
              <w:ind w:right="159"/>
              <w:spacing w:after="0" w:line="196" w:lineRule="exact"/>
              <w:rPr>
                <w:sz w:val="20"/>
                <w:szCs w:val="20"/>
                <w:color w:val="auto"/>
              </w:rPr>
            </w:pPr>
            <w:r>
              <w:rPr>
                <w:rFonts w:ascii="Arial" w:cs="Arial" w:eastAsia="Arial" w:hAnsi="Arial"/>
                <w:sz w:val="18"/>
                <w:szCs w:val="18"/>
                <w:b w:val="1"/>
                <w:bCs w:val="1"/>
                <w:color w:val="auto"/>
              </w:rPr>
              <w:t>100%</w:t>
            </w:r>
          </w:p>
        </w:tc>
        <w:tc>
          <w:tcPr>
            <w:tcW w:w="1000" w:type="dxa"/>
            <w:vAlign w:val="bottom"/>
            <w:tcBorders>
              <w:bottom w:val="single" w:sz="8" w:color="auto"/>
            </w:tcBorders>
            <w:shd w:val="clear" w:color="auto" w:fill="CCEEFF"/>
          </w:tcPr>
          <w:p>
            <w:pPr>
              <w:jc w:val="right"/>
              <w:ind w:right="159"/>
              <w:spacing w:after="0" w:line="196" w:lineRule="exact"/>
              <w:rPr>
                <w:sz w:val="20"/>
                <w:szCs w:val="20"/>
                <w:color w:val="auto"/>
              </w:rPr>
            </w:pPr>
            <w:r>
              <w:rPr>
                <w:rFonts w:ascii="Arial" w:cs="Arial" w:eastAsia="Arial" w:hAnsi="Arial"/>
                <w:sz w:val="18"/>
                <w:szCs w:val="18"/>
                <w:color w:val="auto"/>
              </w:rPr>
              <w:t>100%</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r>
    </w:tbl>
    <w:p>
      <w:pPr>
        <w:spacing w:after="0" w:line="84"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For fiscal 2018, TJX Canada and TJX International accounted for 24% of TJX’s net sales, 18% of segment profit and 27% of consolidated assets. For fiscal 2017, TJX Canada and TJX International accounted for 23% of TJX’s net sales, 15% of segment profit and 24% of consolidated assets. For fiscal 2016, TJX Canada and TJX International accounted for 23% of TJX’s net sales, 17% of segment profit and 23% of consolidated assets.</w:t>
      </w:r>
    </w:p>
    <w:p>
      <w:pPr>
        <w:spacing w:after="0" w:line="74" w:lineRule="exact"/>
        <w:rPr>
          <w:sz w:val="20"/>
          <w:szCs w:val="20"/>
          <w:color w:val="auto"/>
        </w:rPr>
      </w:pPr>
    </w:p>
    <w:p>
      <w:pPr>
        <w:ind w:right="60" w:firstLine="342"/>
        <w:spacing w:after="0" w:line="275" w:lineRule="auto"/>
        <w:rPr>
          <w:sz w:val="20"/>
          <w:szCs w:val="20"/>
          <w:color w:val="auto"/>
        </w:rPr>
      </w:pPr>
      <w:r>
        <w:rPr>
          <w:rFonts w:ascii="Arial" w:cs="Arial" w:eastAsia="Arial" w:hAnsi="Arial"/>
          <w:sz w:val="16"/>
          <w:szCs w:val="16"/>
          <w:color w:val="auto"/>
        </w:rPr>
        <w:t>TJX evaluates the performance of its segments based on “segment profit or loss,” which it defines as pre-tax income or loss before general corporate expense, loss on early extinguishment of debt, pension settlement charge and interest expense, net. “Segment profit or loss,” as defined by TJX, may not be comparable to similarly titled measures used by other entities. These measures of performance should not be considered alternatives to net income or cash flows from operating activities as an indicator of TJX’s performance or as a measure of liquidity.</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is financial information with respect to TJX’s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color w:val="auto"/>
              </w:rPr>
              <w:t>Fiscal Year Ended</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5"/>
        </w:trPr>
        <w:tc>
          <w:tcPr>
            <w:tcW w:w="43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jc w:val="right"/>
              <w:ind w:right="96"/>
              <w:spacing w:after="0" w:line="125"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0"/>
                <w:szCs w:val="10"/>
                <w:color w:val="auto"/>
              </w:rPr>
            </w:pPr>
          </w:p>
        </w:tc>
        <w:tc>
          <w:tcPr>
            <w:tcW w:w="1120" w:type="dxa"/>
            <w:vAlign w:val="bottom"/>
          </w:tcPr>
          <w:p>
            <w:pPr>
              <w:jc w:val="right"/>
              <w:ind w:right="135"/>
              <w:spacing w:after="0" w:line="125" w:lineRule="exact"/>
              <w:rPr>
                <w:sz w:val="20"/>
                <w:szCs w:val="20"/>
                <w:color w:val="auto"/>
              </w:rPr>
            </w:pPr>
            <w:r>
              <w:rPr>
                <w:rFonts w:ascii="Arial" w:cs="Arial" w:eastAsia="Arial" w:hAnsi="Arial"/>
                <w:sz w:val="14"/>
                <w:szCs w:val="14"/>
                <w:color w:val="auto"/>
              </w:rPr>
              <w:t>January 28,</w:t>
            </w:r>
          </w:p>
        </w:tc>
        <w:tc>
          <w:tcPr>
            <w:tcW w:w="28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r>
      <w:tr>
        <w:trPr>
          <w:trHeight w:val="179"/>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42"/>
        </w:trPr>
        <w:tc>
          <w:tcPr>
            <w:tcW w:w="4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256"/>
              <w:spacing w:after="0" w:line="142" w:lineRule="exact"/>
              <w:rPr>
                <w:sz w:val="20"/>
                <w:szCs w:val="20"/>
                <w:color w:val="auto"/>
              </w:rPr>
            </w:pPr>
            <w:r>
              <w:rPr>
                <w:rFonts w:ascii="Arial" w:cs="Arial" w:eastAsia="Arial" w:hAnsi="Arial"/>
                <w:sz w:val="14"/>
                <w:szCs w:val="14"/>
                <w:color w:val="auto"/>
              </w:rPr>
              <w:t>(53 weeks)</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sales:</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 the United States</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Marmaxx</w:t>
            </w:r>
          </w:p>
        </w:tc>
        <w:tc>
          <w:tcPr>
            <w:tcW w:w="3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w w:val="95"/>
              </w:rPr>
              <w:t>22,249,105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w w:val="97"/>
              </w:rPr>
              <w:t>21,246,034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19,948,227</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HomeGoods</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5,116,328</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4,404,607</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3,915,221</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TJX Canada</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3,642,282</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3,171,127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2,854,617</w:t>
            </w:r>
          </w:p>
        </w:tc>
      </w:tr>
      <w:tr>
        <w:trPr>
          <w:trHeight w:val="203"/>
        </w:trPr>
        <w:tc>
          <w:tcPr>
            <w:tcW w:w="4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TJX International</w:t>
            </w:r>
          </w:p>
        </w:tc>
        <w:tc>
          <w:tcPr>
            <w:tcW w:w="2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b w:val="1"/>
                <w:bCs w:val="1"/>
                <w:color w:val="auto"/>
              </w:rPr>
              <w:t>4,856,949</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4,361,976</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4,226,873</w:t>
            </w:r>
          </w:p>
        </w:tc>
      </w:tr>
      <w:tr>
        <w:trPr>
          <w:trHeight w:val="196"/>
        </w:trPr>
        <w:tc>
          <w:tcPr>
            <w:tcW w:w="4380" w:type="dxa"/>
            <w:vAlign w:val="bottom"/>
            <w:tcBorders>
              <w:bottom w:val="single" w:sz="8" w:color="auto"/>
            </w:tcBorders>
            <w:shd w:val="clear" w:color="auto" w:fill="CCEEFF"/>
          </w:tcPr>
          <w:p>
            <w:pPr>
              <w:spacing w:after="0"/>
              <w:rPr>
                <w:sz w:val="17"/>
                <w:szCs w:val="17"/>
                <w:color w:val="auto"/>
              </w:rPr>
            </w:pPr>
          </w:p>
        </w:tc>
        <w:tc>
          <w:tcPr>
            <w:tcW w:w="332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b w:val="1"/>
                <w:bCs w:val="1"/>
                <w:color w:val="auto"/>
                <w:w w:val="95"/>
              </w:rPr>
              <w:t>35,864,664</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w w:val="97"/>
              </w:rPr>
              <w:t>33,183,744</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30,944,938</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 the United States</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Arial" w:cs="Arial" w:eastAsia="Arial" w:hAnsi="Arial"/>
                <w:sz w:val="18"/>
                <w:szCs w:val="18"/>
                <w:color w:val="auto"/>
              </w:rPr>
              <w:t>Marmaxx</w:t>
            </w:r>
            <w:r>
              <w:rPr>
                <w:rFonts w:ascii="Arial" w:cs="Arial" w:eastAsia="Arial" w:hAnsi="Arial"/>
                <w:sz w:val="22"/>
                <w:szCs w:val="22"/>
                <w:color w:val="auto"/>
                <w:vertAlign w:val="superscript"/>
              </w:rPr>
              <w:t>(1)</w:t>
            </w:r>
          </w:p>
        </w:tc>
        <w:tc>
          <w:tcPr>
            <w:tcW w:w="33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2,949,358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2,995,045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2,858,780</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HomeGoods</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674,511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613,778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549,318</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TJX Canada</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530,113</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413,417</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375,306</w:t>
            </w:r>
          </w:p>
        </w:tc>
      </w:tr>
      <w:tr>
        <w:trPr>
          <w:trHeight w:val="203"/>
        </w:trPr>
        <w:tc>
          <w:tcPr>
            <w:tcW w:w="4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TJX International</w:t>
            </w:r>
          </w:p>
        </w:tc>
        <w:tc>
          <w:tcPr>
            <w:tcW w:w="2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249,226</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235,519</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316,939</w:t>
            </w:r>
          </w:p>
        </w:tc>
      </w:tr>
      <w:tr>
        <w:trPr>
          <w:trHeight w:val="196"/>
        </w:trPr>
        <w:tc>
          <w:tcPr>
            <w:tcW w:w="4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b w:val="1"/>
                <w:bCs w:val="1"/>
                <w:color w:val="auto"/>
              </w:rPr>
              <w:t>4,403,208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4,257,759</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4,100,343</w:t>
            </w: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General corporate expense</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b w:val="1"/>
                <w:bCs w:val="1"/>
                <w:color w:val="auto"/>
              </w:rPr>
              <w:t>515,032</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408,236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395,643</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51,773</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settlement charge</w:t>
            </w:r>
          </w:p>
        </w:tc>
        <w:tc>
          <w:tcPr>
            <w:tcW w:w="2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31,173</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2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b w:val="1"/>
                <w:bCs w:val="1"/>
                <w:color w:val="auto"/>
              </w:rPr>
              <w:t>31,588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43,534</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46,400</w:t>
            </w:r>
          </w:p>
        </w:tc>
      </w:tr>
      <w:tr>
        <w:trPr>
          <w:trHeight w:val="196"/>
        </w:trPr>
        <w:tc>
          <w:tcPr>
            <w:tcW w:w="4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332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b w:val="1"/>
                <w:bCs w:val="1"/>
                <w:color w:val="auto"/>
              </w:rPr>
              <w:t>3,856,588</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3,723,043</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3,658,300</w:t>
            </w:r>
          </w:p>
        </w:tc>
      </w:tr>
      <w:tr>
        <w:trPr>
          <w:trHeight w:val="356"/>
        </w:trPr>
        <w:tc>
          <w:tcPr>
            <w:tcW w:w="4380" w:type="dxa"/>
            <w:vAlign w:val="bottom"/>
          </w:tcPr>
          <w:p>
            <w:pPr>
              <w:spacing w:after="0"/>
              <w:rPr>
                <w:sz w:val="24"/>
                <w:szCs w:val="24"/>
                <w:color w:val="auto"/>
              </w:rPr>
            </w:pPr>
          </w:p>
        </w:tc>
        <w:tc>
          <w:tcPr>
            <w:tcW w:w="3320" w:type="dxa"/>
            <w:vAlign w:val="bottom"/>
            <w:gridSpan w:val="2"/>
          </w:tcPr>
          <w:p>
            <w:pPr>
              <w:jc w:val="right"/>
              <w:ind w:right="1800"/>
              <w:spacing w:after="0"/>
              <w:rPr>
                <w:sz w:val="20"/>
                <w:szCs w:val="20"/>
                <w:color w:val="auto"/>
              </w:rPr>
            </w:pPr>
            <w:r>
              <w:rPr>
                <w:rFonts w:ascii="Arial" w:cs="Arial" w:eastAsia="Arial" w:hAnsi="Arial"/>
                <w:sz w:val="18"/>
                <w:szCs w:val="18"/>
                <w:color w:val="auto"/>
              </w:rPr>
              <w:t>F-21</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rPr>
              <w:t>Fiscal Year Ended</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5"/>
        </w:trPr>
        <w:tc>
          <w:tcPr>
            <w:tcW w:w="7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jc w:val="right"/>
              <w:ind w:right="94"/>
              <w:spacing w:after="0" w:line="125"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0"/>
                <w:szCs w:val="10"/>
                <w:color w:val="auto"/>
              </w:rPr>
            </w:pPr>
          </w:p>
        </w:tc>
        <w:tc>
          <w:tcPr>
            <w:tcW w:w="1120" w:type="dxa"/>
            <w:vAlign w:val="bottom"/>
          </w:tcPr>
          <w:p>
            <w:pPr>
              <w:jc w:val="right"/>
              <w:ind w:right="134"/>
              <w:spacing w:after="0" w:line="125" w:lineRule="exact"/>
              <w:rPr>
                <w:sz w:val="20"/>
                <w:szCs w:val="20"/>
                <w:color w:val="auto"/>
              </w:rPr>
            </w:pPr>
            <w:r>
              <w:rPr>
                <w:rFonts w:ascii="Arial" w:cs="Arial" w:eastAsia="Arial" w:hAnsi="Arial"/>
                <w:sz w:val="14"/>
                <w:szCs w:val="14"/>
                <w:color w:val="auto"/>
              </w:rPr>
              <w:t>January 28,</w:t>
            </w:r>
          </w:p>
        </w:tc>
        <w:tc>
          <w:tcPr>
            <w:tcW w:w="28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r>
      <w:tr>
        <w:trPr>
          <w:trHeight w:val="179"/>
        </w:trPr>
        <w:tc>
          <w:tcPr>
            <w:tcW w:w="7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Identifiable assets: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In the United States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Marmaxx</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5,676,464</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5,440,448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5,526,570</w:t>
            </w:r>
          </w:p>
        </w:tc>
      </w:tr>
      <w:tr>
        <w:trPr>
          <w:trHeight w:val="203"/>
        </w:trPr>
        <w:tc>
          <w:tcPr>
            <w:tcW w:w="7240" w:type="dxa"/>
            <w:vAlign w:val="bottom"/>
          </w:tcPr>
          <w:p>
            <w:pPr>
              <w:ind w:left="220"/>
              <w:spacing w:after="0" w:line="202" w:lineRule="exact"/>
              <w:rPr>
                <w:sz w:val="20"/>
                <w:szCs w:val="20"/>
                <w:color w:val="auto"/>
              </w:rPr>
            </w:pPr>
            <w:r>
              <w:rPr>
                <w:rFonts w:ascii="Arial" w:cs="Arial" w:eastAsia="Arial" w:hAnsi="Arial"/>
                <w:sz w:val="18"/>
                <w:szCs w:val="18"/>
                <w:color w:val="auto"/>
              </w:rPr>
              <w:t>HomeGoods</w:t>
            </w:r>
          </w:p>
        </w:tc>
        <w:tc>
          <w:tcPr>
            <w:tcW w:w="46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1,237,811</w:t>
            </w:r>
          </w:p>
        </w:tc>
        <w:tc>
          <w:tcPr>
            <w:tcW w:w="320" w:type="dxa"/>
            <w:vAlign w:val="bottom"/>
          </w:tcPr>
          <w:p>
            <w:pPr>
              <w:spacing w:after="0"/>
              <w:rPr>
                <w:sz w:val="17"/>
                <w:szCs w:val="17"/>
                <w:color w:val="auto"/>
              </w:rPr>
            </w:pPr>
          </w:p>
        </w:tc>
        <w:tc>
          <w:tcPr>
            <w:tcW w:w="11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1,086,947</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915,549</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TJX Canada</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1,459,924</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1,345,003</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1,021,584</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TJX International</w:t>
            </w:r>
          </w:p>
        </w:tc>
        <w:tc>
          <w:tcPr>
            <w:tcW w:w="46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2,321,001</w:t>
            </w:r>
          </w:p>
        </w:tc>
        <w:tc>
          <w:tcPr>
            <w:tcW w:w="320" w:type="dxa"/>
            <w:vAlign w:val="bottom"/>
          </w:tcPr>
          <w:p>
            <w:pPr>
              <w:spacing w:after="0"/>
              <w:rPr>
                <w:sz w:val="17"/>
                <w:szCs w:val="17"/>
                <w:color w:val="auto"/>
              </w:rPr>
            </w:pPr>
          </w:p>
        </w:tc>
        <w:tc>
          <w:tcPr>
            <w:tcW w:w="11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1,789,140</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1,645,296</w:t>
            </w:r>
          </w:p>
        </w:tc>
      </w:tr>
      <w:tr>
        <w:trPr>
          <w:trHeight w:val="203"/>
        </w:trPr>
        <w:tc>
          <w:tcPr>
            <w:tcW w:w="72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w:t>
            </w:r>
            <w:r>
              <w:rPr>
                <w:rFonts w:ascii="Arial" w:cs="Arial" w:eastAsia="Arial" w:hAnsi="Arial"/>
                <w:sz w:val="22"/>
                <w:szCs w:val="22"/>
                <w:color w:val="auto"/>
                <w:vertAlign w:val="superscript"/>
              </w:rPr>
              <w:t>(2)</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3,362,815</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3,222,270</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2,381,432</w:t>
            </w:r>
          </w:p>
        </w:tc>
      </w:tr>
      <w:tr>
        <w:trPr>
          <w:trHeight w:val="196"/>
        </w:trPr>
        <w:tc>
          <w:tcPr>
            <w:tcW w:w="7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w w:val="95"/>
              </w:rPr>
              <w:t>14,058,015</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w w:val="97"/>
              </w:rPr>
              <w:t>12,883,808</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11,490,431</w:t>
            </w: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In the United States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Marmaxx</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532,348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449,169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442,910</w:t>
            </w:r>
          </w:p>
        </w:tc>
      </w:tr>
      <w:tr>
        <w:trPr>
          <w:trHeight w:val="203"/>
        </w:trPr>
        <w:tc>
          <w:tcPr>
            <w:tcW w:w="7240" w:type="dxa"/>
            <w:vAlign w:val="bottom"/>
          </w:tcPr>
          <w:p>
            <w:pPr>
              <w:ind w:left="220"/>
              <w:spacing w:after="0" w:line="202" w:lineRule="exact"/>
              <w:rPr>
                <w:sz w:val="20"/>
                <w:szCs w:val="20"/>
                <w:color w:val="auto"/>
              </w:rPr>
            </w:pPr>
            <w:r>
              <w:rPr>
                <w:rFonts w:ascii="Arial" w:cs="Arial" w:eastAsia="Arial" w:hAnsi="Arial"/>
                <w:sz w:val="18"/>
                <w:szCs w:val="18"/>
                <w:color w:val="auto"/>
              </w:rPr>
              <w:t>HomeGoods</w:t>
            </w:r>
          </w:p>
        </w:tc>
        <w:tc>
          <w:tcPr>
            <w:tcW w:w="46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149,505</w:t>
            </w:r>
          </w:p>
        </w:tc>
        <w:tc>
          <w:tcPr>
            <w:tcW w:w="320" w:type="dxa"/>
            <w:vAlign w:val="bottom"/>
          </w:tcPr>
          <w:p>
            <w:pPr>
              <w:spacing w:after="0"/>
              <w:rPr>
                <w:sz w:val="17"/>
                <w:szCs w:val="17"/>
                <w:color w:val="auto"/>
              </w:rPr>
            </w:pPr>
          </w:p>
        </w:tc>
        <w:tc>
          <w:tcPr>
            <w:tcW w:w="11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173,979</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130,593</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TJX Canada</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88,761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100,437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71,071</w:t>
            </w:r>
          </w:p>
        </w:tc>
      </w:tr>
      <w:tr>
        <w:trPr>
          <w:trHeight w:val="203"/>
        </w:trPr>
        <w:tc>
          <w:tcPr>
            <w:tcW w:w="7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TJX International</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287,003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301,162</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244,806</w:t>
            </w:r>
          </w:p>
        </w:tc>
      </w:tr>
      <w:tr>
        <w:trPr>
          <w:trHeight w:val="196"/>
        </w:trPr>
        <w:tc>
          <w:tcPr>
            <w:tcW w:w="7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b w:val="1"/>
                <w:bCs w:val="1"/>
                <w:color w:val="auto"/>
              </w:rPr>
              <w:t>1,057,617</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1,024,747</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889,380</w:t>
            </w:r>
          </w:p>
        </w:tc>
      </w:tr>
      <w:tr>
        <w:trPr>
          <w:trHeight w:val="196"/>
        </w:trPr>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 the United States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240" w:type="dxa"/>
            <w:vAlign w:val="bottom"/>
          </w:tcPr>
          <w:p>
            <w:pPr>
              <w:ind w:left="220"/>
              <w:spacing w:after="0" w:line="202" w:lineRule="exact"/>
              <w:rPr>
                <w:sz w:val="20"/>
                <w:szCs w:val="20"/>
                <w:color w:val="auto"/>
              </w:rPr>
            </w:pPr>
            <w:r>
              <w:rPr>
                <w:rFonts w:ascii="Arial" w:cs="Arial" w:eastAsia="Arial" w:hAnsi="Arial"/>
                <w:sz w:val="18"/>
                <w:szCs w:val="18"/>
                <w:color w:val="auto"/>
              </w:rPr>
              <w:t>Marmaxx</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399,014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385,007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364,892</w:t>
            </w:r>
          </w:p>
        </w:tc>
      </w:tr>
      <w:tr>
        <w:trPr>
          <w:trHeight w:val="203"/>
        </w:trPr>
        <w:tc>
          <w:tcPr>
            <w:tcW w:w="7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HomeGoods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94,709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77,287</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67,204</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TJX Canada</w:t>
            </w:r>
          </w:p>
        </w:tc>
        <w:tc>
          <w:tcPr>
            <w:tcW w:w="46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68,033</w:t>
            </w:r>
          </w:p>
        </w:tc>
        <w:tc>
          <w:tcPr>
            <w:tcW w:w="320" w:type="dxa"/>
            <w:vAlign w:val="bottom"/>
          </w:tcPr>
          <w:p>
            <w:pPr>
              <w:spacing w:after="0"/>
              <w:rPr>
                <w:sz w:val="17"/>
                <w:szCs w:val="17"/>
                <w:color w:val="auto"/>
              </w:rPr>
            </w:pPr>
          </w:p>
        </w:tc>
        <w:tc>
          <w:tcPr>
            <w:tcW w:w="112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62,427</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54,573</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TJX International</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rPr>
              <w:t>159,010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129,376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126,020</w:t>
            </w:r>
          </w:p>
        </w:tc>
      </w:tr>
      <w:tr>
        <w:trPr>
          <w:trHeight w:val="203"/>
        </w:trPr>
        <w:tc>
          <w:tcPr>
            <w:tcW w:w="7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w:t>
            </w:r>
            <w:r>
              <w:rPr>
                <w:rFonts w:ascii="Arial" w:cs="Arial" w:eastAsia="Arial" w:hAnsi="Arial"/>
                <w:sz w:val="22"/>
                <w:szCs w:val="22"/>
                <w:color w:val="auto"/>
                <w:vertAlign w:val="superscript"/>
              </w:rPr>
              <w:t>(3)</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b w:val="1"/>
                <w:bCs w:val="1"/>
                <w:color w:val="auto"/>
              </w:rPr>
              <w:t>5,191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4,699</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4,007</w:t>
            </w:r>
          </w:p>
        </w:tc>
      </w:tr>
      <w:tr>
        <w:trPr>
          <w:trHeight w:val="196"/>
        </w:trPr>
        <w:tc>
          <w:tcPr>
            <w:tcW w:w="7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b w:val="1"/>
                <w:bCs w:val="1"/>
                <w:color w:val="auto"/>
              </w:rPr>
              <w:t>725,957</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658,796</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616,696</w:t>
            </w:r>
          </w:p>
        </w:tc>
      </w:tr>
    </w:tbl>
    <w:p>
      <w:pPr>
        <w:spacing w:after="0" w:line="80"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Fiscal 2018 amount includes an impairment charge of $99.3 million for goodwill and certain long-lived assets of STP.</w:t>
      </w:r>
    </w:p>
    <w:p>
      <w:pPr>
        <w:spacing w:after="0" w:line="68" w:lineRule="exact"/>
        <w:rPr>
          <w:rFonts w:ascii="Arial" w:cs="Arial" w:eastAsia="Arial" w:hAnsi="Arial"/>
          <w:sz w:val="14"/>
          <w:szCs w:val="14"/>
          <w:color w:val="auto"/>
        </w:rPr>
      </w:pPr>
    </w:p>
    <w:p>
      <w:pPr>
        <w:ind w:left="220" w:right="480" w:hanging="212"/>
        <w:spacing w:after="0" w:line="300" w:lineRule="auto"/>
        <w:tabs>
          <w:tab w:leader="none" w:pos="2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Corporate identifiable assets consist primarily of cash, receivables, prepaid insurance, prepaid service contracts and the trust assets in connection with the Executive Savings Plan. Consolidated cash, including cash held in our foreign entities, is included with corporate assets for consistency with the reporting of cash for our segments in the U.S.</w:t>
      </w:r>
    </w:p>
    <w:p>
      <w:pPr>
        <w:spacing w:after="0" w:line="33" w:lineRule="exact"/>
        <w:rPr>
          <w:rFonts w:ascii="Arial" w:cs="Arial" w:eastAsia="Arial" w:hAnsi="Arial"/>
          <w:sz w:val="12"/>
          <w:szCs w:val="12"/>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debt discount accretion and debt expense amortization.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Stock Incentive Plan</w:t>
      </w:r>
    </w:p>
    <w:p>
      <w:pPr>
        <w:spacing w:after="0" w:line="99"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TJX has a Stock Incentive Plan under which options and other share-based awards may be granted to its directors, officers and key employees. This plan has been approved by TJX’s shareholders, and all share-based compensation awards are made under this plan. The Stock Incentive Plan, as amended with shareholder approval, has provided for the issuance of up to 347.8 million shares with 26.6 million shares available for future grants as of February 3, 2018. TJX issues shares under the plan from authorized but unissued common stock.</w:t>
      </w:r>
    </w:p>
    <w:p>
      <w:pPr>
        <w:spacing w:after="0" w:line="74" w:lineRule="exact"/>
        <w:rPr>
          <w:sz w:val="20"/>
          <w:szCs w:val="20"/>
          <w:color w:val="auto"/>
        </w:rPr>
      </w:pPr>
    </w:p>
    <w:p>
      <w:pPr>
        <w:jc w:val="both"/>
        <w:ind w:right="280" w:firstLine="342"/>
        <w:spacing w:after="0" w:line="281" w:lineRule="auto"/>
        <w:rPr>
          <w:sz w:val="20"/>
          <w:szCs w:val="20"/>
          <w:color w:val="auto"/>
        </w:rPr>
      </w:pPr>
      <w:r>
        <w:rPr>
          <w:rFonts w:ascii="Arial" w:cs="Arial" w:eastAsia="Arial" w:hAnsi="Arial"/>
          <w:sz w:val="16"/>
          <w:szCs w:val="16"/>
          <w:color w:val="auto"/>
        </w:rPr>
        <w:t>Total compensation cost related to share-based compensation was $101.4 million, $102.3 million and $94.1 million in fiscal 2018, 2017 and 2016, respectively. As of February 3, 2018, there was $130.7 million of total unrecognized compensation cost related to nonvested share-based compensation arrangements granted under the plan. That cost is expected to be recognized over a weighted-average period of two years.</w:t>
      </w:r>
    </w:p>
    <w:p>
      <w:pPr>
        <w:spacing w:after="0" w:line="43" w:lineRule="exact"/>
        <w:rPr>
          <w:sz w:val="20"/>
          <w:szCs w:val="20"/>
          <w:color w:val="auto"/>
        </w:rPr>
      </w:pPr>
    </w:p>
    <w:p>
      <w:pPr>
        <w:jc w:val="both"/>
        <w:ind w:right="120" w:firstLine="342"/>
        <w:spacing w:after="0" w:line="238" w:lineRule="auto"/>
        <w:rPr>
          <w:sz w:val="20"/>
          <w:szCs w:val="20"/>
          <w:color w:val="auto"/>
        </w:rPr>
      </w:pPr>
      <w:r>
        <w:rPr>
          <w:rFonts w:ascii="Arial" w:cs="Arial" w:eastAsia="Arial" w:hAnsi="Arial"/>
          <w:sz w:val="18"/>
          <w:szCs w:val="18"/>
          <w:color w:val="auto"/>
        </w:rPr>
        <w:t>Options for the purchase of common stock are granted with an exercise price that is 100% of market price on the grant date, generally vest in thirds over a three-year period starting one year after the grant, and have a ten-year maximum term. When options are granted with other vesting terms, the vesting information is reflected in the valuation.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91" w:right="239" w:bottom="1440" w:gutter="0" w:footer="0" w:header="0"/>
        </w:sectPr>
      </w:pPr>
    </w:p>
    <w:bookmarkStart w:id="72" w:name="page73"/>
    <w:bookmarkEnd w:id="72"/>
    <w:p>
      <w:pPr>
        <w:ind w:right="100" w:firstLine="342"/>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options is estimated as of the date of grant using the Black-Scholes option 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Fiscal Year Ended</w:t>
            </w:r>
          </w:p>
        </w:tc>
        <w:tc>
          <w:tcPr>
            <w:tcW w:w="1280" w:type="dxa"/>
            <w:vAlign w:val="bottom"/>
            <w:tcBorders>
              <w:bottom w:val="single" w:sz="8" w:color="auto"/>
            </w:tcBorders>
          </w:tcPr>
          <w:p>
            <w:pPr>
              <w:spacing w:after="0"/>
              <w:rPr>
                <w:sz w:val="14"/>
                <w:szCs w:val="14"/>
                <w:color w:val="auto"/>
              </w:rPr>
            </w:pPr>
          </w:p>
        </w:tc>
      </w:tr>
      <w:tr>
        <w:trPr>
          <w:trHeight w:val="125"/>
        </w:trPr>
        <w:tc>
          <w:tcPr>
            <w:tcW w:w="6620" w:type="dxa"/>
            <w:vAlign w:val="bottom"/>
          </w:tcPr>
          <w:p>
            <w:pPr>
              <w:spacing w:after="0"/>
              <w:rPr>
                <w:sz w:val="10"/>
                <w:szCs w:val="10"/>
                <w:color w:val="auto"/>
              </w:rPr>
            </w:pPr>
          </w:p>
        </w:tc>
        <w:tc>
          <w:tcPr>
            <w:tcW w:w="1820" w:type="dxa"/>
            <w:vAlign w:val="bottom"/>
          </w:tcPr>
          <w:p>
            <w:pPr>
              <w:jc w:val="right"/>
              <w:ind w:right="338"/>
              <w:spacing w:after="0" w:line="125" w:lineRule="exact"/>
              <w:rPr>
                <w:sz w:val="20"/>
                <w:szCs w:val="20"/>
                <w:color w:val="auto"/>
              </w:rPr>
            </w:pPr>
            <w:r>
              <w:rPr>
                <w:rFonts w:ascii="Arial" w:cs="Arial" w:eastAsia="Arial" w:hAnsi="Arial"/>
                <w:sz w:val="14"/>
                <w:szCs w:val="14"/>
                <w:b w:val="1"/>
                <w:bCs w:val="1"/>
                <w:color w:val="auto"/>
              </w:rPr>
              <w:t>February 3,</w:t>
            </w:r>
          </w:p>
        </w:tc>
        <w:tc>
          <w:tcPr>
            <w:tcW w:w="1700" w:type="dxa"/>
            <w:vAlign w:val="bottom"/>
          </w:tcPr>
          <w:p>
            <w:pPr>
              <w:jc w:val="right"/>
              <w:ind w:right="440"/>
              <w:spacing w:after="0" w:line="125" w:lineRule="exact"/>
              <w:rPr>
                <w:sz w:val="20"/>
                <w:szCs w:val="20"/>
                <w:color w:val="auto"/>
              </w:rPr>
            </w:pPr>
            <w:r>
              <w:rPr>
                <w:rFonts w:ascii="Arial" w:cs="Arial" w:eastAsia="Arial" w:hAnsi="Arial"/>
                <w:sz w:val="14"/>
                <w:szCs w:val="14"/>
                <w:color w:val="auto"/>
              </w:rPr>
              <w:t>January 28,</w:t>
            </w:r>
          </w:p>
        </w:tc>
        <w:tc>
          <w:tcPr>
            <w:tcW w:w="1280" w:type="dxa"/>
            <w:vAlign w:val="bottom"/>
          </w:tcPr>
          <w:p>
            <w:pPr>
              <w:jc w:val="right"/>
              <w:ind w:right="138"/>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66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2016</w:t>
            </w: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CEEFF"/>
          </w:tcPr>
          <w:p>
            <w:pPr>
              <w:jc w:val="right"/>
              <w:ind w:right="178"/>
              <w:spacing w:after="0" w:line="196" w:lineRule="exact"/>
              <w:rPr>
                <w:sz w:val="20"/>
                <w:szCs w:val="20"/>
                <w:color w:val="auto"/>
              </w:rPr>
            </w:pPr>
            <w:r>
              <w:rPr>
                <w:rFonts w:ascii="Arial" w:cs="Arial" w:eastAsia="Arial" w:hAnsi="Arial"/>
                <w:sz w:val="18"/>
                <w:szCs w:val="18"/>
                <w:b w:val="1"/>
                <w:bCs w:val="1"/>
                <w:color w:val="auto"/>
              </w:rPr>
              <w:t>1.75%</w:t>
            </w:r>
          </w:p>
        </w:tc>
        <w:tc>
          <w:tcPr>
            <w:tcW w:w="1700" w:type="dxa"/>
            <w:vAlign w:val="bottom"/>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1.20%</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20" w:type="dxa"/>
            <w:vAlign w:val="bottom"/>
          </w:tcPr>
          <w:p>
            <w:pPr>
              <w:jc w:val="right"/>
              <w:ind w:right="178"/>
              <w:spacing w:after="0" w:line="202" w:lineRule="exact"/>
              <w:rPr>
                <w:sz w:val="20"/>
                <w:szCs w:val="20"/>
                <w:color w:val="auto"/>
              </w:rPr>
            </w:pPr>
            <w:r>
              <w:rPr>
                <w:rFonts w:ascii="Arial" w:cs="Arial" w:eastAsia="Arial" w:hAnsi="Arial"/>
                <w:sz w:val="18"/>
                <w:szCs w:val="18"/>
                <w:b w:val="1"/>
                <w:bCs w:val="1"/>
                <w:color w:val="auto"/>
              </w:rPr>
              <w:t>1.5%</w:t>
            </w:r>
          </w:p>
        </w:tc>
        <w:tc>
          <w:tcPr>
            <w:tcW w:w="1700" w:type="dxa"/>
            <w:vAlign w:val="bottom"/>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 factor</w:t>
            </w:r>
          </w:p>
        </w:tc>
        <w:tc>
          <w:tcPr>
            <w:tcW w:w="182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b w:val="1"/>
                <w:bCs w:val="1"/>
                <w:color w:val="auto"/>
              </w:rPr>
              <w:t>23.5%</w:t>
            </w:r>
          </w:p>
        </w:tc>
        <w:tc>
          <w:tcPr>
            <w:tcW w:w="1700" w:type="dxa"/>
            <w:vAlign w:val="bottom"/>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23.8%</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Expected option life in years</w:t>
            </w:r>
          </w:p>
        </w:tc>
        <w:tc>
          <w:tcPr>
            <w:tcW w:w="1820" w:type="dxa"/>
            <w:vAlign w:val="bottom"/>
          </w:tcPr>
          <w:p>
            <w:pPr>
              <w:jc w:val="right"/>
              <w:ind w:right="338"/>
              <w:spacing w:after="0" w:line="202" w:lineRule="exact"/>
              <w:rPr>
                <w:sz w:val="20"/>
                <w:szCs w:val="20"/>
                <w:color w:val="auto"/>
              </w:rPr>
            </w:pPr>
            <w:r>
              <w:rPr>
                <w:rFonts w:ascii="Arial" w:cs="Arial" w:eastAsia="Arial" w:hAnsi="Arial"/>
                <w:sz w:val="18"/>
                <w:szCs w:val="18"/>
                <w:b w:val="1"/>
                <w:bCs w:val="1"/>
                <w:color w:val="auto"/>
              </w:rPr>
              <w:t>4.8</w:t>
            </w:r>
          </w:p>
        </w:tc>
        <w:tc>
          <w:tcPr>
            <w:tcW w:w="1700" w:type="dxa"/>
            <w:vAlign w:val="bottom"/>
          </w:tcPr>
          <w:p>
            <w:pPr>
              <w:jc w:val="right"/>
              <w:ind w:right="440"/>
              <w:spacing w:after="0" w:line="202" w:lineRule="exact"/>
              <w:rPr>
                <w:sz w:val="20"/>
                <w:szCs w:val="20"/>
                <w:color w:val="auto"/>
              </w:rPr>
            </w:pPr>
            <w:r>
              <w:rPr>
                <w:rFonts w:ascii="Arial" w:cs="Arial" w:eastAsia="Arial" w:hAnsi="Arial"/>
                <w:sz w:val="18"/>
                <w:szCs w:val="18"/>
                <w:color w:val="auto"/>
              </w:rPr>
              <w:t>4.8</w:t>
            </w:r>
          </w:p>
        </w:tc>
        <w:tc>
          <w:tcPr>
            <w:tcW w:w="128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4.5</w:t>
            </w:r>
          </w:p>
        </w:tc>
      </w:tr>
      <w:tr>
        <w:trPr>
          <w:trHeight w:val="203"/>
        </w:trPr>
        <w:tc>
          <w:tcPr>
            <w:tcW w:w="6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options issued</w:t>
            </w:r>
          </w:p>
        </w:tc>
        <w:tc>
          <w:tcPr>
            <w:tcW w:w="1820" w:type="dxa"/>
            <w:vAlign w:val="bottom"/>
            <w:tcBorders>
              <w:bottom w:val="single" w:sz="8" w:color="auto"/>
            </w:tcBorders>
            <w:shd w:val="clear" w:color="auto" w:fill="CCEEFF"/>
          </w:tcPr>
          <w:p>
            <w:pPr>
              <w:jc w:val="right"/>
              <w:ind w:right="338"/>
              <w:spacing w:after="0" w:line="202" w:lineRule="exact"/>
              <w:rPr>
                <w:sz w:val="20"/>
                <w:szCs w:val="20"/>
                <w:color w:val="auto"/>
              </w:rPr>
            </w:pPr>
            <w:r>
              <w:rPr>
                <w:rFonts w:ascii="Arial" w:cs="Arial" w:eastAsia="Arial" w:hAnsi="Arial"/>
                <w:sz w:val="18"/>
                <w:szCs w:val="18"/>
                <w:b w:val="1"/>
                <w:bCs w:val="1"/>
                <w:color w:val="auto"/>
              </w:rPr>
              <w:t>$  14.32</w:t>
            </w:r>
          </w:p>
        </w:tc>
        <w:tc>
          <w:tcPr>
            <w:tcW w:w="1700" w:type="dxa"/>
            <w:vAlign w:val="bottom"/>
            <w:tcBorders>
              <w:bottom w:val="single" w:sz="8" w:color="auto"/>
            </w:tcBorders>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14.55</w:t>
            </w:r>
          </w:p>
        </w:tc>
        <w:tc>
          <w:tcPr>
            <w:tcW w:w="1280" w:type="dxa"/>
            <w:vAlign w:val="bottom"/>
            <w:tcBorders>
              <w:bottom w:val="single" w:sz="8" w:color="auto"/>
            </w:tcBorders>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  14.48</w:t>
            </w:r>
          </w:p>
        </w:tc>
      </w:tr>
    </w:tbl>
    <w:p>
      <w:pPr>
        <w:spacing w:after="0" w:line="84"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The risk-free interest rate is for periods within the contractual life of the option based on the U.S. Treasury yield curve in effect at the time of grant. We use historical data to estimate option exercises, employee termination behavior and dividend yield within the valuation model. Expected volatility is based on a combination of implied volatility from traded options on our stock, and historical volatility during a term approximating the expected life of the option granted. The expected option life represents an estimate of the period of time options are expected to remain outstanding based upon historical exercise trends. Employee groups and option characteristics are considered separately for valuation purposes when applicable.</w:t>
      </w:r>
    </w:p>
    <w:p>
      <w:pPr>
        <w:spacing w:after="0" w:line="55" w:lineRule="exact"/>
        <w:rPr>
          <w:sz w:val="20"/>
          <w:szCs w:val="20"/>
          <w:color w:val="auto"/>
        </w:rPr>
      </w:pPr>
    </w:p>
    <w:p>
      <w:pPr>
        <w:ind w:right="240" w:firstLine="342"/>
        <w:spacing w:after="0" w:line="262"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 summary of the status of TJX’s stock options and related weighted average exercise prices (“WAEP”) is presented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4"/>
                <w:szCs w:val="14"/>
                <w:color w:val="auto"/>
              </w:rPr>
              <w:t>Fiscal Year Ended</w:t>
            </w: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72"/>
        </w:trPr>
        <w:tc>
          <w:tcPr>
            <w:tcW w:w="6200" w:type="dxa"/>
            <w:vAlign w:val="bottom"/>
          </w:tcPr>
          <w:p>
            <w:pPr>
              <w:spacing w:after="0"/>
              <w:rPr>
                <w:sz w:val="14"/>
                <w:szCs w:val="14"/>
                <w:color w:val="auto"/>
              </w:rPr>
            </w:pPr>
          </w:p>
        </w:tc>
        <w:tc>
          <w:tcPr>
            <w:tcW w:w="184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rPr>
              <w:t>February 3, 2018</w:t>
            </w:r>
          </w:p>
        </w:tc>
        <w:tc>
          <w:tcPr>
            <w:tcW w:w="1740" w:type="dxa"/>
            <w:vAlign w:val="bottom"/>
            <w:gridSpan w:val="2"/>
          </w:tcPr>
          <w:p>
            <w:pPr>
              <w:jc w:val="right"/>
              <w:ind w:right="295"/>
              <w:spacing w:after="0"/>
              <w:rPr>
                <w:sz w:val="20"/>
                <w:szCs w:val="20"/>
                <w:color w:val="auto"/>
              </w:rPr>
            </w:pPr>
            <w:r>
              <w:rPr>
                <w:rFonts w:ascii="Arial" w:cs="Arial" w:eastAsia="Arial" w:hAnsi="Arial"/>
                <w:sz w:val="14"/>
                <w:szCs w:val="14"/>
                <w:color w:val="auto"/>
              </w:rPr>
              <w:t>January 28, 2017</w:t>
            </w:r>
          </w:p>
        </w:tc>
        <w:tc>
          <w:tcPr>
            <w:tcW w:w="1640" w:type="dxa"/>
            <w:vAlign w:val="bottom"/>
            <w:gridSpan w:val="2"/>
          </w:tcPr>
          <w:p>
            <w:pPr>
              <w:jc w:val="right"/>
              <w:ind w:right="175"/>
              <w:spacing w:after="0"/>
              <w:rPr>
                <w:sz w:val="20"/>
                <w:szCs w:val="20"/>
                <w:color w:val="auto"/>
              </w:rPr>
            </w:pPr>
            <w:r>
              <w:rPr>
                <w:rFonts w:ascii="Arial" w:cs="Arial" w:eastAsia="Arial" w:hAnsi="Arial"/>
                <w:sz w:val="14"/>
                <w:szCs w:val="14"/>
                <w:color w:val="auto"/>
              </w:rPr>
              <w:t>January 30, 2016</w:t>
            </w:r>
          </w:p>
        </w:tc>
      </w:tr>
      <w:tr>
        <w:trPr>
          <w:trHeight w:val="213"/>
        </w:trPr>
        <w:tc>
          <w:tcPr>
            <w:tcW w:w="6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Options</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WAEP</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Options</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WAEP</w:t>
            </w: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Options</w:t>
            </w: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WAEP</w:t>
            </w:r>
          </w:p>
        </w:tc>
      </w:tr>
      <w:tr>
        <w:trPr>
          <w:trHeight w:val="196"/>
        </w:trPr>
        <w:tc>
          <w:tcPr>
            <w:tcW w:w="620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55"/>
              <w:spacing w:after="0" w:line="196" w:lineRule="exact"/>
              <w:rPr>
                <w:sz w:val="20"/>
                <w:szCs w:val="20"/>
                <w:color w:val="auto"/>
              </w:rPr>
            </w:pPr>
            <w:r>
              <w:rPr>
                <w:rFonts w:ascii="Arial" w:cs="Arial" w:eastAsia="Arial" w:hAnsi="Arial"/>
                <w:sz w:val="18"/>
                <w:szCs w:val="18"/>
                <w:color w:val="auto"/>
              </w:rPr>
              <w:t>(53 weeks)</w:t>
            </w: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27,353</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$48.69</w:t>
            </w:r>
          </w:p>
        </w:tc>
        <w:tc>
          <w:tcPr>
            <w:tcW w:w="90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28,686</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$41.68</w:t>
            </w:r>
          </w:p>
        </w:tc>
        <w:tc>
          <w:tcPr>
            <w:tcW w:w="9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30,078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$34.91</w:t>
            </w: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4,702</w:t>
            </w:r>
          </w:p>
        </w:tc>
        <w:tc>
          <w:tcPr>
            <w:tcW w:w="84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b w:val="1"/>
                <w:bCs w:val="1"/>
                <w:color w:val="auto"/>
              </w:rPr>
              <w:t>73.21</w:t>
            </w:r>
          </w:p>
        </w:tc>
        <w:tc>
          <w:tcPr>
            <w:tcW w:w="90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4,305</w:t>
            </w:r>
          </w:p>
        </w:tc>
        <w:tc>
          <w:tcPr>
            <w:tcW w:w="84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75.04</w:t>
            </w:r>
          </w:p>
        </w:tc>
        <w:tc>
          <w:tcPr>
            <w:tcW w:w="90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4,169</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72.54</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(4,096)</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32.23</w:t>
            </w:r>
          </w:p>
        </w:tc>
        <w:tc>
          <w:tcPr>
            <w:tcW w:w="900" w:type="dxa"/>
            <w:vAlign w:val="bottom"/>
          </w:tcPr>
          <w:p>
            <w:pPr>
              <w:jc w:val="right"/>
              <w:ind w:right="59"/>
              <w:spacing w:after="0" w:line="202" w:lineRule="exact"/>
              <w:rPr>
                <w:sz w:val="20"/>
                <w:szCs w:val="20"/>
                <w:color w:val="auto"/>
              </w:rPr>
            </w:pPr>
            <w:r>
              <w:rPr>
                <w:rFonts w:ascii="Arial" w:cs="Arial" w:eastAsia="Arial" w:hAnsi="Arial"/>
                <w:sz w:val="18"/>
                <w:szCs w:val="18"/>
                <w:color w:val="auto"/>
              </w:rPr>
              <w:t>(5,265)</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30.83</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(5,124)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r>
      <w:tr>
        <w:trPr>
          <w:trHeight w:val="203"/>
        </w:trPr>
        <w:tc>
          <w:tcPr>
            <w:tcW w:w="6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Forfeitures</w:t>
            </w:r>
          </w:p>
        </w:tc>
        <w:tc>
          <w:tcPr>
            <w:tcW w:w="1000" w:type="dxa"/>
            <w:vAlign w:val="bottom"/>
            <w:tcBorders>
              <w:bottom w:val="single" w:sz="8" w:color="auto"/>
            </w:tcBorders>
            <w:shd w:val="clear" w:color="auto" w:fill="CCEEFF"/>
          </w:tcPr>
          <w:p>
            <w:pPr>
              <w:jc w:val="right"/>
              <w:ind w:right="57"/>
              <w:spacing w:after="0" w:line="202" w:lineRule="exact"/>
              <w:rPr>
                <w:sz w:val="20"/>
                <w:szCs w:val="20"/>
                <w:color w:val="auto"/>
              </w:rPr>
            </w:pPr>
            <w:r>
              <w:rPr>
                <w:rFonts w:ascii="Arial" w:cs="Arial" w:eastAsia="Arial" w:hAnsi="Arial"/>
                <w:sz w:val="18"/>
                <w:szCs w:val="18"/>
                <w:b w:val="1"/>
                <w:bCs w:val="1"/>
                <w:color w:val="auto"/>
              </w:rPr>
              <w:t>(329)</w:t>
            </w:r>
          </w:p>
        </w:tc>
        <w:tc>
          <w:tcPr>
            <w:tcW w:w="84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b w:val="1"/>
                <w:bCs w:val="1"/>
                <w:color w:val="auto"/>
              </w:rPr>
              <w:t>71.40</w:t>
            </w:r>
          </w:p>
        </w:tc>
        <w:tc>
          <w:tcPr>
            <w:tcW w:w="900" w:type="dxa"/>
            <w:vAlign w:val="bottom"/>
            <w:tcBorders>
              <w:bottom w:val="single" w:sz="8" w:color="auto"/>
            </w:tcBorders>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(373)</w:t>
            </w:r>
          </w:p>
        </w:tc>
        <w:tc>
          <w:tcPr>
            <w:tcW w:w="840" w:type="dxa"/>
            <w:vAlign w:val="bottom"/>
            <w:tcBorders>
              <w:bottom w:val="single" w:sz="8" w:color="auto"/>
            </w:tcBorders>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66.15</w:t>
            </w:r>
          </w:p>
        </w:tc>
        <w:tc>
          <w:tcPr>
            <w:tcW w:w="900" w:type="dxa"/>
            <w:vAlign w:val="bottom"/>
            <w:tcBorders>
              <w:bottom w:val="single" w:sz="8" w:color="auto"/>
            </w:tcBorders>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(437)</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55.06</w:t>
            </w:r>
          </w:p>
        </w:tc>
      </w:tr>
      <w:tr>
        <w:trPr>
          <w:trHeight w:val="196"/>
        </w:trPr>
        <w:tc>
          <w:tcPr>
            <w:tcW w:w="6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at end of year</w:t>
            </w:r>
          </w:p>
        </w:tc>
        <w:tc>
          <w:tcPr>
            <w:tcW w:w="1000" w:type="dxa"/>
            <w:vAlign w:val="bottom"/>
            <w:tcBorders>
              <w:bottom w:val="single" w:sz="8" w:color="auto"/>
            </w:tcBorders>
          </w:tcPr>
          <w:p>
            <w:pPr>
              <w:jc w:val="right"/>
              <w:ind w:right="117"/>
              <w:spacing w:after="0" w:line="196" w:lineRule="exact"/>
              <w:rPr>
                <w:sz w:val="20"/>
                <w:szCs w:val="20"/>
                <w:color w:val="auto"/>
              </w:rPr>
            </w:pPr>
            <w:r>
              <w:rPr>
                <w:rFonts w:ascii="Arial" w:cs="Arial" w:eastAsia="Arial" w:hAnsi="Arial"/>
                <w:sz w:val="18"/>
                <w:szCs w:val="18"/>
                <w:b w:val="1"/>
                <w:bCs w:val="1"/>
                <w:color w:val="auto"/>
              </w:rPr>
              <w:t>27,630</w:t>
            </w:r>
          </w:p>
        </w:tc>
        <w:tc>
          <w:tcPr>
            <w:tcW w:w="84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b w:val="1"/>
                <w:bCs w:val="1"/>
                <w:color w:val="auto"/>
              </w:rPr>
              <w:t>$55.03</w:t>
            </w:r>
          </w:p>
        </w:tc>
        <w:tc>
          <w:tcPr>
            <w:tcW w:w="90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color w:val="auto"/>
              </w:rPr>
              <w:t>27,353</w:t>
            </w:r>
          </w:p>
        </w:tc>
        <w:tc>
          <w:tcPr>
            <w:tcW w:w="84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$48.69</w:t>
            </w:r>
          </w:p>
        </w:tc>
        <w:tc>
          <w:tcPr>
            <w:tcW w:w="900" w:type="dxa"/>
            <w:vAlign w:val="bottom"/>
            <w:tcBorders>
              <w:bottom w:val="single" w:sz="8" w:color="auto"/>
            </w:tcBorders>
          </w:tcPr>
          <w:p>
            <w:pPr>
              <w:jc w:val="right"/>
              <w:ind w:right="117"/>
              <w:spacing w:after="0" w:line="196" w:lineRule="exact"/>
              <w:rPr>
                <w:sz w:val="20"/>
                <w:szCs w:val="20"/>
                <w:color w:val="auto"/>
              </w:rPr>
            </w:pPr>
            <w:r>
              <w:rPr>
                <w:rFonts w:ascii="Arial" w:cs="Arial" w:eastAsia="Arial" w:hAnsi="Arial"/>
                <w:sz w:val="18"/>
                <w:szCs w:val="18"/>
                <w:color w:val="auto"/>
              </w:rPr>
              <w:t>28,686</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$41.68</w:t>
            </w:r>
          </w:p>
        </w:tc>
      </w:tr>
      <w:tr>
        <w:trPr>
          <w:trHeight w:val="196"/>
        </w:trPr>
        <w:tc>
          <w:tcPr>
            <w:tcW w:w="6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end of year</w:t>
            </w:r>
          </w:p>
        </w:tc>
        <w:tc>
          <w:tcPr>
            <w:tcW w:w="1000" w:type="dxa"/>
            <w:vAlign w:val="bottom"/>
            <w:tcBorders>
              <w:bottom w:val="single" w:sz="8" w:color="auto"/>
            </w:tcBorders>
            <w:shd w:val="clear" w:color="auto" w:fill="CCEEFF"/>
          </w:tcPr>
          <w:p>
            <w:pPr>
              <w:jc w:val="right"/>
              <w:ind w:right="117"/>
              <w:spacing w:after="0" w:line="196" w:lineRule="exact"/>
              <w:rPr>
                <w:sz w:val="20"/>
                <w:szCs w:val="20"/>
                <w:color w:val="auto"/>
              </w:rPr>
            </w:pPr>
            <w:r>
              <w:rPr>
                <w:rFonts w:ascii="Arial" w:cs="Arial" w:eastAsia="Arial" w:hAnsi="Arial"/>
                <w:sz w:val="18"/>
                <w:szCs w:val="18"/>
                <w:b w:val="1"/>
                <w:bCs w:val="1"/>
                <w:color w:val="auto"/>
              </w:rPr>
              <w:t>18,976</w:t>
            </w:r>
          </w:p>
        </w:tc>
        <w:tc>
          <w:tcPr>
            <w:tcW w:w="840" w:type="dxa"/>
            <w:vAlign w:val="bottom"/>
            <w:tcBorders>
              <w:bottom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b w:val="1"/>
                <w:bCs w:val="1"/>
                <w:color w:val="auto"/>
              </w:rPr>
              <w:t>$46.56</w:t>
            </w:r>
          </w:p>
        </w:tc>
        <w:tc>
          <w:tcPr>
            <w:tcW w:w="90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rPr>
              <w:t>18,980</w:t>
            </w:r>
          </w:p>
        </w:tc>
        <w:tc>
          <w:tcPr>
            <w:tcW w:w="840" w:type="dxa"/>
            <w:vAlign w:val="bottom"/>
            <w:tcBorders>
              <w:bottom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rPr>
              <w:t>$38.69</w:t>
            </w:r>
          </w:p>
        </w:tc>
        <w:tc>
          <w:tcPr>
            <w:tcW w:w="900" w:type="dxa"/>
            <w:vAlign w:val="bottom"/>
            <w:tcBorders>
              <w:bottom w:val="single" w:sz="8" w:color="auto"/>
            </w:tcBorders>
            <w:shd w:val="clear" w:color="auto" w:fill="CCEEFF"/>
          </w:tcPr>
          <w:p>
            <w:pPr>
              <w:jc w:val="right"/>
              <w:ind w:right="117"/>
              <w:spacing w:after="0" w:line="196" w:lineRule="exact"/>
              <w:rPr>
                <w:sz w:val="20"/>
                <w:szCs w:val="20"/>
                <w:color w:val="auto"/>
              </w:rPr>
            </w:pPr>
            <w:r>
              <w:rPr>
                <w:rFonts w:ascii="Arial" w:cs="Arial" w:eastAsia="Arial" w:hAnsi="Arial"/>
                <w:sz w:val="18"/>
                <w:szCs w:val="18"/>
                <w:color w:val="auto"/>
              </w:rPr>
              <w:t>20,175</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$31.75</w:t>
            </w:r>
          </w:p>
        </w:tc>
      </w:tr>
    </w:tbl>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options exercised was $176.7 million in fiscal 2018, $239.7 million in fiscal 2017 and $227.4 million in fiscal 2016.</w:t>
      </w:r>
    </w:p>
    <w:p>
      <w:pPr>
        <w:spacing w:after="0" w:line="100" w:lineRule="exact"/>
        <w:rPr>
          <w:sz w:val="20"/>
          <w:szCs w:val="20"/>
          <w:color w:val="auto"/>
        </w:rPr>
      </w:pPr>
    </w:p>
    <w:p>
      <w:pPr>
        <w:ind w:right="360" w:firstLine="342"/>
        <w:spacing w:after="0" w:line="239" w:lineRule="auto"/>
        <w:rPr>
          <w:sz w:val="20"/>
          <w:szCs w:val="20"/>
          <w:color w:val="auto"/>
        </w:rPr>
      </w:pPr>
      <w:r>
        <w:rPr>
          <w:rFonts w:ascii="Arial" w:cs="Arial" w:eastAsia="Arial" w:hAnsi="Arial"/>
          <w:sz w:val="18"/>
          <w:szCs w:val="18"/>
          <w:color w:val="auto"/>
        </w:rPr>
        <w:t>The following table summarizes information about stock options outstanding that were expected to vest and stock options outstanding that were exercisable as of February 3,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color w:val="auto"/>
              </w:rPr>
              <w:t>Weighted</w:t>
            </w:r>
          </w:p>
        </w:tc>
        <w:tc>
          <w:tcPr>
            <w:tcW w:w="760" w:type="dxa"/>
            <w:vAlign w:val="bottom"/>
            <w:tcBorders>
              <w:top w:val="single" w:sz="8" w:color="auto"/>
            </w:tcBorders>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2"/>
              <w:spacing w:after="0" w:line="149" w:lineRule="exact"/>
              <w:rPr>
                <w:sz w:val="20"/>
                <w:szCs w:val="20"/>
                <w:color w:val="auto"/>
              </w:rPr>
            </w:pPr>
            <w:r>
              <w:rPr>
                <w:rFonts w:ascii="Arial" w:cs="Arial" w:eastAsia="Arial" w:hAnsi="Arial"/>
                <w:sz w:val="14"/>
                <w:szCs w:val="14"/>
                <w:color w:val="auto"/>
                <w:w w:val="95"/>
              </w:rPr>
              <w:t>Aggregate</w:t>
            </w:r>
          </w:p>
        </w:tc>
        <w:tc>
          <w:tcPr>
            <w:tcW w:w="1040" w:type="dxa"/>
            <w:vAlign w:val="bottom"/>
          </w:tcPr>
          <w:p>
            <w:pPr>
              <w:jc w:val="right"/>
              <w:ind w:right="64"/>
              <w:spacing w:after="0" w:line="149" w:lineRule="exact"/>
              <w:rPr>
                <w:sz w:val="20"/>
                <w:szCs w:val="20"/>
                <w:color w:val="auto"/>
              </w:rPr>
            </w:pPr>
            <w:r>
              <w:rPr>
                <w:rFonts w:ascii="Arial" w:cs="Arial" w:eastAsia="Arial" w:hAnsi="Arial"/>
                <w:sz w:val="14"/>
                <w:szCs w:val="14"/>
                <w:color w:val="auto"/>
              </w:rPr>
              <w:t>Average</w:t>
            </w:r>
          </w:p>
        </w:tc>
        <w:tc>
          <w:tcPr>
            <w:tcW w:w="760" w:type="dxa"/>
            <w:vAlign w:val="bottom"/>
          </w:tcPr>
          <w:p>
            <w:pPr>
              <w:spacing w:after="0"/>
              <w:rPr>
                <w:sz w:val="12"/>
                <w:szCs w:val="12"/>
                <w:color w:val="auto"/>
              </w:rPr>
            </w:pPr>
          </w:p>
        </w:tc>
      </w:tr>
      <w:tr>
        <w:trPr>
          <w:trHeight w:val="149"/>
        </w:trPr>
        <w:tc>
          <w:tcPr>
            <w:tcW w:w="6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2"/>
              <w:spacing w:after="0" w:line="149" w:lineRule="exact"/>
              <w:rPr>
                <w:sz w:val="20"/>
                <w:szCs w:val="20"/>
                <w:color w:val="auto"/>
              </w:rPr>
            </w:pPr>
            <w:r>
              <w:rPr>
                <w:rFonts w:ascii="Arial" w:cs="Arial" w:eastAsia="Arial" w:hAnsi="Arial"/>
                <w:sz w:val="14"/>
                <w:szCs w:val="14"/>
                <w:color w:val="auto"/>
              </w:rPr>
              <w:t>Intrinsic</w:t>
            </w:r>
          </w:p>
        </w:tc>
        <w:tc>
          <w:tcPr>
            <w:tcW w:w="1040" w:type="dxa"/>
            <w:vAlign w:val="bottom"/>
          </w:tcPr>
          <w:p>
            <w:pPr>
              <w:jc w:val="right"/>
              <w:ind w:right="64"/>
              <w:spacing w:after="0" w:line="149" w:lineRule="exact"/>
              <w:rPr>
                <w:sz w:val="20"/>
                <w:szCs w:val="20"/>
                <w:color w:val="auto"/>
              </w:rPr>
            </w:pPr>
            <w:r>
              <w:rPr>
                <w:rFonts w:ascii="Arial" w:cs="Arial" w:eastAsia="Arial" w:hAnsi="Arial"/>
                <w:sz w:val="14"/>
                <w:szCs w:val="14"/>
                <w:color w:val="auto"/>
              </w:rPr>
              <w:t>Remaining</w:t>
            </w:r>
          </w:p>
        </w:tc>
        <w:tc>
          <w:tcPr>
            <w:tcW w:w="760" w:type="dxa"/>
            <w:vAlign w:val="bottom"/>
          </w:tcPr>
          <w:p>
            <w:pPr>
              <w:spacing w:after="0"/>
              <w:rPr>
                <w:sz w:val="12"/>
                <w:szCs w:val="12"/>
                <w:color w:val="auto"/>
              </w:rPr>
            </w:pPr>
          </w:p>
        </w:tc>
      </w:tr>
      <w:tr>
        <w:trPr>
          <w:trHeight w:val="149"/>
        </w:trPr>
        <w:tc>
          <w:tcPr>
            <w:tcW w:w="6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Shares in thousands</w:t>
            </w:r>
          </w:p>
        </w:tc>
        <w:tc>
          <w:tcPr>
            <w:tcW w:w="254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2"/>
              <w:spacing w:after="0" w:line="149" w:lineRule="exact"/>
              <w:rPr>
                <w:sz w:val="20"/>
                <w:szCs w:val="20"/>
                <w:color w:val="auto"/>
              </w:rPr>
            </w:pPr>
            <w:r>
              <w:rPr>
                <w:rFonts w:ascii="Arial" w:cs="Arial" w:eastAsia="Arial" w:hAnsi="Arial"/>
                <w:sz w:val="14"/>
                <w:szCs w:val="14"/>
                <w:color w:val="auto"/>
              </w:rPr>
              <w:t>Value</w:t>
            </w:r>
          </w:p>
        </w:tc>
        <w:tc>
          <w:tcPr>
            <w:tcW w:w="1040" w:type="dxa"/>
            <w:vAlign w:val="bottom"/>
            <w:tcBorders>
              <w:bottom w:val="single" w:sz="8" w:color="auto"/>
            </w:tcBorders>
          </w:tcPr>
          <w:p>
            <w:pPr>
              <w:jc w:val="right"/>
              <w:ind w:right="64"/>
              <w:spacing w:after="0" w:line="149" w:lineRule="exact"/>
              <w:rPr>
                <w:sz w:val="20"/>
                <w:szCs w:val="20"/>
                <w:color w:val="auto"/>
              </w:rPr>
            </w:pPr>
            <w:r>
              <w:rPr>
                <w:rFonts w:ascii="Arial" w:cs="Arial" w:eastAsia="Arial" w:hAnsi="Arial"/>
                <w:sz w:val="14"/>
                <w:szCs w:val="14"/>
                <w:color w:val="auto"/>
              </w:rPr>
              <w:t>Contract Life</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WAEP</w:t>
            </w: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expected to vest</w:t>
            </w:r>
          </w:p>
        </w:tc>
        <w:tc>
          <w:tcPr>
            <w:tcW w:w="25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8,014</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rPr>
              <w:t>38,245</w:t>
            </w:r>
          </w:p>
        </w:tc>
        <w:tc>
          <w:tcPr>
            <w:tcW w:w="1040" w:type="dxa"/>
            <w:vAlign w:val="bottom"/>
            <w:shd w:val="clear" w:color="auto" w:fill="CCEEFF"/>
          </w:tcPr>
          <w:p>
            <w:pPr>
              <w:jc w:val="right"/>
              <w:ind w:right="64"/>
              <w:spacing w:after="0" w:line="196" w:lineRule="exact"/>
              <w:rPr>
                <w:sz w:val="20"/>
                <w:szCs w:val="20"/>
                <w:color w:val="auto"/>
              </w:rPr>
            </w:pPr>
            <w:r>
              <w:rPr>
                <w:rFonts w:ascii="Arial" w:cs="Arial" w:eastAsia="Arial" w:hAnsi="Arial"/>
                <w:sz w:val="18"/>
                <w:szCs w:val="18"/>
                <w:color w:val="auto"/>
              </w:rPr>
              <w:t>9.0 years</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$73.70</w:t>
            </w:r>
          </w:p>
        </w:tc>
      </w:tr>
      <w:tr>
        <w:trPr>
          <w:trHeight w:val="203"/>
        </w:trPr>
        <w:tc>
          <w:tcPr>
            <w:tcW w:w="6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Options exercisable</w:t>
            </w:r>
          </w:p>
        </w:tc>
        <w:tc>
          <w:tcPr>
            <w:tcW w:w="254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18,976</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62"/>
              <w:spacing w:after="0" w:line="202" w:lineRule="exact"/>
              <w:rPr>
                <w:sz w:val="20"/>
                <w:szCs w:val="20"/>
                <w:color w:val="auto"/>
              </w:rPr>
            </w:pPr>
            <w:r>
              <w:rPr>
                <w:rFonts w:ascii="Arial" w:cs="Arial" w:eastAsia="Arial" w:hAnsi="Arial"/>
                <w:sz w:val="18"/>
                <w:szCs w:val="18"/>
                <w:color w:val="auto"/>
                <w:w w:val="95"/>
              </w:rPr>
              <w:t>605,624</w:t>
            </w:r>
          </w:p>
        </w:tc>
        <w:tc>
          <w:tcPr>
            <w:tcW w:w="1040" w:type="dxa"/>
            <w:vAlign w:val="bottom"/>
            <w:tcBorders>
              <w:bottom w:val="single" w:sz="8" w:color="auto"/>
            </w:tcBorders>
          </w:tcPr>
          <w:p>
            <w:pPr>
              <w:jc w:val="right"/>
              <w:ind w:right="64"/>
              <w:spacing w:after="0" w:line="202" w:lineRule="exact"/>
              <w:rPr>
                <w:sz w:val="20"/>
                <w:szCs w:val="20"/>
                <w:color w:val="auto"/>
              </w:rPr>
            </w:pPr>
            <w:r>
              <w:rPr>
                <w:rFonts w:ascii="Arial" w:cs="Arial" w:eastAsia="Arial" w:hAnsi="Arial"/>
                <w:sz w:val="18"/>
                <w:szCs w:val="18"/>
                <w:color w:val="auto"/>
              </w:rPr>
              <w:t>5.0 years</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$46.56</w:t>
            </w:r>
          </w:p>
        </w:tc>
      </w:tr>
      <w:tr>
        <w:trPr>
          <w:trHeight w:val="196"/>
        </w:trPr>
        <w:tc>
          <w:tcPr>
            <w:tcW w:w="6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outstanding options vested and expected to vest</w:t>
            </w:r>
          </w:p>
        </w:tc>
        <w:tc>
          <w:tcPr>
            <w:tcW w:w="254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26,990</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w w:val="95"/>
              </w:rPr>
              <w:t>643,869</w:t>
            </w:r>
          </w:p>
        </w:tc>
        <w:tc>
          <w:tcPr>
            <w:tcW w:w="1040" w:type="dxa"/>
            <w:vAlign w:val="bottom"/>
            <w:tcBorders>
              <w:bottom w:val="single" w:sz="8" w:color="auto"/>
            </w:tcBorders>
            <w:shd w:val="clear" w:color="auto" w:fill="CCEEFF"/>
          </w:tcPr>
          <w:p>
            <w:pPr>
              <w:jc w:val="right"/>
              <w:ind w:right="64"/>
              <w:spacing w:after="0" w:line="196" w:lineRule="exact"/>
              <w:rPr>
                <w:sz w:val="20"/>
                <w:szCs w:val="20"/>
                <w:color w:val="auto"/>
              </w:rPr>
            </w:pPr>
            <w:r>
              <w:rPr>
                <w:rFonts w:ascii="Arial" w:cs="Arial" w:eastAsia="Arial" w:hAnsi="Arial"/>
                <w:sz w:val="18"/>
                <w:szCs w:val="18"/>
                <w:color w:val="auto"/>
              </w:rPr>
              <w:t>6.2 years</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$54.61</w:t>
            </w:r>
          </w:p>
        </w:tc>
      </w:tr>
    </w:tbl>
    <w:p>
      <w:pPr>
        <w:spacing w:after="0" w:line="84" w:lineRule="exact"/>
        <w:rPr>
          <w:sz w:val="20"/>
          <w:szCs w:val="20"/>
          <w:color w:val="auto"/>
        </w:rPr>
      </w:pPr>
    </w:p>
    <w:p>
      <w:pPr>
        <w:ind w:left="360" w:right="720"/>
        <w:spacing w:after="0" w:line="317" w:lineRule="auto"/>
        <w:rPr>
          <w:sz w:val="20"/>
          <w:szCs w:val="20"/>
          <w:color w:val="auto"/>
        </w:rPr>
      </w:pPr>
      <w:r>
        <w:rPr>
          <w:rFonts w:ascii="Arial" w:cs="Arial" w:eastAsia="Arial" w:hAnsi="Arial"/>
          <w:sz w:val="16"/>
          <w:szCs w:val="16"/>
          <w:color w:val="auto"/>
        </w:rPr>
        <w:t xml:space="preserve">Options outstanding expected to vest represents total unvested options of 8.6 million adjusted for anticipated forfeitures. </w:t>
      </w:r>
      <w:r>
        <w:rPr>
          <w:rFonts w:ascii="Arial" w:cs="Arial" w:eastAsia="Arial" w:hAnsi="Arial"/>
          <w:sz w:val="16"/>
          <w:szCs w:val="16"/>
          <w:b w:val="1"/>
          <w:bCs w:val="1"/>
          <w:i w:val="1"/>
          <w:iCs w:val="1"/>
          <w:color w:val="auto"/>
        </w:rPr>
        <w:t xml:space="preserve">Performance-Based Stock Awards: </w:t>
      </w:r>
      <w:r>
        <w:rPr>
          <w:rFonts w:ascii="Arial" w:cs="Arial" w:eastAsia="Arial" w:hAnsi="Arial"/>
          <w:sz w:val="16"/>
          <w:szCs w:val="16"/>
          <w:color w:val="auto"/>
        </w:rPr>
        <w:t>TJX granted performance-based restricted stock, performance-based restricted stock units and</w:t>
      </w:r>
    </w:p>
    <w:p>
      <w:pPr>
        <w:ind w:right="60"/>
        <w:spacing w:after="0" w:line="236" w:lineRule="auto"/>
        <w:rPr>
          <w:sz w:val="20"/>
          <w:szCs w:val="20"/>
          <w:color w:val="auto"/>
        </w:rPr>
      </w:pPr>
      <w:r>
        <w:rPr>
          <w:rFonts w:ascii="Arial" w:cs="Arial" w:eastAsia="Arial" w:hAnsi="Arial"/>
          <w:sz w:val="18"/>
          <w:szCs w:val="18"/>
          <w:color w:val="auto"/>
        </w:rPr>
        <w:t>performance-based deferred stock awards (collectively referred to as performance-based stock awards) under the Stock Incentive Plan during fiscal 2018. These awards were granted without a purchase price to the recipient and are subject to vesting conditions, including specified performance criteria aligned with management incentive plans for a period of generally one to three years. The grant date fair value of the performance-based stock awards is charged to income over the requisite service period during which the recipient must remain employed. The fair value of the performance-based stock awards is determined at date of grant in accordance with ASC Topic 718 and assumes that performance goals will be achieved. If such goals are not met, or only partially met, awards and related compensation costs recognized are reduced on a pro rata basis.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91" w:right="239" w:bottom="1440" w:gutter="0" w:footer="0" w:header="0"/>
        </w:sectPr>
      </w:pPr>
    </w:p>
    <w:bookmarkStart w:id="73" w:name="page74"/>
    <w:bookmarkEnd w:id="73"/>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summary of the status of our nonvested performance-based stock awards and changes during fiscal 2018 is presented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Borders>
              <w:top w:val="single" w:sz="8" w:color="auto"/>
            </w:tcBorders>
          </w:tcPr>
          <w:p>
            <w:pPr>
              <w:spacing w:after="0"/>
              <w:rPr>
                <w:sz w:val="14"/>
                <w:szCs w:val="14"/>
                <w:color w:val="auto"/>
              </w:rPr>
            </w:pPr>
          </w:p>
        </w:tc>
        <w:tc>
          <w:tcPr>
            <w:tcW w:w="45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Weighted</w:t>
            </w:r>
          </w:p>
        </w:tc>
      </w:tr>
      <w:tr>
        <w:trPr>
          <w:trHeight w:val="149"/>
        </w:trPr>
        <w:tc>
          <w:tcPr>
            <w:tcW w:w="5800" w:type="dxa"/>
            <w:vAlign w:val="bottom"/>
          </w:tcPr>
          <w:p>
            <w:pPr>
              <w:spacing w:after="0"/>
              <w:rPr>
                <w:sz w:val="12"/>
                <w:szCs w:val="12"/>
                <w:color w:val="auto"/>
              </w:rPr>
            </w:pPr>
          </w:p>
        </w:tc>
        <w:tc>
          <w:tcPr>
            <w:tcW w:w="4560" w:type="dxa"/>
            <w:vAlign w:val="bottom"/>
          </w:tcPr>
          <w:p>
            <w:pPr>
              <w:jc w:val="right"/>
              <w:ind w:right="320"/>
              <w:spacing w:after="0" w:line="149" w:lineRule="exact"/>
              <w:rPr>
                <w:sz w:val="20"/>
                <w:szCs w:val="20"/>
                <w:color w:val="auto"/>
              </w:rPr>
            </w:pPr>
            <w:r>
              <w:rPr>
                <w:rFonts w:ascii="Arial" w:cs="Arial" w:eastAsia="Arial" w:hAnsi="Arial"/>
                <w:sz w:val="14"/>
                <w:szCs w:val="14"/>
                <w:color w:val="auto"/>
              </w:rPr>
              <w:t>Performance-</w:t>
            </w:r>
          </w:p>
        </w:tc>
        <w:tc>
          <w:tcPr>
            <w:tcW w:w="4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Average</w:t>
            </w:r>
          </w:p>
        </w:tc>
      </w:tr>
      <w:tr>
        <w:trPr>
          <w:trHeight w:val="149"/>
        </w:trPr>
        <w:tc>
          <w:tcPr>
            <w:tcW w:w="5800" w:type="dxa"/>
            <w:vAlign w:val="bottom"/>
          </w:tcPr>
          <w:p>
            <w:pPr>
              <w:spacing w:after="0"/>
              <w:rPr>
                <w:sz w:val="12"/>
                <w:szCs w:val="12"/>
                <w:color w:val="auto"/>
              </w:rPr>
            </w:pPr>
          </w:p>
        </w:tc>
        <w:tc>
          <w:tcPr>
            <w:tcW w:w="4560" w:type="dxa"/>
            <w:vAlign w:val="bottom"/>
          </w:tcPr>
          <w:p>
            <w:pPr>
              <w:jc w:val="right"/>
              <w:ind w:right="320"/>
              <w:spacing w:after="0" w:line="149" w:lineRule="exact"/>
              <w:rPr>
                <w:sz w:val="20"/>
                <w:szCs w:val="20"/>
                <w:color w:val="auto"/>
              </w:rPr>
            </w:pPr>
            <w:r>
              <w:rPr>
                <w:rFonts w:ascii="Arial" w:cs="Arial" w:eastAsia="Arial" w:hAnsi="Arial"/>
                <w:sz w:val="14"/>
                <w:szCs w:val="14"/>
                <w:color w:val="auto"/>
              </w:rPr>
              <w:t>based stock</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Grant Date</w:t>
            </w:r>
          </w:p>
        </w:tc>
      </w:tr>
      <w:tr>
        <w:trPr>
          <w:trHeight w:val="149"/>
        </w:trPr>
        <w:tc>
          <w:tcPr>
            <w:tcW w:w="5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Shares in thousands</w:t>
            </w:r>
          </w:p>
        </w:tc>
        <w:tc>
          <w:tcPr>
            <w:tcW w:w="4560" w:type="dxa"/>
            <w:vAlign w:val="bottom"/>
            <w:tcBorders>
              <w:bottom w:val="single" w:sz="8" w:color="auto"/>
            </w:tcBorders>
          </w:tcPr>
          <w:p>
            <w:pPr>
              <w:jc w:val="right"/>
              <w:ind w:right="320"/>
              <w:spacing w:after="0" w:line="149" w:lineRule="exact"/>
              <w:rPr>
                <w:sz w:val="20"/>
                <w:szCs w:val="20"/>
                <w:color w:val="auto"/>
              </w:rPr>
            </w:pPr>
            <w:r>
              <w:rPr>
                <w:rFonts w:ascii="Arial" w:cs="Arial" w:eastAsia="Arial" w:hAnsi="Arial"/>
                <w:sz w:val="14"/>
                <w:szCs w:val="14"/>
                <w:color w:val="auto"/>
              </w:rPr>
              <w:t>awards</w:t>
            </w:r>
          </w:p>
        </w:tc>
        <w:tc>
          <w:tcPr>
            <w:tcW w:w="1060" w:type="dxa"/>
            <w:vAlign w:val="bottom"/>
            <w:tcBorders>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color w:val="auto"/>
              </w:rPr>
              <w:t>Fair Value</w:t>
            </w: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beginning of year</w:t>
            </w:r>
          </w:p>
        </w:tc>
        <w:tc>
          <w:tcPr>
            <w:tcW w:w="4560" w:type="dxa"/>
            <w:vAlign w:val="bottom"/>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1,559</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72.52</w:t>
            </w:r>
          </w:p>
        </w:tc>
        <w:tc>
          <w:tcPr>
            <w:tcW w:w="60" w:type="dxa"/>
            <w:vAlign w:val="bottom"/>
            <w:shd w:val="clear" w:color="auto" w:fill="CCEEFF"/>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56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562</w:t>
            </w:r>
          </w:p>
        </w:tc>
        <w:tc>
          <w:tcPr>
            <w:tcW w:w="4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76.71</w:t>
            </w:r>
          </w:p>
        </w:tc>
        <w:tc>
          <w:tcPr>
            <w:tcW w:w="6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4560" w:type="dxa"/>
            <w:vAlign w:val="bottom"/>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(551)</w:t>
            </w: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7"/>
                <w:szCs w:val="17"/>
                <w:color w:val="auto"/>
              </w:rPr>
            </w:pPr>
          </w:p>
        </w:tc>
      </w:tr>
      <w:tr>
        <w:trPr>
          <w:trHeight w:val="210"/>
        </w:trPr>
        <w:tc>
          <w:tcPr>
            <w:tcW w:w="5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4560" w:type="dxa"/>
            <w:vAlign w:val="bottom"/>
            <w:tcBorders>
              <w:bottom w:val="single" w:sz="8" w:color="auto"/>
            </w:tcBorders>
          </w:tcPr>
          <w:p>
            <w:pPr>
              <w:jc w:val="right"/>
              <w:ind w:right="260"/>
              <w:spacing w:after="0" w:line="202" w:lineRule="exact"/>
              <w:rPr>
                <w:sz w:val="20"/>
                <w:szCs w:val="20"/>
                <w:color w:val="auto"/>
              </w:rPr>
            </w:pPr>
            <w:r>
              <w:rPr>
                <w:rFonts w:ascii="Arial" w:cs="Arial" w:eastAsia="Arial" w:hAnsi="Arial"/>
                <w:sz w:val="18"/>
                <w:szCs w:val="18"/>
                <w:color w:val="auto"/>
              </w:rPr>
              <w:t>(47)</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68.21</w:t>
            </w:r>
          </w:p>
        </w:tc>
        <w:tc>
          <w:tcPr>
            <w:tcW w:w="60" w:type="dxa"/>
            <w:vAlign w:val="bottom"/>
          </w:tcPr>
          <w:p>
            <w:pPr>
              <w:spacing w:after="0"/>
              <w:rPr>
                <w:sz w:val="18"/>
                <w:szCs w:val="18"/>
                <w:color w:val="auto"/>
              </w:rPr>
            </w:pPr>
          </w:p>
        </w:tc>
      </w:tr>
      <w:tr>
        <w:trPr>
          <w:trHeight w:val="203"/>
        </w:trPr>
        <w:tc>
          <w:tcPr>
            <w:tcW w:w="5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end of year</w:t>
            </w:r>
          </w:p>
        </w:tc>
        <w:tc>
          <w:tcPr>
            <w:tcW w:w="4560" w:type="dxa"/>
            <w:vAlign w:val="bottom"/>
            <w:tcBorders>
              <w:bottom w:val="single" w:sz="8" w:color="auto"/>
            </w:tcBorders>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1,523</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77.37</w:t>
            </w:r>
          </w:p>
        </w:tc>
        <w:tc>
          <w:tcPr>
            <w:tcW w:w="60" w:type="dxa"/>
            <w:vAlign w:val="bottom"/>
            <w:shd w:val="clear" w:color="auto" w:fill="CCEEFF"/>
          </w:tcPr>
          <w:p>
            <w:pPr>
              <w:spacing w:after="0"/>
              <w:rPr>
                <w:sz w:val="17"/>
                <w:szCs w:val="17"/>
                <w:color w:val="auto"/>
              </w:rPr>
            </w:pPr>
          </w:p>
        </w:tc>
      </w:tr>
    </w:tbl>
    <w:p>
      <w:pPr>
        <w:spacing w:after="0" w:line="98" w:lineRule="exact"/>
        <w:rPr>
          <w:sz w:val="20"/>
          <w:szCs w:val="20"/>
          <w:color w:val="auto"/>
        </w:rPr>
      </w:pPr>
    </w:p>
    <w:p>
      <w:pPr>
        <w:ind w:right="60" w:firstLine="342"/>
        <w:spacing w:after="0" w:line="275" w:lineRule="auto"/>
        <w:rPr>
          <w:sz w:val="20"/>
          <w:szCs w:val="20"/>
          <w:color w:val="auto"/>
        </w:rPr>
      </w:pPr>
      <w:r>
        <w:rPr>
          <w:rFonts w:ascii="Arial" w:cs="Arial" w:eastAsia="Arial" w:hAnsi="Arial"/>
          <w:sz w:val="16"/>
          <w:szCs w:val="16"/>
          <w:color w:val="auto"/>
        </w:rPr>
        <w:t>There were 562,006 shares of performance-based stock awards, with a weighted average grant date fair value of $76.71, granted in fiscal 2018, 513,573 shares of performance-based stock awards, with a weighted average grant date fair value of $78.50, granted in fiscal 2017, and 696,057 shares of performance-based stock awards, with a weighted average grant date fair value of $70.41, granted in fiscal 2016. The fair value of performance-based stock awards that vested was $35.2 million in fiscal 2018, $38.5 million in fiscal 2017, and $27.1 million in fiscal 2016.</w:t>
      </w:r>
    </w:p>
    <w:p>
      <w:pPr>
        <w:spacing w:after="0" w:line="28"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b w:val="1"/>
          <w:bCs w:val="1"/>
          <w:i w:val="1"/>
          <w:iCs w:val="1"/>
          <w:color w:val="auto"/>
        </w:rPr>
        <w:t xml:space="preserve">Other Awards: </w:t>
      </w:r>
      <w:r>
        <w:rPr>
          <w:rFonts w:ascii="Arial" w:cs="Arial" w:eastAsia="Arial" w:hAnsi="Arial"/>
          <w:sz w:val="18"/>
          <w:szCs w:val="18"/>
          <w:color w:val="auto"/>
        </w:rPr>
        <w:t>TJX also awards deferred shares to its outside directors under the Stock Incentive Plan. The outside directors are awarded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annual deferred share awards, each representing shares of TJX common stock, which were valued at $80,000 for fiscal 2018. One award vests immediately and is payable, with accumulated dividends, in stock at the earlier of separation from service as a director or a change of control. The second award vests based on a director’s continued service until the annual meeting that follows the grant of the award (subject to possible earlier vesting in connection with or following a change of control) and is payable, with accumulated dividends, in stock upon vesting unless an irrevocable advance election is made whereby it is payable at the same time as the first award. As of the end of fiscal 2018, a total of 331,595 of these deferred shares were outstanding under the plan.</w:t>
      </w:r>
    </w:p>
    <w:p>
      <w:pPr>
        <w:spacing w:after="0" w:line="13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Pension Plans and Other Retirement Benefits</w:t>
      </w:r>
    </w:p>
    <w:p>
      <w:pPr>
        <w:spacing w:after="0" w:line="77" w:lineRule="exact"/>
        <w:rPr>
          <w:sz w:val="20"/>
          <w:szCs w:val="20"/>
          <w:color w:val="auto"/>
        </w:rPr>
      </w:pPr>
    </w:p>
    <w:p>
      <w:pPr>
        <w:jc w:val="both"/>
        <w:ind w:right="80" w:firstLine="342"/>
        <w:spacing w:after="0" w:line="277" w:lineRule="auto"/>
        <w:rPr>
          <w:sz w:val="20"/>
          <w:szCs w:val="20"/>
          <w:color w:val="auto"/>
        </w:rPr>
      </w:pPr>
      <w:r>
        <w:rPr>
          <w:rFonts w:ascii="Arial" w:cs="Arial" w:eastAsia="Arial" w:hAnsi="Arial"/>
          <w:sz w:val="16"/>
          <w:szCs w:val="16"/>
          <w:b w:val="1"/>
          <w:bCs w:val="1"/>
          <w:i w:val="1"/>
          <w:iCs w:val="1"/>
          <w:color w:val="auto"/>
        </w:rPr>
        <w:t>Pension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TJX has a funded defined benefit retirement plan that covers eligible U.S. employees hired prior to February 1, 2006. No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are required, or permitted, and benefits are based principally on compensation earned in each year of service. TJX’s funded defined benefit retirement plan assets are invested in domestic and international equity and fixed income securities, both directly and through investment funds. The plan does not invest in TJX securities. TJX also has an unfunded supplemental retirement plan that covers certain key employees and provides additional retirement benefits based on final average compensation for certain of those employees (the “primary benefit”) or, alternatively, based on benefits that would be provided under the funded retirement plan absent Internal Revenue Code limitations (the “alternative benefit”).</w:t>
      </w:r>
    </w:p>
    <w:p>
      <w:pPr>
        <w:spacing w:after="0" w:line="4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Presented below is financial information relating to TJX’s funded defined benefit pension plan (“qualified pension plan” or “funded plan”) and its unfunded supplemental pension plan (“unfunded plan”) for the fiscal years indicated. The Company has elected the practical expedient pursuant to ASU 2015-04– Compensation-retirement benefits (Topic 715) and has selected the measurement date of January 31, the calendar month end closest to the Company’s fiscal year end.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gridSpan w:val="2"/>
          </w:tcPr>
          <w:p>
            <w:pPr>
              <w:jc w:val="right"/>
              <w:ind w:right="796"/>
              <w:spacing w:after="0"/>
              <w:rPr>
                <w:sz w:val="20"/>
                <w:szCs w:val="20"/>
                <w:color w:val="auto"/>
              </w:rPr>
            </w:pPr>
            <w:r>
              <w:rPr>
                <w:rFonts w:ascii="Arial" w:cs="Arial" w:eastAsia="Arial" w:hAnsi="Arial"/>
                <w:sz w:val="14"/>
                <w:szCs w:val="14"/>
                <w:color w:val="auto"/>
              </w:rPr>
              <w:t>Funded Plan</w:t>
            </w:r>
          </w:p>
        </w:tc>
        <w:tc>
          <w:tcPr>
            <w:tcW w:w="2040" w:type="dxa"/>
            <w:vAlign w:val="bottom"/>
            <w:tcBorders>
              <w:top w:val="single" w:sz="8" w:color="auto"/>
            </w:tcBorders>
            <w:gridSpan w:val="3"/>
          </w:tcPr>
          <w:p>
            <w:pPr>
              <w:jc w:val="right"/>
              <w:ind w:right="494"/>
              <w:spacing w:after="0"/>
              <w:rPr>
                <w:sz w:val="20"/>
                <w:szCs w:val="20"/>
                <w:color w:val="auto"/>
              </w:rPr>
            </w:pPr>
            <w:r>
              <w:rPr>
                <w:rFonts w:ascii="Arial" w:cs="Arial" w:eastAsia="Arial" w:hAnsi="Arial"/>
                <w:sz w:val="14"/>
                <w:szCs w:val="14"/>
                <w:color w:val="auto"/>
              </w:rPr>
              <w:t>Unfunded Plan</w:t>
            </w:r>
          </w:p>
        </w:tc>
      </w:tr>
      <w:tr>
        <w:trPr>
          <w:trHeight w:val="162"/>
        </w:trPr>
        <w:tc>
          <w:tcPr>
            <w:tcW w:w="4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2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color w:val="auto"/>
              </w:rPr>
              <w:t>Fiscal Year Ended</w:t>
            </w:r>
          </w:p>
        </w:tc>
        <w:tc>
          <w:tcPr>
            <w:tcW w:w="20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color w:val="auto"/>
              </w:rPr>
              <w:t>Fiscal Year Ended</w:t>
            </w:r>
          </w:p>
        </w:tc>
      </w:tr>
      <w:tr>
        <w:trPr>
          <w:trHeight w:val="126"/>
        </w:trPr>
        <w:tc>
          <w:tcPr>
            <w:tcW w:w="47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0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February 3,</w:t>
            </w:r>
          </w:p>
        </w:tc>
        <w:tc>
          <w:tcPr>
            <w:tcW w:w="1220" w:type="dxa"/>
            <w:vAlign w:val="bottom"/>
          </w:tcPr>
          <w:p>
            <w:pPr>
              <w:jc w:val="right"/>
              <w:ind w:right="116"/>
              <w:spacing w:after="0" w:line="126" w:lineRule="exact"/>
              <w:rPr>
                <w:sz w:val="20"/>
                <w:szCs w:val="20"/>
                <w:color w:val="auto"/>
              </w:rPr>
            </w:pPr>
            <w:r>
              <w:rPr>
                <w:rFonts w:ascii="Arial" w:cs="Arial" w:eastAsia="Arial" w:hAnsi="Arial"/>
                <w:sz w:val="14"/>
                <w:szCs w:val="14"/>
                <w:color w:val="auto"/>
              </w:rPr>
              <w:t>January 28,</w:t>
            </w:r>
          </w:p>
        </w:tc>
        <w:tc>
          <w:tcPr>
            <w:tcW w:w="1060" w:type="dxa"/>
            <w:vAlign w:val="bottom"/>
          </w:tcPr>
          <w:p>
            <w:pPr>
              <w:jc w:val="right"/>
              <w:ind w:right="119"/>
              <w:spacing w:after="0" w:line="126" w:lineRule="exact"/>
              <w:rPr>
                <w:sz w:val="20"/>
                <w:szCs w:val="20"/>
                <w:color w:val="auto"/>
              </w:rPr>
            </w:pPr>
            <w:r>
              <w:rPr>
                <w:rFonts w:ascii="Arial" w:cs="Arial" w:eastAsia="Arial" w:hAnsi="Arial"/>
                <w:sz w:val="14"/>
                <w:szCs w:val="14"/>
                <w:b w:val="1"/>
                <w:bCs w:val="1"/>
                <w:color w:val="auto"/>
              </w:rPr>
              <w:t>February 3,</w:t>
            </w:r>
          </w:p>
        </w:tc>
        <w:tc>
          <w:tcPr>
            <w:tcW w:w="980" w:type="dxa"/>
            <w:vAlign w:val="bottom"/>
            <w:gridSpan w:val="2"/>
          </w:tcPr>
          <w:p>
            <w:pPr>
              <w:jc w:val="right"/>
              <w:ind w:right="34"/>
              <w:spacing w:after="0" w:line="126" w:lineRule="exact"/>
              <w:rPr>
                <w:sz w:val="20"/>
                <w:szCs w:val="20"/>
                <w:color w:val="auto"/>
              </w:rPr>
            </w:pPr>
            <w:r>
              <w:rPr>
                <w:rFonts w:ascii="Arial" w:cs="Arial" w:eastAsia="Arial" w:hAnsi="Arial"/>
                <w:sz w:val="14"/>
                <w:szCs w:val="14"/>
                <w:color w:val="auto"/>
              </w:rPr>
              <w:t>January 28,</w:t>
            </w:r>
          </w:p>
        </w:tc>
      </w:tr>
      <w:tr>
        <w:trPr>
          <w:trHeight w:val="16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2017</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2017</w:t>
            </w:r>
          </w:p>
        </w:tc>
      </w:tr>
      <w:tr>
        <w:trPr>
          <w:trHeight w:val="142"/>
        </w:trPr>
        <w:tc>
          <w:tcPr>
            <w:tcW w:w="47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(53 weeks)</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(53 weeks)</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Change in projected benefit obligation:</w:t>
            </w:r>
          </w:p>
        </w:tc>
        <w:tc>
          <w:tcPr>
            <w:tcW w:w="2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Projected benefit obligation at beginning of year</w:t>
            </w:r>
          </w:p>
        </w:tc>
        <w:tc>
          <w:tcPr>
            <w:tcW w:w="342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$1,269,010</w:t>
            </w:r>
          </w:p>
        </w:tc>
        <w:tc>
          <w:tcPr>
            <w:tcW w:w="12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$1,213,000</w:t>
            </w:r>
          </w:p>
        </w:tc>
        <w:tc>
          <w:tcPr>
            <w:tcW w:w="106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$86,309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84,967</w:t>
            </w:r>
          </w:p>
        </w:tc>
      </w:tr>
      <w:tr>
        <w:trPr>
          <w:trHeight w:val="203"/>
        </w:trPr>
        <w:tc>
          <w:tcPr>
            <w:tcW w:w="4740" w:type="dxa"/>
            <w:vAlign w:val="bottom"/>
          </w:tcPr>
          <w:p>
            <w:pPr>
              <w:ind w:left="440"/>
              <w:spacing w:after="0" w:line="202" w:lineRule="exact"/>
              <w:rPr>
                <w:sz w:val="20"/>
                <w:szCs w:val="20"/>
                <w:color w:val="auto"/>
              </w:rPr>
            </w:pPr>
            <w:r>
              <w:rPr>
                <w:rFonts w:ascii="Arial" w:cs="Arial" w:eastAsia="Arial" w:hAnsi="Arial"/>
                <w:sz w:val="18"/>
                <w:szCs w:val="18"/>
                <w:color w:val="auto"/>
              </w:rPr>
              <w:t>Service cost</w:t>
            </w:r>
          </w:p>
        </w:tc>
        <w:tc>
          <w:tcPr>
            <w:tcW w:w="3420" w:type="dxa"/>
            <w:vAlign w:val="bottom"/>
            <w:gridSpan w:val="2"/>
          </w:tcPr>
          <w:p>
            <w:pPr>
              <w:jc w:val="right"/>
              <w:ind w:right="128"/>
              <w:spacing w:after="0" w:line="202" w:lineRule="exact"/>
              <w:rPr>
                <w:sz w:val="20"/>
                <w:szCs w:val="20"/>
                <w:color w:val="auto"/>
              </w:rPr>
            </w:pPr>
            <w:r>
              <w:rPr>
                <w:rFonts w:ascii="Arial" w:cs="Arial" w:eastAsia="Arial" w:hAnsi="Arial"/>
                <w:sz w:val="18"/>
                <w:szCs w:val="18"/>
                <w:b w:val="1"/>
                <w:bCs w:val="1"/>
                <w:color w:val="auto"/>
              </w:rPr>
              <w:t>46,845</w:t>
            </w:r>
          </w:p>
        </w:tc>
        <w:tc>
          <w:tcPr>
            <w:tcW w:w="12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45,440</w:t>
            </w:r>
          </w:p>
        </w:tc>
        <w:tc>
          <w:tcPr>
            <w:tcW w:w="1060" w:type="dxa"/>
            <w:vAlign w:val="bottom"/>
          </w:tcPr>
          <w:p>
            <w:pPr>
              <w:jc w:val="right"/>
              <w:ind w:right="119"/>
              <w:spacing w:after="0" w:line="202" w:lineRule="exact"/>
              <w:rPr>
                <w:sz w:val="20"/>
                <w:szCs w:val="20"/>
                <w:color w:val="auto"/>
              </w:rPr>
            </w:pPr>
            <w:r>
              <w:rPr>
                <w:rFonts w:ascii="Arial" w:cs="Arial" w:eastAsia="Arial" w:hAnsi="Arial"/>
                <w:sz w:val="18"/>
                <w:szCs w:val="18"/>
                <w:b w:val="1"/>
                <w:bCs w:val="1"/>
                <w:color w:val="auto"/>
              </w:rPr>
              <w:t>1,888</w:t>
            </w:r>
          </w:p>
        </w:tc>
        <w:tc>
          <w:tcPr>
            <w:tcW w:w="2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1,835</w:t>
            </w:r>
          </w:p>
        </w:tc>
      </w:tr>
      <w:tr>
        <w:trPr>
          <w:trHeight w:val="203"/>
        </w:trPr>
        <w:tc>
          <w:tcPr>
            <w:tcW w:w="4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cost</w:t>
            </w:r>
          </w:p>
        </w:tc>
        <w:tc>
          <w:tcPr>
            <w:tcW w:w="342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55,301</w:t>
            </w:r>
          </w:p>
        </w:tc>
        <w:tc>
          <w:tcPr>
            <w:tcW w:w="122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56,094</w:t>
            </w:r>
          </w:p>
        </w:tc>
        <w:tc>
          <w:tcPr>
            <w:tcW w:w="106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3,316</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3,391</w:t>
            </w:r>
          </w:p>
        </w:tc>
      </w:tr>
      <w:tr>
        <w:trPr>
          <w:trHeight w:val="203"/>
        </w:trPr>
        <w:tc>
          <w:tcPr>
            <w:tcW w:w="4740" w:type="dxa"/>
            <w:vAlign w:val="bottom"/>
          </w:tcPr>
          <w:p>
            <w:pPr>
              <w:ind w:left="440"/>
              <w:spacing w:after="0" w:line="202" w:lineRule="exact"/>
              <w:rPr>
                <w:sz w:val="20"/>
                <w:szCs w:val="20"/>
                <w:color w:val="auto"/>
              </w:rPr>
            </w:pPr>
            <w:r>
              <w:rPr>
                <w:rFonts w:ascii="Arial" w:cs="Arial" w:eastAsia="Arial" w:hAnsi="Arial"/>
                <w:sz w:val="18"/>
                <w:szCs w:val="18"/>
                <w:color w:val="auto"/>
              </w:rPr>
              <w:t>Actuarial losses</w:t>
            </w:r>
          </w:p>
        </w:tc>
        <w:tc>
          <w:tcPr>
            <w:tcW w:w="3420" w:type="dxa"/>
            <w:vAlign w:val="bottom"/>
            <w:gridSpan w:val="2"/>
          </w:tcPr>
          <w:p>
            <w:pPr>
              <w:jc w:val="right"/>
              <w:ind w:right="128"/>
              <w:spacing w:after="0" w:line="202" w:lineRule="exact"/>
              <w:rPr>
                <w:sz w:val="20"/>
                <w:szCs w:val="20"/>
                <w:color w:val="auto"/>
              </w:rPr>
            </w:pPr>
            <w:r>
              <w:rPr>
                <w:rFonts w:ascii="Arial" w:cs="Arial" w:eastAsia="Arial" w:hAnsi="Arial"/>
                <w:sz w:val="18"/>
                <w:szCs w:val="18"/>
                <w:b w:val="1"/>
                <w:bCs w:val="1"/>
                <w:color w:val="auto"/>
              </w:rPr>
              <w:t>67,232</w:t>
            </w:r>
          </w:p>
        </w:tc>
        <w:tc>
          <w:tcPr>
            <w:tcW w:w="12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91,114</w:t>
            </w:r>
          </w:p>
        </w:tc>
        <w:tc>
          <w:tcPr>
            <w:tcW w:w="1060" w:type="dxa"/>
            <w:vAlign w:val="bottom"/>
          </w:tcPr>
          <w:p>
            <w:pPr>
              <w:jc w:val="right"/>
              <w:ind w:right="119"/>
              <w:spacing w:after="0" w:line="202" w:lineRule="exact"/>
              <w:rPr>
                <w:sz w:val="20"/>
                <w:szCs w:val="20"/>
                <w:color w:val="auto"/>
              </w:rPr>
            </w:pPr>
            <w:r>
              <w:rPr>
                <w:rFonts w:ascii="Arial" w:cs="Arial" w:eastAsia="Arial" w:hAnsi="Arial"/>
                <w:sz w:val="18"/>
                <w:szCs w:val="18"/>
                <w:b w:val="1"/>
                <w:bCs w:val="1"/>
                <w:color w:val="auto"/>
              </w:rPr>
              <w:t>4,580</w:t>
            </w:r>
          </w:p>
        </w:tc>
        <w:tc>
          <w:tcPr>
            <w:tcW w:w="2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740</w:t>
            </w:r>
          </w:p>
        </w:tc>
      </w:tr>
      <w:tr>
        <w:trPr>
          <w:trHeight w:val="203"/>
        </w:trPr>
        <w:tc>
          <w:tcPr>
            <w:tcW w:w="4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Settlements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(103,197)</w:t>
            </w:r>
          </w:p>
        </w:tc>
        <w:tc>
          <w:tcPr>
            <w:tcW w:w="106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440"/>
              <w:spacing w:after="0" w:line="202" w:lineRule="exact"/>
              <w:rPr>
                <w:sz w:val="20"/>
                <w:szCs w:val="20"/>
                <w:color w:val="auto"/>
              </w:rPr>
            </w:pPr>
            <w:r>
              <w:rPr>
                <w:rFonts w:ascii="Arial" w:cs="Arial" w:eastAsia="Arial" w:hAnsi="Arial"/>
                <w:sz w:val="18"/>
                <w:szCs w:val="18"/>
                <w:color w:val="auto"/>
              </w:rPr>
              <w:t>Benefits paid</w:t>
            </w:r>
          </w:p>
        </w:tc>
        <w:tc>
          <w:tcPr>
            <w:tcW w:w="3420" w:type="dxa"/>
            <w:vAlign w:val="bottom"/>
            <w:gridSpan w:val="2"/>
          </w:tcPr>
          <w:p>
            <w:pPr>
              <w:jc w:val="right"/>
              <w:ind w:right="68"/>
              <w:spacing w:after="0" w:line="202" w:lineRule="exact"/>
              <w:rPr>
                <w:sz w:val="20"/>
                <w:szCs w:val="20"/>
                <w:color w:val="auto"/>
              </w:rPr>
            </w:pPr>
            <w:r>
              <w:rPr>
                <w:rFonts w:ascii="Arial" w:cs="Arial" w:eastAsia="Arial" w:hAnsi="Arial"/>
                <w:sz w:val="18"/>
                <w:szCs w:val="18"/>
                <w:b w:val="1"/>
                <w:bCs w:val="1"/>
                <w:color w:val="auto"/>
              </w:rPr>
              <w:t>(30,993)</w:t>
            </w:r>
          </w:p>
        </w:tc>
        <w:tc>
          <w:tcPr>
            <w:tcW w:w="12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(28,751)</w:t>
            </w:r>
          </w:p>
        </w:tc>
        <w:tc>
          <w:tcPr>
            <w:tcW w:w="106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(5,046)</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(4,624)</w:t>
            </w:r>
          </w:p>
        </w:tc>
      </w:tr>
      <w:tr>
        <w:trPr>
          <w:trHeight w:val="203"/>
        </w:trPr>
        <w:tc>
          <w:tcPr>
            <w:tcW w:w="4740" w:type="dxa"/>
            <w:vAlign w:val="bottom"/>
            <w:tcBorders>
              <w:bottom w:val="single" w:sz="8" w:color="auto"/>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Expenses paid</w:t>
            </w:r>
          </w:p>
        </w:tc>
        <w:tc>
          <w:tcPr>
            <w:tcW w:w="3420" w:type="dxa"/>
            <w:vAlign w:val="bottom"/>
            <w:tcBorders>
              <w:bottom w:val="single" w:sz="8" w:color="auto"/>
            </w:tcBorders>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b w:val="1"/>
                <w:bCs w:val="1"/>
                <w:color w:val="auto"/>
              </w:rPr>
              <w:t>(3,306)</w:t>
            </w:r>
          </w:p>
        </w:tc>
        <w:tc>
          <w:tcPr>
            <w:tcW w:w="122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(4,690)</w:t>
            </w:r>
          </w:p>
        </w:tc>
        <w:tc>
          <w:tcPr>
            <w:tcW w:w="1060" w:type="dxa"/>
            <w:vAlign w:val="bottom"/>
            <w:tcBorders>
              <w:bottom w:val="single" w:sz="8" w:color="auto"/>
            </w:tcBorders>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auto"/>
            </w:tcBorders>
          </w:tcPr>
          <w:p>
            <w:pPr>
              <w:ind w:left="440"/>
              <w:spacing w:after="0" w:line="196" w:lineRule="exact"/>
              <w:rPr>
                <w:sz w:val="20"/>
                <w:szCs w:val="20"/>
                <w:color w:val="auto"/>
              </w:rPr>
            </w:pPr>
            <w:r>
              <w:rPr>
                <w:rFonts w:ascii="Arial" w:cs="Arial" w:eastAsia="Arial" w:hAnsi="Arial"/>
                <w:sz w:val="18"/>
                <w:szCs w:val="18"/>
                <w:color w:val="auto"/>
              </w:rPr>
              <w:t>Projected benefit obligation at end of year</w:t>
            </w:r>
          </w:p>
        </w:tc>
        <w:tc>
          <w:tcPr>
            <w:tcW w:w="3420" w:type="dxa"/>
            <w:vAlign w:val="bottom"/>
            <w:tcBorders>
              <w:bottom w:val="single" w:sz="8" w:color="auto"/>
            </w:tcBorders>
            <w:gridSpan w:val="2"/>
          </w:tcPr>
          <w:p>
            <w:pPr>
              <w:jc w:val="right"/>
              <w:ind w:right="128"/>
              <w:spacing w:after="0" w:line="196" w:lineRule="exact"/>
              <w:rPr>
                <w:sz w:val="20"/>
                <w:szCs w:val="20"/>
                <w:color w:val="auto"/>
              </w:rPr>
            </w:pPr>
            <w:r>
              <w:rPr>
                <w:rFonts w:ascii="Arial" w:cs="Arial" w:eastAsia="Arial" w:hAnsi="Arial"/>
                <w:sz w:val="18"/>
                <w:szCs w:val="18"/>
                <w:b w:val="1"/>
                <w:bCs w:val="1"/>
                <w:color w:val="auto"/>
              </w:rPr>
              <w:t>$1,404,089</w:t>
            </w:r>
          </w:p>
        </w:tc>
        <w:tc>
          <w:tcPr>
            <w:tcW w:w="122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color w:val="auto"/>
              </w:rPr>
              <w:t>$1,269,010</w:t>
            </w:r>
          </w:p>
        </w:tc>
        <w:tc>
          <w:tcPr>
            <w:tcW w:w="1060" w:type="dxa"/>
            <w:vAlign w:val="bottom"/>
            <w:tcBorders>
              <w:bottom w:val="single" w:sz="8" w:color="auto"/>
            </w:tcBorders>
          </w:tcPr>
          <w:p>
            <w:pPr>
              <w:jc w:val="right"/>
              <w:ind w:right="119"/>
              <w:spacing w:after="0" w:line="196" w:lineRule="exact"/>
              <w:rPr>
                <w:sz w:val="20"/>
                <w:szCs w:val="20"/>
                <w:color w:val="auto"/>
              </w:rPr>
            </w:pPr>
            <w:r>
              <w:rPr>
                <w:rFonts w:ascii="Arial" w:cs="Arial" w:eastAsia="Arial" w:hAnsi="Arial"/>
                <w:sz w:val="18"/>
                <w:szCs w:val="18"/>
                <w:b w:val="1"/>
                <w:bCs w:val="1"/>
                <w:color w:val="auto"/>
              </w:rPr>
              <w:t>$91,047</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86,309</w:t>
            </w:r>
          </w:p>
        </w:tc>
      </w:tr>
      <w:tr>
        <w:trPr>
          <w:trHeight w:val="196"/>
        </w:trPr>
        <w:tc>
          <w:tcPr>
            <w:tcW w:w="47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Accumulated benefit obligation at end of year</w:t>
            </w:r>
          </w:p>
        </w:tc>
        <w:tc>
          <w:tcPr>
            <w:tcW w:w="3420" w:type="dxa"/>
            <w:vAlign w:val="bottom"/>
            <w:tcBorders>
              <w:bottom w:val="single" w:sz="8" w:color="auto"/>
            </w:tcBorders>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b w:val="1"/>
                <w:bCs w:val="1"/>
                <w:color w:val="auto"/>
              </w:rPr>
              <w:t>$1,277,216</w:t>
            </w:r>
          </w:p>
        </w:tc>
        <w:tc>
          <w:tcPr>
            <w:tcW w:w="122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$1,151,151</w:t>
            </w:r>
          </w:p>
        </w:tc>
        <w:tc>
          <w:tcPr>
            <w:tcW w:w="1060" w:type="dxa"/>
            <w:vAlign w:val="bottom"/>
            <w:tcBorders>
              <w:bottom w:val="single" w:sz="8" w:color="auto"/>
            </w:tcBorders>
            <w:shd w:val="clear" w:color="auto" w:fill="CCEEFF"/>
          </w:tcPr>
          <w:p>
            <w:pPr>
              <w:jc w:val="right"/>
              <w:ind w:right="119"/>
              <w:spacing w:after="0" w:line="196" w:lineRule="exact"/>
              <w:rPr>
                <w:sz w:val="20"/>
                <w:szCs w:val="20"/>
                <w:color w:val="auto"/>
              </w:rPr>
            </w:pPr>
            <w:r>
              <w:rPr>
                <w:rFonts w:ascii="Arial" w:cs="Arial" w:eastAsia="Arial" w:hAnsi="Arial"/>
                <w:sz w:val="18"/>
                <w:szCs w:val="18"/>
                <w:b w:val="1"/>
                <w:bCs w:val="1"/>
                <w:color w:val="auto"/>
              </w:rPr>
              <w:t>$77,668</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71,273</w:t>
            </w:r>
          </w:p>
        </w:tc>
      </w:tr>
      <w:tr>
        <w:trPr>
          <w:trHeight w:val="356"/>
        </w:trPr>
        <w:tc>
          <w:tcPr>
            <w:tcW w:w="4740" w:type="dxa"/>
            <w:vAlign w:val="bottom"/>
          </w:tcPr>
          <w:p>
            <w:pPr>
              <w:spacing w:after="0"/>
              <w:rPr>
                <w:sz w:val="24"/>
                <w:szCs w:val="24"/>
                <w:color w:val="auto"/>
              </w:rPr>
            </w:pPr>
          </w:p>
        </w:tc>
        <w:tc>
          <w:tcPr>
            <w:tcW w:w="3420" w:type="dxa"/>
            <w:vAlign w:val="bottom"/>
            <w:gridSpan w:val="2"/>
          </w:tcPr>
          <w:p>
            <w:pPr>
              <w:jc w:val="right"/>
              <w:ind w:right="2188"/>
              <w:spacing w:after="0"/>
              <w:rPr>
                <w:sz w:val="20"/>
                <w:szCs w:val="20"/>
                <w:color w:val="auto"/>
              </w:rPr>
            </w:pPr>
            <w:r>
              <w:rPr>
                <w:rFonts w:ascii="Arial" w:cs="Arial" w:eastAsia="Arial" w:hAnsi="Arial"/>
                <w:sz w:val="18"/>
                <w:szCs w:val="18"/>
                <w:color w:val="auto"/>
              </w:rPr>
              <w:t>F-24</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291" w:right="2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3"/>
          </w:tcPr>
          <w:p>
            <w:pPr>
              <w:jc w:val="right"/>
              <w:ind w:right="895"/>
              <w:spacing w:after="0"/>
              <w:rPr>
                <w:sz w:val="20"/>
                <w:szCs w:val="20"/>
                <w:color w:val="auto"/>
              </w:rPr>
            </w:pPr>
            <w:r>
              <w:rPr>
                <w:rFonts w:ascii="Arial" w:cs="Arial" w:eastAsia="Arial" w:hAnsi="Arial"/>
                <w:sz w:val="14"/>
                <w:szCs w:val="14"/>
                <w:color w:val="auto"/>
              </w:rPr>
              <w:t>Funded Plan</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color w:val="auto"/>
                <w:w w:val="97"/>
              </w:rPr>
              <w:t>Unfunded Plan</w:t>
            </w:r>
          </w:p>
        </w:tc>
        <w:tc>
          <w:tcPr>
            <w:tcW w:w="660" w:type="dxa"/>
            <w:vAlign w:val="bottom"/>
            <w:tcBorders>
              <w:top w:val="single" w:sz="8" w:color="auto"/>
            </w:tcBorders>
          </w:tcPr>
          <w:p>
            <w:pPr>
              <w:spacing w:after="0"/>
              <w:rPr>
                <w:sz w:val="14"/>
                <w:szCs w:val="14"/>
                <w:color w:val="auto"/>
              </w:rPr>
            </w:pPr>
          </w:p>
        </w:tc>
      </w:tr>
      <w:tr>
        <w:trPr>
          <w:trHeight w:val="162"/>
        </w:trPr>
        <w:tc>
          <w:tcPr>
            <w:tcW w:w="6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color w:val="auto"/>
              </w:rPr>
              <w:t>Fiscal Year Ended</w:t>
            </w: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Fiscal Year Ended</w:t>
            </w:r>
          </w:p>
        </w:tc>
      </w:tr>
      <w:tr>
        <w:trPr>
          <w:trHeight w:val="126"/>
        </w:trPr>
        <w:tc>
          <w:tcPr>
            <w:tcW w:w="6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jc w:val="right"/>
              <w:ind w:right="156"/>
              <w:spacing w:after="0" w:line="126" w:lineRule="exact"/>
              <w:rPr>
                <w:sz w:val="20"/>
                <w:szCs w:val="20"/>
                <w:color w:val="auto"/>
              </w:rPr>
            </w:pPr>
            <w:r>
              <w:rPr>
                <w:rFonts w:ascii="Arial" w:cs="Arial" w:eastAsia="Arial" w:hAnsi="Arial"/>
                <w:sz w:val="14"/>
                <w:szCs w:val="14"/>
                <w:b w:val="1"/>
                <w:bCs w:val="1"/>
                <w:color w:val="auto"/>
              </w:rPr>
              <w:t>February 3,</w:t>
            </w:r>
          </w:p>
        </w:tc>
        <w:tc>
          <w:tcPr>
            <w:tcW w:w="280" w:type="dxa"/>
            <w:vAlign w:val="bottom"/>
          </w:tcPr>
          <w:p>
            <w:pPr>
              <w:spacing w:after="0"/>
              <w:rPr>
                <w:sz w:val="10"/>
                <w:szCs w:val="10"/>
                <w:color w:val="auto"/>
              </w:rPr>
            </w:pPr>
          </w:p>
        </w:tc>
        <w:tc>
          <w:tcPr>
            <w:tcW w:w="1040" w:type="dxa"/>
            <w:vAlign w:val="bottom"/>
          </w:tcPr>
          <w:p>
            <w:pPr>
              <w:jc w:val="right"/>
              <w:ind w:right="155"/>
              <w:spacing w:after="0" w:line="126" w:lineRule="exact"/>
              <w:rPr>
                <w:sz w:val="20"/>
                <w:szCs w:val="20"/>
                <w:color w:val="auto"/>
              </w:rPr>
            </w:pPr>
            <w:r>
              <w:rPr>
                <w:rFonts w:ascii="Arial" w:cs="Arial" w:eastAsia="Arial" w:hAnsi="Arial"/>
                <w:sz w:val="14"/>
                <w:szCs w:val="14"/>
                <w:color w:val="auto"/>
              </w:rPr>
              <w:t>January 28,</w:t>
            </w:r>
          </w:p>
        </w:tc>
        <w:tc>
          <w:tcPr>
            <w:tcW w:w="300" w:type="dxa"/>
            <w:vAlign w:val="bottom"/>
          </w:tcPr>
          <w:p>
            <w:pPr>
              <w:spacing w:after="0"/>
              <w:rPr>
                <w:sz w:val="10"/>
                <w:szCs w:val="10"/>
                <w:color w:val="auto"/>
              </w:rPr>
            </w:pPr>
          </w:p>
        </w:tc>
        <w:tc>
          <w:tcPr>
            <w:tcW w:w="1040" w:type="dxa"/>
            <w:vAlign w:val="bottom"/>
          </w:tcPr>
          <w:p>
            <w:pPr>
              <w:jc w:val="right"/>
              <w:ind w:right="156"/>
              <w:spacing w:after="0" w:line="126" w:lineRule="exact"/>
              <w:rPr>
                <w:sz w:val="20"/>
                <w:szCs w:val="20"/>
                <w:color w:val="auto"/>
              </w:rPr>
            </w:pPr>
            <w:r>
              <w:rPr>
                <w:rFonts w:ascii="Arial" w:cs="Arial" w:eastAsia="Arial" w:hAnsi="Arial"/>
                <w:sz w:val="14"/>
                <w:szCs w:val="14"/>
                <w:b w:val="1"/>
                <w:bCs w:val="1"/>
                <w:color w:val="auto"/>
              </w:rPr>
              <w:t>February 3,</w:t>
            </w:r>
          </w:p>
        </w:tc>
        <w:tc>
          <w:tcPr>
            <w:tcW w:w="1020" w:type="dxa"/>
            <w:vAlign w:val="bottom"/>
            <w:gridSpan w:val="2"/>
          </w:tcPr>
          <w:p>
            <w:pPr>
              <w:ind w:left="200"/>
              <w:spacing w:after="0" w:line="126" w:lineRule="exact"/>
              <w:rPr>
                <w:sz w:val="20"/>
                <w:szCs w:val="20"/>
                <w:color w:val="auto"/>
              </w:rPr>
            </w:pPr>
            <w:r>
              <w:rPr>
                <w:rFonts w:ascii="Arial" w:cs="Arial" w:eastAsia="Arial" w:hAnsi="Arial"/>
                <w:sz w:val="14"/>
                <w:szCs w:val="14"/>
                <w:color w:val="auto"/>
              </w:rPr>
              <w:t>January 28,</w:t>
            </w:r>
          </w:p>
        </w:tc>
      </w:t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196"/>
        </w:trPr>
        <w:tc>
          <w:tcPr>
            <w:tcW w:w="6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95"/>
              </w:rPr>
              <w:t>(53 weeks)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95"/>
              </w:rPr>
              <w:t>(53 weeks)</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Change in plan assets: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b w:val="1"/>
                <w:bCs w:val="1"/>
                <w:color w:val="auto"/>
                <w:w w:val="97"/>
              </w:rPr>
              <w:t>1,176,960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w w:val="97"/>
              </w:rPr>
              <w:t>1,119,842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Pr>
          <w:p>
            <w:pPr>
              <w:ind w:left="440"/>
              <w:spacing w:after="0" w:line="202" w:lineRule="exact"/>
              <w:rPr>
                <w:sz w:val="20"/>
                <w:szCs w:val="20"/>
                <w:color w:val="auto"/>
              </w:rPr>
            </w:pPr>
            <w:r>
              <w:rPr>
                <w:rFonts w:ascii="Arial" w:cs="Arial" w:eastAsia="Arial" w:hAnsi="Arial"/>
                <w:sz w:val="18"/>
                <w:szCs w:val="18"/>
                <w:color w:val="auto"/>
              </w:rPr>
              <w:t>Actual return on plan assets</w:t>
            </w:r>
          </w:p>
        </w:tc>
        <w:tc>
          <w:tcPr>
            <w:tcW w:w="440" w:type="dxa"/>
            <w:vAlign w:val="bottom"/>
          </w:tcPr>
          <w:p>
            <w:pPr>
              <w:spacing w:after="0"/>
              <w:rPr>
                <w:sz w:val="17"/>
                <w:szCs w:val="17"/>
                <w:color w:val="auto"/>
              </w:rPr>
            </w:pPr>
          </w:p>
        </w:tc>
        <w:tc>
          <w:tcPr>
            <w:tcW w:w="106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174,870</w:t>
            </w:r>
          </w:p>
        </w:tc>
        <w:tc>
          <w:tcPr>
            <w:tcW w:w="280" w:type="dxa"/>
            <w:vAlign w:val="bottom"/>
          </w:tcPr>
          <w:p>
            <w:pPr>
              <w:spacing w:after="0"/>
              <w:rPr>
                <w:sz w:val="17"/>
                <w:szCs w:val="17"/>
                <w:color w:val="auto"/>
              </w:rPr>
            </w:pP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143,756</w:t>
            </w:r>
          </w:p>
        </w:tc>
        <w:tc>
          <w:tcPr>
            <w:tcW w:w="300" w:type="dxa"/>
            <w:vAlign w:val="bottom"/>
          </w:tcPr>
          <w:p>
            <w:pPr>
              <w:spacing w:after="0"/>
              <w:rPr>
                <w:sz w:val="17"/>
                <w:szCs w:val="17"/>
                <w:color w:val="auto"/>
              </w:rPr>
            </w:pP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Employer contribution</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100,000</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5,046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4,624</w:t>
            </w:r>
          </w:p>
        </w:tc>
      </w:tr>
      <w:tr>
        <w:trPr>
          <w:trHeight w:val="203"/>
        </w:trPr>
        <w:tc>
          <w:tcPr>
            <w:tcW w:w="6240" w:type="dxa"/>
            <w:vAlign w:val="bottom"/>
          </w:tcPr>
          <w:p>
            <w:pPr>
              <w:ind w:left="440"/>
              <w:spacing w:after="0" w:line="202" w:lineRule="exact"/>
              <w:rPr>
                <w:sz w:val="20"/>
                <w:szCs w:val="20"/>
                <w:color w:val="auto"/>
              </w:rPr>
            </w:pPr>
            <w:r>
              <w:rPr>
                <w:rFonts w:ascii="Arial" w:cs="Arial" w:eastAsia="Arial" w:hAnsi="Arial"/>
                <w:sz w:val="18"/>
                <w:szCs w:val="18"/>
                <w:color w:val="auto"/>
              </w:rPr>
              <w:t>Settlements</w:t>
            </w:r>
          </w:p>
        </w:tc>
        <w:tc>
          <w:tcPr>
            <w:tcW w:w="440" w:type="dxa"/>
            <w:vAlign w:val="bottom"/>
          </w:tcPr>
          <w:p>
            <w:pPr>
              <w:spacing w:after="0"/>
              <w:rPr>
                <w:sz w:val="17"/>
                <w:szCs w:val="17"/>
                <w:color w:val="auto"/>
              </w:rPr>
            </w:pPr>
          </w:p>
        </w:tc>
        <w:tc>
          <w:tcPr>
            <w:tcW w:w="106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(103,197)</w:t>
            </w:r>
          </w:p>
        </w:tc>
        <w:tc>
          <w:tcPr>
            <w:tcW w:w="300" w:type="dxa"/>
            <w:vAlign w:val="bottom"/>
          </w:tcPr>
          <w:p>
            <w:pPr>
              <w:spacing w:after="0"/>
              <w:rPr>
                <w:sz w:val="17"/>
                <w:szCs w:val="17"/>
                <w:color w:val="auto"/>
              </w:rPr>
            </w:pP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Benefits paid</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b w:val="1"/>
                <w:bCs w:val="1"/>
                <w:color w:val="auto"/>
              </w:rPr>
              <w:t>(30,993)</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(28,751)</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b w:val="1"/>
                <w:bCs w:val="1"/>
                <w:color w:val="auto"/>
              </w:rPr>
              <w:t>(5,046)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(4,624)</w:t>
            </w:r>
          </w:p>
        </w:tc>
      </w:tr>
      <w:tr>
        <w:trPr>
          <w:trHeight w:val="203"/>
        </w:trPr>
        <w:tc>
          <w:tcPr>
            <w:tcW w:w="6240" w:type="dxa"/>
            <w:vAlign w:val="bottom"/>
            <w:tcBorders>
              <w:bottom w:val="single" w:sz="8" w:color="auto"/>
            </w:tcBorders>
          </w:tcPr>
          <w:p>
            <w:pPr>
              <w:ind w:left="440"/>
              <w:spacing w:after="0" w:line="202" w:lineRule="exact"/>
              <w:rPr>
                <w:sz w:val="20"/>
                <w:szCs w:val="20"/>
                <w:color w:val="auto"/>
              </w:rPr>
            </w:pPr>
            <w:r>
              <w:rPr>
                <w:rFonts w:ascii="Arial" w:cs="Arial" w:eastAsia="Arial" w:hAnsi="Arial"/>
                <w:sz w:val="18"/>
                <w:szCs w:val="18"/>
                <w:color w:val="auto"/>
              </w:rPr>
              <w:t>Expenses paid</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b w:val="1"/>
                <w:bCs w:val="1"/>
                <w:color w:val="auto"/>
              </w:rPr>
              <w:t>(3,306)</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color w:val="auto"/>
              </w:rPr>
              <w:t>(4,690)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6"/>
        </w:trPr>
        <w:tc>
          <w:tcPr>
            <w:tcW w:w="62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Fair value of plan assets at end of year</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76"/>
              <w:spacing w:after="0" w:line="196" w:lineRule="exact"/>
              <w:rPr>
                <w:sz w:val="20"/>
                <w:szCs w:val="20"/>
                <w:color w:val="auto"/>
              </w:rPr>
            </w:pPr>
            <w:r>
              <w:rPr>
                <w:rFonts w:ascii="Arial" w:cs="Arial" w:eastAsia="Arial" w:hAnsi="Arial"/>
                <w:sz w:val="18"/>
                <w:szCs w:val="18"/>
                <w:b w:val="1"/>
                <w:bCs w:val="1"/>
                <w:color w:val="auto"/>
                <w:w w:val="97"/>
              </w:rPr>
              <w:t>1,417,531</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w w:val="97"/>
              </w:rPr>
              <w:t>1,176,960</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56"/>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Reconciliation of funded status: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Projected benefit obligation at end of year</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b w:val="1"/>
                <w:bCs w:val="1"/>
                <w:color w:val="auto"/>
                <w:w w:val="97"/>
              </w:rPr>
              <w:t>1,404,089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w w:val="97"/>
              </w:rPr>
              <w:t>1,269,010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91,047</w:t>
            </w:r>
          </w:p>
        </w:tc>
        <w:tc>
          <w:tcPr>
            <w:tcW w:w="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w w:val="98"/>
              </w:rPr>
              <w:t>86,309</w:t>
            </w:r>
          </w:p>
        </w:tc>
      </w:tr>
      <w:tr>
        <w:trPr>
          <w:trHeight w:val="203"/>
        </w:trPr>
        <w:tc>
          <w:tcPr>
            <w:tcW w:w="62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Fair value of plan assets at end of year</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6"/>
              <w:spacing w:after="0" w:line="202" w:lineRule="exact"/>
              <w:rPr>
                <w:sz w:val="20"/>
                <w:szCs w:val="20"/>
                <w:color w:val="auto"/>
              </w:rPr>
            </w:pPr>
            <w:r>
              <w:rPr>
                <w:rFonts w:ascii="Arial" w:cs="Arial" w:eastAsia="Arial" w:hAnsi="Arial"/>
                <w:sz w:val="18"/>
                <w:szCs w:val="18"/>
                <w:b w:val="1"/>
                <w:bCs w:val="1"/>
                <w:color w:val="auto"/>
                <w:w w:val="97"/>
              </w:rPr>
              <w:t>1,417,531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w w:val="97"/>
              </w:rPr>
              <w:t>1,176,960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6"/>
        </w:trPr>
        <w:tc>
          <w:tcPr>
            <w:tcW w:w="62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Funded status – excess (asset) obligation</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b w:val="1"/>
                <w:bCs w:val="1"/>
                <w:color w:val="auto"/>
              </w:rPr>
              <w:t>(13,442)</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55"/>
              <w:spacing w:after="0" w:line="196" w:lineRule="exact"/>
              <w:rPr>
                <w:sz w:val="20"/>
                <w:szCs w:val="20"/>
                <w:color w:val="auto"/>
              </w:rPr>
            </w:pPr>
            <w:r>
              <w:rPr>
                <w:rFonts w:ascii="Arial" w:cs="Arial" w:eastAsia="Arial" w:hAnsi="Arial"/>
                <w:sz w:val="18"/>
                <w:szCs w:val="18"/>
                <w:color w:val="auto"/>
              </w:rPr>
              <w:t>92,050</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56"/>
              <w:spacing w:after="0" w:line="196" w:lineRule="exact"/>
              <w:rPr>
                <w:sz w:val="20"/>
                <w:szCs w:val="20"/>
                <w:color w:val="auto"/>
              </w:rPr>
            </w:pPr>
            <w:r>
              <w:rPr>
                <w:rFonts w:ascii="Arial" w:cs="Arial" w:eastAsia="Arial" w:hAnsi="Arial"/>
                <w:sz w:val="18"/>
                <w:szCs w:val="18"/>
                <w:b w:val="1"/>
                <w:bCs w:val="1"/>
                <w:color w:val="auto"/>
              </w:rPr>
              <w:t>91,047</w:t>
            </w:r>
          </w:p>
        </w:tc>
        <w:tc>
          <w:tcPr>
            <w:tcW w:w="3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w w:val="98"/>
              </w:rPr>
              <w:t>86,309</w:t>
            </w:r>
          </w:p>
        </w:tc>
      </w:tr>
      <w:tr>
        <w:trPr>
          <w:trHeight w:val="196"/>
        </w:trPr>
        <w:tc>
          <w:tcPr>
            <w:tcW w:w="62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Net (asset) liability recognized on consolidated balance sheets</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(13,442)</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color w:val="auto"/>
              </w:rPr>
              <w:t>92,050</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91,047</w:t>
            </w:r>
          </w:p>
        </w:tc>
        <w:tc>
          <w:tcPr>
            <w:tcW w:w="3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8"/>
              </w:rPr>
              <w:t>86,309</w:t>
            </w:r>
          </w:p>
        </w:tc>
      </w:tr>
      <w:tr>
        <w:trPr>
          <w:trHeight w:val="199"/>
        </w:trPr>
        <w:tc>
          <w:tcPr>
            <w:tcW w:w="62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Amounts not yet reflected in net periodic benefit cost and included in</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9"/>
        </w:trPr>
        <w:tc>
          <w:tcPr>
            <w:tcW w:w="62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accumulated other comprehensive income (loss):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240" w:type="dxa"/>
            <w:vAlign w:val="bottom"/>
          </w:tcPr>
          <w:p>
            <w:pPr>
              <w:ind w:left="220"/>
              <w:spacing w:after="0" w:line="202" w:lineRule="exact"/>
              <w:rPr>
                <w:sz w:val="20"/>
                <w:szCs w:val="20"/>
                <w:color w:val="auto"/>
              </w:rPr>
            </w:pPr>
            <w:r>
              <w:rPr>
                <w:rFonts w:ascii="Arial" w:cs="Arial" w:eastAsia="Arial" w:hAnsi="Arial"/>
                <w:sz w:val="18"/>
                <w:szCs w:val="18"/>
                <w:color w:val="auto"/>
              </w:rPr>
              <w:t>Prior service cost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1,935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2,313</w:t>
            </w:r>
          </w:p>
        </w:tc>
        <w:tc>
          <w:tcPr>
            <w:tcW w:w="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actuarial losses</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243,761</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303,612</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b w:val="1"/>
                <w:bCs w:val="1"/>
                <w:color w:val="auto"/>
              </w:rPr>
              <w:t>28,164</w:t>
            </w: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w w:val="98"/>
              </w:rPr>
              <w:t>26,438</w:t>
            </w:r>
          </w:p>
        </w:tc>
      </w:tr>
      <w:tr>
        <w:trPr>
          <w:trHeight w:val="196"/>
        </w:trPr>
        <w:tc>
          <w:tcPr>
            <w:tcW w:w="624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Amounts included in accumulated other comprehensive income (loss)</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245,696</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color w:val="auto"/>
              </w:rPr>
              <w:t>305,925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28,164</w:t>
            </w:r>
          </w:p>
        </w:tc>
        <w:tc>
          <w:tcPr>
            <w:tcW w:w="3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8"/>
              </w:rPr>
              <w:t>26,438</w:t>
            </w:r>
          </w:p>
        </w:tc>
      </w:tr>
    </w:tbl>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Balance Sheets reflect the funded status of the plans with any unrecognized prior service cost and actuarial gains and</w:t>
      </w:r>
    </w:p>
    <w:p>
      <w:pPr>
        <w:spacing w:after="0" w:line="234" w:lineRule="auto"/>
        <w:rPr>
          <w:sz w:val="20"/>
          <w:szCs w:val="20"/>
          <w:color w:val="auto"/>
        </w:rPr>
      </w:pPr>
      <w:r>
        <w:rPr>
          <w:rFonts w:ascii="Arial" w:cs="Arial" w:eastAsia="Arial" w:hAnsi="Arial"/>
          <w:sz w:val="18"/>
          <w:szCs w:val="18"/>
          <w:color w:val="auto"/>
        </w:rPr>
        <w:t>losses recorded in accumulated other comprehensive income (loss). The combined net accrued liability of $77.6 million at February 3, 2018 is</w:t>
      </w:r>
    </w:p>
    <w:p>
      <w:pPr>
        <w:spacing w:after="0" w:line="235" w:lineRule="auto"/>
        <w:rPr>
          <w:sz w:val="20"/>
          <w:szCs w:val="20"/>
          <w:color w:val="auto"/>
        </w:rPr>
      </w:pPr>
      <w:r>
        <w:rPr>
          <w:rFonts w:ascii="Arial" w:cs="Arial" w:eastAsia="Arial" w:hAnsi="Arial"/>
          <w:sz w:val="18"/>
          <w:szCs w:val="18"/>
          <w:color w:val="auto"/>
        </w:rPr>
        <w:t>reflected on the balance sheet as of that date as a current liability of $2.4 million, a long-term liability of $88.6 million, and a long-term asset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$13.4 million. The combined net accrued liability of $178.4 million at January 28, 2017 is reflected on the balance sheet as of that date as a current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liability of $4.0 million and a long-term liability of $174.4 million.</w:t>
      </w:r>
    </w:p>
    <w:p>
      <w:pPr>
        <w:spacing w:after="0" w:line="77" w:lineRule="exact"/>
        <w:rPr>
          <w:sz w:val="20"/>
          <w:szCs w:val="20"/>
          <w:color w:val="auto"/>
        </w:rPr>
      </w:pPr>
    </w:p>
    <w:p>
      <w:pPr>
        <w:ind w:right="240" w:firstLine="342"/>
        <w:spacing w:after="0" w:line="281" w:lineRule="auto"/>
        <w:rPr>
          <w:sz w:val="20"/>
          <w:szCs w:val="20"/>
          <w:color w:val="auto"/>
        </w:rPr>
      </w:pPr>
      <w:r>
        <w:rPr>
          <w:rFonts w:ascii="Arial" w:cs="Arial" w:eastAsia="Arial" w:hAnsi="Arial"/>
          <w:sz w:val="16"/>
          <w:szCs w:val="16"/>
          <w:color w:val="auto"/>
        </w:rPr>
        <w:t>The estimated prior service cost that will be amortized from accumulated other comprehensive income (loss) into net periodic benefit cost in fiscal 2019 for the funded plan is $0.4 million. The estimated net actuarial loss that will be amortized from accumulated other comprehensive income (loss) into net periodic benefit cost in fiscal 2019 is $12.1 million for the funded plan and $3.3 million for the unfunded plan.</w:t>
      </w:r>
    </w:p>
    <w:p>
      <w:pPr>
        <w:spacing w:after="0" w:line="43" w:lineRule="exact"/>
        <w:rPr>
          <w:sz w:val="20"/>
          <w:szCs w:val="20"/>
          <w:color w:val="auto"/>
        </w:rPr>
      </w:pPr>
    </w:p>
    <w:p>
      <w:pPr>
        <w:jc w:val="both"/>
        <w:ind w:right="280" w:firstLine="342"/>
        <w:spacing w:after="0" w:line="281" w:lineRule="auto"/>
        <w:rPr>
          <w:sz w:val="20"/>
          <w:szCs w:val="20"/>
          <w:color w:val="auto"/>
        </w:rPr>
      </w:pPr>
      <w:r>
        <w:rPr>
          <w:rFonts w:ascii="Arial" w:cs="Arial" w:eastAsia="Arial" w:hAnsi="Arial"/>
          <w:sz w:val="16"/>
          <w:szCs w:val="16"/>
          <w:color w:val="auto"/>
        </w:rPr>
        <w:t>TJX determined the assumed discount rate using the BOND: Link model in fiscal 2018 and fiscal 2017. TJX uses the BOND: Link model as this model allows for the selection of specific bonds resulting in better matches in timing of the plans’ expected cash flows. Presented below are weighted average assumptions for measurement purposes for determining the obligation at the year-end measurement date: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Funded Plan</w:t>
            </w:r>
          </w:p>
        </w:tc>
        <w:tc>
          <w:tcPr>
            <w:tcW w:w="124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2"/>
          </w:tcPr>
          <w:p>
            <w:pPr>
              <w:jc w:val="right"/>
              <w:ind w:right="842"/>
              <w:spacing w:after="0"/>
              <w:rPr>
                <w:sz w:val="20"/>
                <w:szCs w:val="20"/>
                <w:color w:val="auto"/>
              </w:rPr>
            </w:pPr>
            <w:r>
              <w:rPr>
                <w:rFonts w:ascii="Arial" w:cs="Arial" w:eastAsia="Arial" w:hAnsi="Arial"/>
                <w:sz w:val="14"/>
                <w:szCs w:val="14"/>
                <w:color w:val="auto"/>
              </w:rPr>
              <w:t>Unfunded Plan</w:t>
            </w:r>
          </w:p>
        </w:tc>
      </w:tr>
      <w:tr>
        <w:trPr>
          <w:trHeight w:val="162"/>
        </w:trPr>
        <w:tc>
          <w:tcPr>
            <w:tcW w:w="5120" w:type="dxa"/>
            <w:vAlign w:val="bottom"/>
          </w:tcPr>
          <w:p>
            <w:pPr>
              <w:spacing w:after="0"/>
              <w:rPr>
                <w:sz w:val="14"/>
                <w:szCs w:val="14"/>
                <w:color w:val="auto"/>
              </w:rPr>
            </w:pPr>
          </w:p>
        </w:tc>
        <w:tc>
          <w:tcPr>
            <w:tcW w:w="3440" w:type="dxa"/>
            <w:vAlign w:val="bottom"/>
            <w:tcBorders>
              <w:bottom w:val="single" w:sz="8" w:color="auto"/>
            </w:tcBorders>
            <w:gridSpan w:val="2"/>
          </w:tcPr>
          <w:p>
            <w:pPr>
              <w:jc w:val="right"/>
              <w:ind w:right="1022"/>
              <w:spacing w:after="0"/>
              <w:rPr>
                <w:sz w:val="20"/>
                <w:szCs w:val="20"/>
                <w:color w:val="auto"/>
              </w:rPr>
            </w:pPr>
            <w:r>
              <w:rPr>
                <w:rFonts w:ascii="Arial" w:cs="Arial" w:eastAsia="Arial" w:hAnsi="Arial"/>
                <w:sz w:val="14"/>
                <w:szCs w:val="14"/>
                <w:color w:val="auto"/>
              </w:rPr>
              <w:t>Fiscal Year Ended</w:t>
            </w:r>
          </w:p>
        </w:tc>
        <w:tc>
          <w:tcPr>
            <w:tcW w:w="286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color w:val="auto"/>
              </w:rPr>
              <w:t>Fiscal Year Ended</w:t>
            </w:r>
          </w:p>
        </w:tc>
      </w:tr>
      <w:tr>
        <w:trPr>
          <w:trHeight w:val="126"/>
        </w:trPr>
        <w:tc>
          <w:tcPr>
            <w:tcW w:w="5120" w:type="dxa"/>
            <w:vAlign w:val="bottom"/>
          </w:tcPr>
          <w:p>
            <w:pPr>
              <w:spacing w:after="0"/>
              <w:rPr>
                <w:sz w:val="10"/>
                <w:szCs w:val="10"/>
                <w:color w:val="auto"/>
              </w:rPr>
            </w:pPr>
          </w:p>
        </w:tc>
        <w:tc>
          <w:tcPr>
            <w:tcW w:w="2200" w:type="dxa"/>
            <w:vAlign w:val="bottom"/>
          </w:tcPr>
          <w:p>
            <w:pPr>
              <w:jc w:val="right"/>
              <w:ind w:right="746"/>
              <w:spacing w:after="0" w:line="126" w:lineRule="exact"/>
              <w:rPr>
                <w:sz w:val="20"/>
                <w:szCs w:val="20"/>
                <w:color w:val="auto"/>
              </w:rPr>
            </w:pPr>
            <w:r>
              <w:rPr>
                <w:rFonts w:ascii="Arial" w:cs="Arial" w:eastAsia="Arial" w:hAnsi="Arial"/>
                <w:sz w:val="14"/>
                <w:szCs w:val="14"/>
                <w:b w:val="1"/>
                <w:bCs w:val="1"/>
                <w:color w:val="auto"/>
              </w:rPr>
              <w:t>February 3,</w:t>
            </w:r>
          </w:p>
        </w:tc>
        <w:tc>
          <w:tcPr>
            <w:tcW w:w="1240" w:type="dxa"/>
            <w:vAlign w:val="bottom"/>
          </w:tcPr>
          <w:p>
            <w:pPr>
              <w:jc w:val="right"/>
              <w:ind w:right="422"/>
              <w:spacing w:after="0" w:line="126" w:lineRule="exact"/>
              <w:rPr>
                <w:sz w:val="20"/>
                <w:szCs w:val="20"/>
                <w:color w:val="auto"/>
              </w:rPr>
            </w:pPr>
            <w:r>
              <w:rPr>
                <w:rFonts w:ascii="Arial" w:cs="Arial" w:eastAsia="Arial" w:hAnsi="Arial"/>
                <w:sz w:val="14"/>
                <w:szCs w:val="14"/>
                <w:color w:val="auto"/>
                <w:w w:val="98"/>
              </w:rPr>
              <w:t>January 28,</w:t>
            </w:r>
          </w:p>
        </w:tc>
        <w:tc>
          <w:tcPr>
            <w:tcW w:w="1580" w:type="dxa"/>
            <w:vAlign w:val="bottom"/>
          </w:tcPr>
          <w:p>
            <w:pPr>
              <w:jc w:val="right"/>
              <w:ind w:right="426"/>
              <w:spacing w:after="0" w:line="126" w:lineRule="exact"/>
              <w:rPr>
                <w:sz w:val="20"/>
                <w:szCs w:val="20"/>
                <w:color w:val="auto"/>
              </w:rPr>
            </w:pPr>
            <w:r>
              <w:rPr>
                <w:rFonts w:ascii="Arial" w:cs="Arial" w:eastAsia="Arial" w:hAnsi="Arial"/>
                <w:sz w:val="14"/>
                <w:szCs w:val="14"/>
                <w:b w:val="1"/>
                <w:bCs w:val="1"/>
                <w:color w:val="auto"/>
              </w:rPr>
              <w:t>February 3,</w:t>
            </w:r>
          </w:p>
        </w:tc>
        <w:tc>
          <w:tcPr>
            <w:tcW w:w="1280" w:type="dxa"/>
            <w:vAlign w:val="bottom"/>
          </w:tcPr>
          <w:p>
            <w:pPr>
              <w:jc w:val="right"/>
              <w:ind w:right="142"/>
              <w:spacing w:after="0" w:line="126" w:lineRule="exact"/>
              <w:rPr>
                <w:sz w:val="20"/>
                <w:szCs w:val="20"/>
                <w:color w:val="auto"/>
              </w:rPr>
            </w:pPr>
            <w:r>
              <w:rPr>
                <w:rFonts w:ascii="Arial" w:cs="Arial" w:eastAsia="Arial" w:hAnsi="Arial"/>
                <w:sz w:val="14"/>
                <w:szCs w:val="14"/>
                <w:color w:val="auto"/>
              </w:rPr>
              <w:t>January 28,</w:t>
            </w:r>
          </w:p>
        </w:tc>
      </w:tr>
      <w:tr>
        <w:trPr>
          <w:trHeight w:val="165"/>
        </w:trPr>
        <w:tc>
          <w:tcPr>
            <w:tcW w:w="5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2017</w:t>
            </w:r>
          </w:p>
        </w:tc>
        <w:tc>
          <w:tcPr>
            <w:tcW w:w="158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2017</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2200" w:type="dxa"/>
            <w:vAlign w:val="bottom"/>
            <w:shd w:val="clear" w:color="auto" w:fill="CCEEFF"/>
          </w:tcPr>
          <w:p>
            <w:pPr>
              <w:jc w:val="right"/>
              <w:ind w:right="606"/>
              <w:spacing w:after="0" w:line="196" w:lineRule="exact"/>
              <w:rPr>
                <w:sz w:val="20"/>
                <w:szCs w:val="20"/>
                <w:color w:val="auto"/>
              </w:rPr>
            </w:pPr>
            <w:r>
              <w:rPr>
                <w:rFonts w:ascii="Arial" w:cs="Arial" w:eastAsia="Arial" w:hAnsi="Arial"/>
                <w:sz w:val="18"/>
                <w:szCs w:val="18"/>
                <w:b w:val="1"/>
                <w:bCs w:val="1"/>
                <w:color w:val="auto"/>
              </w:rPr>
              <w:t>4.00%</w:t>
            </w:r>
          </w:p>
        </w:tc>
        <w:tc>
          <w:tcPr>
            <w:tcW w:w="1240" w:type="dxa"/>
            <w:vAlign w:val="bottom"/>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4.40%</w:t>
            </w:r>
          </w:p>
        </w:tc>
        <w:tc>
          <w:tcPr>
            <w:tcW w:w="1580" w:type="dxa"/>
            <w:vAlign w:val="bottom"/>
            <w:shd w:val="clear" w:color="auto" w:fill="CCEEFF"/>
          </w:tcPr>
          <w:p>
            <w:pPr>
              <w:jc w:val="right"/>
              <w:ind w:right="266"/>
              <w:spacing w:after="0" w:line="196" w:lineRule="exact"/>
              <w:rPr>
                <w:sz w:val="20"/>
                <w:szCs w:val="20"/>
                <w:color w:val="auto"/>
              </w:rPr>
            </w:pPr>
            <w:r>
              <w:rPr>
                <w:rFonts w:ascii="Arial" w:cs="Arial" w:eastAsia="Arial" w:hAnsi="Arial"/>
                <w:sz w:val="18"/>
                <w:szCs w:val="18"/>
                <w:b w:val="1"/>
                <w:bCs w:val="1"/>
                <w:color w:val="auto"/>
              </w:rPr>
              <w:t>3.80%</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r>
      <w:tr>
        <w:trPr>
          <w:trHeight w:val="203"/>
        </w:trPr>
        <w:tc>
          <w:tcPr>
            <w:tcW w:w="5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2200" w:type="dxa"/>
            <w:vAlign w:val="bottom"/>
            <w:tcBorders>
              <w:bottom w:val="single" w:sz="8" w:color="auto"/>
            </w:tcBorders>
          </w:tcPr>
          <w:p>
            <w:pPr>
              <w:jc w:val="right"/>
              <w:ind w:right="606"/>
              <w:spacing w:after="0" w:line="202" w:lineRule="exact"/>
              <w:rPr>
                <w:sz w:val="20"/>
                <w:szCs w:val="20"/>
                <w:color w:val="auto"/>
              </w:rPr>
            </w:pPr>
            <w:r>
              <w:rPr>
                <w:rFonts w:ascii="Arial" w:cs="Arial" w:eastAsia="Arial" w:hAnsi="Arial"/>
                <w:sz w:val="18"/>
                <w:szCs w:val="18"/>
                <w:b w:val="1"/>
                <w:bCs w:val="1"/>
                <w:color w:val="auto"/>
              </w:rPr>
              <w:t>4.00%</w:t>
            </w:r>
          </w:p>
        </w:tc>
        <w:tc>
          <w:tcPr>
            <w:tcW w:w="1240" w:type="dxa"/>
            <w:vAlign w:val="bottom"/>
            <w:tcBorders>
              <w:bottom w:val="single" w:sz="8" w:color="auto"/>
            </w:tcBorders>
          </w:tcPr>
          <w:p>
            <w:pPr>
              <w:jc w:val="right"/>
              <w:ind w:right="262"/>
              <w:spacing w:after="0" w:line="202" w:lineRule="exact"/>
              <w:rPr>
                <w:sz w:val="20"/>
                <w:szCs w:val="20"/>
                <w:color w:val="auto"/>
              </w:rPr>
            </w:pPr>
            <w:r>
              <w:rPr>
                <w:rFonts w:ascii="Arial" w:cs="Arial" w:eastAsia="Arial" w:hAnsi="Arial"/>
                <w:sz w:val="18"/>
                <w:szCs w:val="18"/>
                <w:color w:val="auto"/>
              </w:rPr>
              <w:t>4.00%</w:t>
            </w:r>
          </w:p>
        </w:tc>
        <w:tc>
          <w:tcPr>
            <w:tcW w:w="1580" w:type="dxa"/>
            <w:vAlign w:val="bottom"/>
            <w:tcBorders>
              <w:bottom w:val="single" w:sz="8" w:color="auto"/>
            </w:tcBorders>
          </w:tcPr>
          <w:p>
            <w:pPr>
              <w:jc w:val="right"/>
              <w:ind w:right="266"/>
              <w:spacing w:after="0" w:line="202" w:lineRule="exact"/>
              <w:rPr>
                <w:sz w:val="20"/>
                <w:szCs w:val="20"/>
                <w:color w:val="auto"/>
              </w:rPr>
            </w:pPr>
            <w:r>
              <w:rPr>
                <w:rFonts w:ascii="Arial" w:cs="Arial" w:eastAsia="Arial" w:hAnsi="Arial"/>
                <w:sz w:val="18"/>
                <w:szCs w:val="18"/>
                <w:b w:val="1"/>
                <w:bCs w:val="1"/>
                <w:color w:val="auto"/>
              </w:rPr>
              <w:t>6.00%</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r>
    </w:tbl>
    <w:p>
      <w:pPr>
        <w:spacing w:after="0" w:line="165" w:lineRule="exact"/>
        <w:rPr>
          <w:sz w:val="20"/>
          <w:szCs w:val="20"/>
          <w:color w:val="auto"/>
        </w:rPr>
      </w:pPr>
    </w:p>
    <w:p>
      <w:pPr>
        <w:ind w:right="100" w:firstLine="342"/>
        <w:spacing w:after="0" w:line="275" w:lineRule="auto"/>
        <w:rPr>
          <w:sz w:val="20"/>
          <w:szCs w:val="20"/>
          <w:color w:val="auto"/>
        </w:rPr>
      </w:pPr>
      <w:r>
        <w:rPr>
          <w:rFonts w:ascii="Arial" w:cs="Arial" w:eastAsia="Arial" w:hAnsi="Arial"/>
          <w:sz w:val="16"/>
          <w:szCs w:val="16"/>
          <w:color w:val="auto"/>
        </w:rPr>
        <w:t>TJX made aggregate cash contributions of $105.0 million in fiscal 2018, $54.6 million in fiscal 2017 and $55.7 million in fiscal 2016 to the funded plan and to fund current benefit and expense payments under the unfunded plan. 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68" w:right="239" w:bottom="1440" w:gutter="0" w:footer="0" w:header="0"/>
        </w:sectPr>
      </w:pPr>
    </w:p>
    <w:bookmarkStart w:id="75" w:name="page76"/>
    <w:bookmarkEnd w:id="75"/>
    <w:p>
      <w:pPr>
        <w:ind w:right="3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Internal Revenue Code. We do not anticipate any required funding in fiscal 2019 for the funded plan. We anticipate making contributions of $2.4 million to provide current benefits coming due under the unfunded plan in fiscal 2019.</w:t>
      </w:r>
    </w:p>
    <w:p>
      <w:pPr>
        <w:spacing w:after="0" w:line="155" w:lineRule="exact"/>
        <w:rPr>
          <w:sz w:val="20"/>
          <w:szCs w:val="20"/>
          <w:color w:val="auto"/>
        </w:rPr>
      </w:pPr>
    </w:p>
    <w:p>
      <w:pPr>
        <w:ind w:right="160" w:firstLine="342"/>
        <w:spacing w:after="0" w:line="239" w:lineRule="auto"/>
        <w:rPr>
          <w:sz w:val="20"/>
          <w:szCs w:val="20"/>
          <w:color w:val="auto"/>
        </w:rPr>
      </w:pPr>
      <w:r>
        <w:rPr>
          <w:rFonts w:ascii="Arial" w:cs="Arial" w:eastAsia="Arial" w:hAnsi="Arial"/>
          <w:sz w:val="18"/>
          <w:szCs w:val="18"/>
          <w:color w:val="auto"/>
        </w:rPr>
        <w:t>The following are the components of net periodic benefit cost and other amounts recognized in other comprehensive income (loss) related to our pension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color w:val="auto"/>
              </w:rPr>
              <w:t>Funded Plan</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134"/>
              <w:spacing w:after="0"/>
              <w:rPr>
                <w:sz w:val="20"/>
                <w:szCs w:val="20"/>
                <w:color w:val="auto"/>
              </w:rPr>
            </w:pPr>
            <w:r>
              <w:rPr>
                <w:rFonts w:ascii="Arial" w:cs="Arial" w:eastAsia="Arial" w:hAnsi="Arial"/>
                <w:sz w:val="14"/>
                <w:szCs w:val="14"/>
                <w:color w:val="auto"/>
              </w:rPr>
              <w:t>Unfunded Plan</w:t>
            </w: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Fiscal Year Ended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240" w:type="dxa"/>
            <w:vAlign w:val="bottom"/>
            <w:gridSpan w:val="2"/>
          </w:tcPr>
          <w:p>
            <w:pPr>
              <w:jc w:val="right"/>
              <w:ind w:right="74"/>
              <w:spacing w:after="0" w:line="129" w:lineRule="exact"/>
              <w:rPr>
                <w:sz w:val="20"/>
                <w:szCs w:val="20"/>
                <w:color w:val="auto"/>
              </w:rPr>
            </w:pPr>
            <w:r>
              <w:rPr>
                <w:rFonts w:ascii="Arial" w:cs="Arial" w:eastAsia="Arial" w:hAnsi="Arial"/>
                <w:sz w:val="14"/>
                <w:szCs w:val="14"/>
                <w:b w:val="1"/>
                <w:bCs w:val="1"/>
                <w:color w:val="auto"/>
              </w:rPr>
              <w:t>February 3,</w:t>
            </w:r>
          </w:p>
        </w:tc>
        <w:tc>
          <w:tcPr>
            <w:tcW w:w="1460" w:type="dxa"/>
            <w:vAlign w:val="bottom"/>
          </w:tcPr>
          <w:p>
            <w:pPr>
              <w:jc w:val="right"/>
              <w:ind w:right="116"/>
              <w:spacing w:after="0" w:line="129" w:lineRule="exact"/>
              <w:rPr>
                <w:sz w:val="20"/>
                <w:szCs w:val="20"/>
                <w:color w:val="auto"/>
              </w:rPr>
            </w:pPr>
            <w:r>
              <w:rPr>
                <w:rFonts w:ascii="Arial" w:cs="Arial" w:eastAsia="Arial" w:hAnsi="Arial"/>
                <w:sz w:val="14"/>
                <w:szCs w:val="14"/>
                <w:color w:val="auto"/>
              </w:rPr>
              <w:t>January 28,</w:t>
            </w:r>
          </w:p>
        </w:tc>
        <w:tc>
          <w:tcPr>
            <w:tcW w:w="106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January 30,</w:t>
            </w: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February 3,</w:t>
            </w:r>
          </w:p>
        </w:tc>
        <w:tc>
          <w:tcPr>
            <w:tcW w:w="1200" w:type="dxa"/>
            <w:vAlign w:val="bottom"/>
            <w:gridSpan w:val="2"/>
          </w:tcPr>
          <w:p>
            <w:pPr>
              <w:jc w:val="right"/>
              <w:ind w:right="134"/>
              <w:spacing w:after="0" w:line="129" w:lineRule="exact"/>
              <w:rPr>
                <w:sz w:val="20"/>
                <w:szCs w:val="20"/>
                <w:color w:val="auto"/>
              </w:rPr>
            </w:pPr>
            <w:r>
              <w:rPr>
                <w:rFonts w:ascii="Arial" w:cs="Arial" w:eastAsia="Arial" w:hAnsi="Arial"/>
                <w:sz w:val="14"/>
                <w:szCs w:val="14"/>
                <w:color w:val="auto"/>
              </w:rPr>
              <w:t>January 28,</w:t>
            </w:r>
          </w:p>
        </w:tc>
        <w:tc>
          <w:tcPr>
            <w:tcW w:w="920" w:type="dxa"/>
            <w:vAlign w:val="bottom"/>
            <w:gridSpan w:val="2"/>
          </w:tcPr>
          <w:p>
            <w:pPr>
              <w:jc w:val="right"/>
              <w:ind w:right="14"/>
              <w:spacing w:after="0" w:line="129" w:lineRule="exact"/>
              <w:rPr>
                <w:sz w:val="20"/>
                <w:szCs w:val="20"/>
                <w:color w:val="auto"/>
              </w:rPr>
            </w:pPr>
            <w:r>
              <w:rPr>
                <w:rFonts w:ascii="Arial" w:cs="Arial" w:eastAsia="Arial" w:hAnsi="Arial"/>
                <w:sz w:val="14"/>
                <w:szCs w:val="14"/>
                <w:color w:val="auto"/>
              </w:rPr>
              <w:t>January 30,</w:t>
            </w:r>
          </w:p>
        </w:tc>
        <w:tc>
          <w:tcPr>
            <w:tcW w:w="0" w:type="dxa"/>
            <w:vAlign w:val="bottom"/>
          </w:tcPr>
          <w:p>
            <w:pPr>
              <w:spacing w:after="0"/>
              <w:rPr>
                <w:sz w:val="1"/>
                <w:szCs w:val="1"/>
                <w:color w:val="auto"/>
              </w:rPr>
            </w:pPr>
          </w:p>
        </w:tc>
      </w:tr>
      <w:tr>
        <w:trPr>
          <w:trHeight w:val="176"/>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(53 weeks)</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 weeks)</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Net periodic pension cost:</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Service cost</w:t>
            </w:r>
          </w:p>
        </w:tc>
        <w:tc>
          <w:tcPr>
            <w:tcW w:w="1240" w:type="dxa"/>
            <w:vAlign w:val="bottom"/>
            <w:gridSpan w:val="2"/>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$ 46,845</w:t>
            </w:r>
          </w:p>
        </w:tc>
        <w:tc>
          <w:tcPr>
            <w:tcW w:w="14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$ 45,440</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50,080</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$ 1,888</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1,835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55,301</w:t>
            </w:r>
          </w:p>
        </w:tc>
        <w:tc>
          <w:tcPr>
            <w:tcW w:w="14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56,094</w:t>
            </w:r>
          </w:p>
        </w:tc>
        <w:tc>
          <w:tcPr>
            <w:tcW w:w="240" w:type="dxa"/>
            <w:vAlign w:val="bottom"/>
          </w:tcPr>
          <w:p>
            <w:pPr>
              <w:spacing w:after="0"/>
              <w:rPr>
                <w:sz w:val="17"/>
                <w:szCs w:val="17"/>
                <w:color w:val="auto"/>
              </w:rPr>
            </w:pPr>
          </w:p>
        </w:tc>
        <w:tc>
          <w:tcPr>
            <w:tcW w:w="8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51,710</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3,316</w:t>
            </w:r>
          </w:p>
        </w:tc>
        <w:tc>
          <w:tcPr>
            <w:tcW w:w="500" w:type="dxa"/>
            <w:vAlign w:val="bottom"/>
          </w:tcPr>
          <w:p>
            <w:pPr>
              <w:spacing w:after="0"/>
              <w:rPr>
                <w:sz w:val="17"/>
                <w:szCs w:val="17"/>
                <w:color w:val="auto"/>
              </w:rPr>
            </w:pPr>
          </w:p>
        </w:tc>
        <w:tc>
          <w:tcPr>
            <w:tcW w:w="7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3,391</w:t>
            </w:r>
          </w:p>
        </w:tc>
        <w:tc>
          <w:tcPr>
            <w:tcW w:w="3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w w:val="95"/>
              </w:rPr>
              <w:t>(69,345)</w:t>
            </w:r>
          </w:p>
        </w:tc>
        <w:tc>
          <w:tcPr>
            <w:tcW w:w="146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(70,535)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w w:val="95"/>
              </w:rPr>
              <w:t>(78,042)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prior service cost</w:t>
            </w:r>
          </w:p>
        </w:tc>
        <w:tc>
          <w:tcPr>
            <w:tcW w:w="48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377</w:t>
            </w:r>
          </w:p>
        </w:tc>
        <w:tc>
          <w:tcPr>
            <w:tcW w:w="14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377</w:t>
            </w:r>
          </w:p>
        </w:tc>
        <w:tc>
          <w:tcPr>
            <w:tcW w:w="240" w:type="dxa"/>
            <w:vAlign w:val="bottom"/>
          </w:tcPr>
          <w:p>
            <w:pPr>
              <w:spacing w:after="0"/>
              <w:rPr>
                <w:sz w:val="17"/>
                <w:szCs w:val="17"/>
                <w:color w:val="auto"/>
              </w:rPr>
            </w:pPr>
          </w:p>
        </w:tc>
        <w:tc>
          <w:tcPr>
            <w:tcW w:w="8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377</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7"/>
                <w:szCs w:val="17"/>
                <w:color w:val="auto"/>
              </w:rPr>
            </w:pPr>
          </w:p>
        </w:tc>
        <w:tc>
          <w:tcPr>
            <w:tcW w:w="7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net actuarial loss</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21,557</w:t>
            </w:r>
          </w:p>
        </w:tc>
        <w:tc>
          <w:tcPr>
            <w:tcW w:w="14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31,397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33,146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2,852</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3,349</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Settlement charge</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31,173</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expense</w:t>
            </w:r>
          </w:p>
        </w:tc>
        <w:tc>
          <w:tcPr>
            <w:tcW w:w="1240" w:type="dxa"/>
            <w:vAlign w:val="bottom"/>
            <w:tcBorders>
              <w:bottom w:val="single" w:sz="8" w:color="auto"/>
            </w:tcBorders>
            <w:gridSpan w:val="2"/>
            <w:shd w:val="clear" w:color="auto" w:fill="CCEEFF"/>
          </w:tcPr>
          <w:p>
            <w:pPr>
              <w:jc w:val="right"/>
              <w:ind w:right="74"/>
              <w:spacing w:after="0" w:line="196" w:lineRule="exact"/>
              <w:rPr>
                <w:sz w:val="20"/>
                <w:szCs w:val="20"/>
                <w:color w:val="auto"/>
              </w:rPr>
            </w:pPr>
            <w:r>
              <w:rPr>
                <w:rFonts w:ascii="Arial" w:cs="Arial" w:eastAsia="Arial" w:hAnsi="Arial"/>
                <w:sz w:val="18"/>
                <w:szCs w:val="18"/>
                <w:b w:val="1"/>
                <w:bCs w:val="1"/>
                <w:color w:val="auto"/>
              </w:rPr>
              <w:t>$ 54,735</w:t>
            </w:r>
          </w:p>
        </w:tc>
        <w:tc>
          <w:tcPr>
            <w:tcW w:w="146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$ 93,946</w:t>
            </w:r>
          </w:p>
        </w:tc>
        <w:tc>
          <w:tcPr>
            <w:tcW w:w="2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57,271</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$ 8,056</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8,575</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199"/>
        </w:trPr>
        <w:tc>
          <w:tcPr>
            <w:tcW w:w="4500" w:type="dxa"/>
            <w:vAlign w:val="bottom"/>
          </w:tcPr>
          <w:p>
            <w:pPr>
              <w:spacing w:after="0" w:line="200" w:lineRule="exact"/>
              <w:rPr>
                <w:sz w:val="20"/>
                <w:szCs w:val="20"/>
                <w:color w:val="auto"/>
              </w:rPr>
            </w:pPr>
            <w:r>
              <w:rPr>
                <w:rFonts w:ascii="Arial" w:cs="Arial" w:eastAsia="Arial" w:hAnsi="Arial"/>
                <w:sz w:val="18"/>
                <w:szCs w:val="18"/>
                <w:color w:val="auto"/>
              </w:rPr>
              <w:t>Other changes in plan assets and benefit obligations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Pr>
          <w:p>
            <w:pPr>
              <w:ind w:left="220"/>
              <w:spacing w:after="0" w:line="200" w:lineRule="exact"/>
              <w:rPr>
                <w:sz w:val="20"/>
                <w:szCs w:val="20"/>
                <w:color w:val="auto"/>
              </w:rPr>
            </w:pPr>
            <w:r>
              <w:rPr>
                <w:rFonts w:ascii="Arial" w:cs="Arial" w:eastAsia="Arial" w:hAnsi="Arial"/>
                <w:sz w:val="18"/>
                <w:szCs w:val="18"/>
                <w:color w:val="auto"/>
              </w:rPr>
              <w:t>recognized in other comprehensive income:</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(gain) loss</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w w:val="95"/>
              </w:rPr>
              <w:t>(38,293)</w:t>
            </w:r>
          </w:p>
        </w:tc>
        <w:tc>
          <w:tcPr>
            <w:tcW w:w="14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$ 17,894</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w w:val="95"/>
              </w:rPr>
              <w:t>(19,731)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$ 4,580</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740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net (loss)</w:t>
            </w:r>
          </w:p>
        </w:tc>
        <w:tc>
          <w:tcPr>
            <w:tcW w:w="48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w w:val="95"/>
              </w:rPr>
              <w:t>(21,557)</w:t>
            </w:r>
          </w:p>
        </w:tc>
        <w:tc>
          <w:tcPr>
            <w:tcW w:w="14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(31,397)</w:t>
            </w:r>
          </w:p>
        </w:tc>
        <w:tc>
          <w:tcPr>
            <w:tcW w:w="240" w:type="dxa"/>
            <w:vAlign w:val="bottom"/>
          </w:tcPr>
          <w:p>
            <w:pPr>
              <w:spacing w:after="0"/>
              <w:rPr>
                <w:sz w:val="17"/>
                <w:szCs w:val="17"/>
                <w:color w:val="auto"/>
              </w:rPr>
            </w:pPr>
          </w:p>
        </w:tc>
        <w:tc>
          <w:tcPr>
            <w:tcW w:w="820" w:type="dxa"/>
            <w:vAlign w:val="bottom"/>
          </w:tcPr>
          <w:p>
            <w:pPr>
              <w:jc w:val="right"/>
              <w:ind w:right="73"/>
              <w:spacing w:after="0" w:line="202" w:lineRule="exact"/>
              <w:rPr>
                <w:sz w:val="20"/>
                <w:szCs w:val="20"/>
                <w:color w:val="auto"/>
              </w:rPr>
            </w:pPr>
            <w:r>
              <w:rPr>
                <w:rFonts w:ascii="Arial" w:cs="Arial" w:eastAsia="Arial" w:hAnsi="Arial"/>
                <w:sz w:val="18"/>
                <w:szCs w:val="18"/>
                <w:color w:val="auto"/>
                <w:w w:val="95"/>
              </w:rPr>
              <w:t>(33,146)</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(2,852)</w:t>
            </w:r>
          </w:p>
        </w:tc>
        <w:tc>
          <w:tcPr>
            <w:tcW w:w="1200" w:type="dxa"/>
            <w:vAlign w:val="bottom"/>
            <w:gridSpan w:val="2"/>
          </w:tcPr>
          <w:p>
            <w:pPr>
              <w:jc w:val="right"/>
              <w:ind w:right="74"/>
              <w:spacing w:after="0" w:line="202" w:lineRule="exact"/>
              <w:rPr>
                <w:sz w:val="20"/>
                <w:szCs w:val="20"/>
                <w:color w:val="auto"/>
              </w:rPr>
            </w:pPr>
            <w:r>
              <w:rPr>
                <w:rFonts w:ascii="Arial" w:cs="Arial" w:eastAsia="Arial" w:hAnsi="Arial"/>
                <w:sz w:val="18"/>
                <w:szCs w:val="18"/>
                <w:color w:val="auto"/>
              </w:rPr>
              <w:t>(3,349)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Settlement charge</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(31,173)</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Amortization of prior service cost</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b w:val="1"/>
                <w:bCs w:val="1"/>
                <w:color w:val="auto"/>
              </w:rPr>
              <w:t>(377)</w:t>
            </w:r>
          </w:p>
        </w:tc>
        <w:tc>
          <w:tcPr>
            <w:tcW w:w="146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(377)</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(377)</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recognized in other comprehensive income (loss)</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w w:val="95"/>
              </w:rPr>
              <w:t>(60,227)</w:t>
            </w:r>
          </w:p>
        </w:tc>
        <w:tc>
          <w:tcPr>
            <w:tcW w:w="146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$(45,053)</w:t>
            </w:r>
          </w:p>
        </w:tc>
        <w:tc>
          <w:tcPr>
            <w:tcW w:w="2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w w:val="95"/>
              </w:rPr>
              <w:t>(53,254)</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$ 1,728</w:t>
            </w:r>
          </w:p>
        </w:tc>
        <w:tc>
          <w:tcPr>
            <w:tcW w:w="1200" w:type="dxa"/>
            <w:vAlign w:val="bottom"/>
            <w:tcBorders>
              <w:bottom w:val="single" w:sz="8" w:color="auto"/>
            </w:tcBorders>
            <w:gridSpan w:val="2"/>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$(2,609)</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9"/>
        </w:trPr>
        <w:tc>
          <w:tcPr>
            <w:tcW w:w="4500" w:type="dxa"/>
            <w:vAlign w:val="bottom"/>
          </w:tcPr>
          <w:p>
            <w:pPr>
              <w:spacing w:after="0" w:line="200" w:lineRule="exact"/>
              <w:rPr>
                <w:sz w:val="20"/>
                <w:szCs w:val="20"/>
                <w:color w:val="auto"/>
              </w:rPr>
            </w:pPr>
            <w:r>
              <w:rPr>
                <w:rFonts w:ascii="Arial" w:cs="Arial" w:eastAsia="Arial" w:hAnsi="Arial"/>
                <w:sz w:val="18"/>
                <w:szCs w:val="18"/>
                <w:color w:val="auto"/>
              </w:rPr>
              <w:t>Total recognized in net periodic benefit cost and other</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(5,492)</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$ 9,784</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comprehensive income (loss)</w:t>
            </w:r>
          </w:p>
        </w:tc>
        <w:tc>
          <w:tcPr>
            <w:tcW w:w="48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$ 48,893</w:t>
            </w:r>
          </w:p>
        </w:tc>
        <w:tc>
          <w:tcPr>
            <w:tcW w:w="240" w:type="dxa"/>
            <w:vAlign w:val="bottom"/>
            <w:tcBorders>
              <w:bottom w:val="single" w:sz="8" w:color="auto"/>
            </w:tcBorders>
          </w:tcPr>
          <w:p>
            <w:pPr>
              <w:ind w:left="120"/>
              <w:spacing w:after="0" w:line="200"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3"/>
              <w:spacing w:after="0" w:line="200" w:lineRule="exact"/>
              <w:rPr>
                <w:sz w:val="20"/>
                <w:szCs w:val="20"/>
                <w:color w:val="auto"/>
              </w:rPr>
            </w:pPr>
            <w:r>
              <w:rPr>
                <w:rFonts w:ascii="Arial" w:cs="Arial" w:eastAsia="Arial" w:hAnsi="Arial"/>
                <w:sz w:val="18"/>
                <w:szCs w:val="18"/>
                <w:color w:val="auto"/>
              </w:rPr>
              <w:t>4,017</w:t>
            </w:r>
          </w:p>
        </w:tc>
        <w:tc>
          <w:tcPr>
            <w:tcW w:w="10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4"/>
              <w:spacing w:after="0" w:line="200" w:lineRule="exact"/>
              <w:rPr>
                <w:sz w:val="20"/>
                <w:szCs w:val="20"/>
                <w:color w:val="auto"/>
              </w:rPr>
            </w:pPr>
            <w:r>
              <w:rPr>
                <w:rFonts w:ascii="Arial" w:cs="Arial" w:eastAsia="Arial" w:hAnsi="Arial"/>
                <w:sz w:val="18"/>
                <w:szCs w:val="18"/>
                <w:color w:val="auto"/>
              </w:rPr>
              <w:t>5,966</w:t>
            </w: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for expense purposes:</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Discount rate</w:t>
            </w:r>
          </w:p>
        </w:tc>
        <w:tc>
          <w:tcPr>
            <w:tcW w:w="48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4.40%</w:t>
            </w:r>
          </w:p>
        </w:tc>
        <w:tc>
          <w:tcPr>
            <w:tcW w:w="14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4.80%/3.80%</w:t>
            </w:r>
          </w:p>
        </w:tc>
        <w:tc>
          <w:tcPr>
            <w:tcW w:w="240" w:type="dxa"/>
            <w:vAlign w:val="bottom"/>
          </w:tcPr>
          <w:p>
            <w:pPr>
              <w:spacing w:after="0"/>
              <w:rPr>
                <w:sz w:val="17"/>
                <w:szCs w:val="17"/>
                <w:color w:val="auto"/>
              </w:rPr>
            </w:pPr>
          </w:p>
        </w:tc>
        <w:tc>
          <w:tcPr>
            <w:tcW w:w="82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4.00%</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4.00%</w:t>
            </w:r>
          </w:p>
        </w:tc>
        <w:tc>
          <w:tcPr>
            <w:tcW w:w="1200" w:type="dxa"/>
            <w:vAlign w:val="bottom"/>
            <w:gridSpan w:val="2"/>
          </w:tcPr>
          <w:p>
            <w:pPr>
              <w:jc w:val="right"/>
              <w:ind w:right="134"/>
              <w:spacing w:after="0" w:line="202" w:lineRule="exact"/>
              <w:rPr>
                <w:sz w:val="20"/>
                <w:szCs w:val="20"/>
                <w:color w:val="auto"/>
              </w:rPr>
            </w:pPr>
            <w:r>
              <w:rPr>
                <w:rFonts w:ascii="Arial" w:cs="Arial" w:eastAsia="Arial" w:hAnsi="Arial"/>
                <w:sz w:val="18"/>
                <w:szCs w:val="18"/>
                <w:color w:val="auto"/>
              </w:rPr>
              <w:t>4.20%</w:t>
            </w:r>
          </w:p>
        </w:tc>
        <w:tc>
          <w:tcPr>
            <w:tcW w:w="920" w:type="dxa"/>
            <w:vAlign w:val="bottom"/>
            <w:gridSpan w:val="2"/>
          </w:tcPr>
          <w:p>
            <w:pPr>
              <w:jc w:val="right"/>
              <w:ind w:right="14"/>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Expected rate of return on plan assets</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6.00%</w:t>
            </w:r>
          </w:p>
        </w:tc>
        <w:tc>
          <w:tcPr>
            <w:tcW w:w="146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6.50%/6.00%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6.75%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N/A</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50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Rate of compensation increase</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4.00%</w:t>
            </w:r>
          </w:p>
        </w:tc>
        <w:tc>
          <w:tcPr>
            <w:tcW w:w="146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4.00%</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4.00%</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6.00%</w:t>
            </w:r>
          </w:p>
        </w:tc>
        <w:tc>
          <w:tcPr>
            <w:tcW w:w="1200" w:type="dxa"/>
            <w:vAlign w:val="bottom"/>
            <w:tcBorders>
              <w:bottom w:val="single" w:sz="8" w:color="auto"/>
            </w:tcBorders>
            <w:gridSpan w:val="2"/>
          </w:tcPr>
          <w:p>
            <w:pPr>
              <w:jc w:val="right"/>
              <w:ind w:right="134"/>
              <w:spacing w:after="0" w:line="202" w:lineRule="exact"/>
              <w:rPr>
                <w:sz w:val="20"/>
                <w:szCs w:val="20"/>
                <w:color w:val="auto"/>
              </w:rPr>
            </w:pPr>
            <w:r>
              <w:rPr>
                <w:rFonts w:ascii="Arial" w:cs="Arial" w:eastAsia="Arial" w:hAnsi="Arial"/>
                <w:sz w:val="18"/>
                <w:szCs w:val="18"/>
                <w:color w:val="auto"/>
              </w:rPr>
              <w:t>6.00%</w:t>
            </w:r>
          </w:p>
        </w:tc>
        <w:tc>
          <w:tcPr>
            <w:tcW w:w="920" w:type="dxa"/>
            <w:vAlign w:val="bottom"/>
            <w:tcBorders>
              <w:bottom w:val="single" w:sz="8" w:color="auto"/>
            </w:tcBorders>
            <w:gridSpan w:val="2"/>
          </w:tcPr>
          <w:p>
            <w:pPr>
              <w:jc w:val="right"/>
              <w:ind w:right="14"/>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third quarter of fiscal 2017, TJX offered eligible former TJX Associates, who had not yet commenced receiving their pension</w:t>
      </w:r>
    </w:p>
    <w:p>
      <w:pPr>
        <w:spacing w:after="0" w:line="234" w:lineRule="auto"/>
        <w:rPr>
          <w:sz w:val="20"/>
          <w:szCs w:val="20"/>
          <w:color w:val="auto"/>
        </w:rPr>
      </w:pPr>
      <w:r>
        <w:rPr>
          <w:rFonts w:ascii="Arial" w:cs="Arial" w:eastAsia="Arial" w:hAnsi="Arial"/>
          <w:sz w:val="18"/>
          <w:szCs w:val="18"/>
          <w:color w:val="auto"/>
        </w:rPr>
        <w:t>benefit, an opportunity to receive a lump sum payout of their vested pension benefit. On October 21, 2016, the Company’s pension plan paid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$103.2 million from pension plan assets to those who accepted this offer, thereby reducing its pension benefit obligations. The transaction had no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impact on TJX but did result in a non-cash pre-tax pension settlement charge of $31.2 million, which is reported separately on the</w:t>
      </w:r>
    </w:p>
    <w:p>
      <w:pPr>
        <w:spacing w:after="0" w:line="234" w:lineRule="auto"/>
        <w:rPr>
          <w:sz w:val="20"/>
          <w:szCs w:val="20"/>
          <w:color w:val="auto"/>
        </w:rPr>
      </w:pPr>
      <w:r>
        <w:rPr>
          <w:rFonts w:ascii="Arial" w:cs="Arial" w:eastAsia="Arial" w:hAnsi="Arial"/>
          <w:sz w:val="18"/>
          <w:szCs w:val="18"/>
          <w:color w:val="auto"/>
        </w:rPr>
        <w:t>Consolidated Statements of Income. As a result of the lump sum payout the Company re-measured the funded status of its pension plan as of</w:t>
      </w:r>
    </w:p>
    <w:p>
      <w:pPr>
        <w:spacing w:after="0" w:line="235" w:lineRule="auto"/>
        <w:rPr>
          <w:sz w:val="20"/>
          <w:szCs w:val="20"/>
          <w:color w:val="auto"/>
        </w:rPr>
      </w:pPr>
      <w:r>
        <w:rPr>
          <w:rFonts w:ascii="Arial" w:cs="Arial" w:eastAsia="Arial" w:hAnsi="Arial"/>
          <w:sz w:val="18"/>
          <w:szCs w:val="18"/>
          <w:color w:val="auto"/>
        </w:rPr>
        <w:t>September 30, 2016. The assumptions for pension expense presented above includes a discount rate of 4.80% through the measurement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3.80% thereafter. The expected rate of return on plan assets is 6.50% through the measurement date and 6.00% thereafter.</w:t>
      </w:r>
    </w:p>
    <w:p>
      <w:pPr>
        <w:spacing w:after="0" w:line="77" w:lineRule="exact"/>
        <w:rPr>
          <w:sz w:val="20"/>
          <w:szCs w:val="20"/>
          <w:color w:val="auto"/>
        </w:rPr>
      </w:pPr>
    </w:p>
    <w:p>
      <w:pPr>
        <w:jc w:val="both"/>
        <w:ind w:right="80" w:firstLine="342"/>
        <w:spacing w:after="0" w:line="238" w:lineRule="auto"/>
        <w:rPr>
          <w:sz w:val="20"/>
          <w:szCs w:val="20"/>
          <w:color w:val="auto"/>
        </w:rPr>
      </w:pPr>
      <w:r>
        <w:rPr>
          <w:rFonts w:ascii="Arial" w:cs="Arial" w:eastAsia="Arial" w:hAnsi="Arial"/>
          <w:sz w:val="18"/>
          <w:szCs w:val="18"/>
          <w:color w:val="auto"/>
        </w:rPr>
        <w:t>The rate of compensation increase presented for the unfunded plan (for measurement purposes and expense purposes) is the rate assumed for participants eligible for the primary benefit. The assumed rate of compensation increase for participants eligible for the alternative benefit under the unfunded plan is the same rate as assumed for the funded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291" w:right="239" w:bottom="1440" w:gutter="0" w:footer="0" w:header="0"/>
        </w:sectPr>
      </w:pPr>
    </w:p>
    <w:bookmarkStart w:id="76" w:name="page77"/>
    <w:bookmarkEnd w:id="76"/>
    <w:p>
      <w:pPr>
        <w:ind w:right="120" w:firstLine="342"/>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TJX develops its long-term rate of return assumption by evaluating input from professional advisors taking into account the asset allocation of the portfolio and long-term asset class return expectations, as well as long-term inflation assumptions.</w:t>
      </w:r>
    </w:p>
    <w:p>
      <w:pPr>
        <w:spacing w:after="0" w:line="74"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The unrecognized gains and losses in excess of 10% of the projected benefit obligation are amortized over the average remaining service life of participants.</w:t>
      </w:r>
    </w:p>
    <w:p>
      <w:pPr>
        <w:spacing w:after="0" w:line="74"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The following is a schedule of the benefits expected to be paid in each of the next five fiscal years and in the aggregate for the five fiscal years thereafter:</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jc w:val="right"/>
              <w:ind w:right="1115"/>
              <w:spacing w:after="0"/>
              <w:rPr>
                <w:sz w:val="20"/>
                <w:szCs w:val="20"/>
                <w:color w:val="auto"/>
              </w:rPr>
            </w:pPr>
            <w:r>
              <w:rPr>
                <w:rFonts w:ascii="Arial" w:cs="Arial" w:eastAsia="Arial" w:hAnsi="Arial"/>
                <w:sz w:val="14"/>
                <w:szCs w:val="14"/>
                <w:color w:val="auto"/>
              </w:rPr>
              <w:t>Funded Plan</w:t>
            </w:r>
          </w:p>
        </w:tc>
        <w:tc>
          <w:tcPr>
            <w:tcW w:w="10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color w:val="auto"/>
              </w:rPr>
              <w:t>Unfunded Plan</w:t>
            </w:r>
          </w:p>
        </w:tc>
      </w:tr>
      <w:tr>
        <w:trPr>
          <w:trHeight w:val="163"/>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940" w:type="dxa"/>
            <w:vAlign w:val="bottom"/>
            <w:tcBorders>
              <w:bottom w:val="single" w:sz="8" w:color="auto"/>
            </w:tcBorders>
            <w:gridSpan w:val="2"/>
          </w:tcPr>
          <w:p>
            <w:pPr>
              <w:ind w:left="2520"/>
              <w:spacing w:after="0"/>
              <w:rPr>
                <w:sz w:val="20"/>
                <w:szCs w:val="20"/>
                <w:color w:val="auto"/>
              </w:rPr>
            </w:pPr>
            <w:r>
              <w:rPr>
                <w:rFonts w:ascii="Arial" w:cs="Arial" w:eastAsia="Arial" w:hAnsi="Arial"/>
                <w:sz w:val="14"/>
                <w:szCs w:val="14"/>
                <w:color w:val="auto"/>
              </w:rPr>
              <w:t>Expected Benefit Payments</w:t>
            </w:r>
          </w:p>
        </w:tc>
        <w:tc>
          <w:tcPr>
            <w:tcW w:w="24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98"/>
              </w:rPr>
              <w:t>Expected Benefit Payments</w:t>
            </w: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Year</w:t>
            </w:r>
          </w:p>
        </w:tc>
        <w:tc>
          <w:tcPr>
            <w:tcW w:w="28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2800" w:type="dxa"/>
            <w:vAlign w:val="bottom"/>
          </w:tcPr>
          <w:p>
            <w:pPr>
              <w:ind w:left="252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40,133</w:t>
            </w:r>
          </w:p>
        </w:tc>
        <w:tc>
          <w:tcPr>
            <w:tcW w:w="100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80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43,782</w:t>
            </w:r>
          </w:p>
        </w:tc>
        <w:tc>
          <w:tcPr>
            <w:tcW w:w="10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42,591</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800" w:type="dxa"/>
            <w:vAlign w:val="bottom"/>
          </w:tcPr>
          <w:p>
            <w:pPr>
              <w:spacing w:after="0"/>
              <w:rPr>
                <w:sz w:val="17"/>
                <w:szCs w:val="17"/>
                <w:color w:val="auto"/>
              </w:rPr>
            </w:pPr>
          </w:p>
        </w:tc>
        <w:tc>
          <w:tcPr>
            <w:tcW w:w="21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47,693</w:t>
            </w:r>
          </w:p>
        </w:tc>
        <w:tc>
          <w:tcPr>
            <w:tcW w:w="10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3,517</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800" w:type="dxa"/>
            <w:vAlign w:val="bottom"/>
            <w:shd w:val="clear" w:color="auto" w:fill="CCEEFF"/>
          </w:tcPr>
          <w:p>
            <w:pPr>
              <w:spacing w:after="0"/>
              <w:rPr>
                <w:sz w:val="17"/>
                <w:szCs w:val="17"/>
                <w:color w:val="auto"/>
              </w:rPr>
            </w:pPr>
          </w:p>
        </w:tc>
        <w:tc>
          <w:tcPr>
            <w:tcW w:w="2140" w:type="dxa"/>
            <w:vAlign w:val="bottom"/>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52,158</w:t>
            </w:r>
          </w:p>
        </w:tc>
        <w:tc>
          <w:tcPr>
            <w:tcW w:w="10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4,503</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800" w:type="dxa"/>
            <w:vAlign w:val="bottom"/>
          </w:tcPr>
          <w:p>
            <w:pPr>
              <w:spacing w:after="0"/>
              <w:rPr>
                <w:sz w:val="17"/>
                <w:szCs w:val="17"/>
                <w:color w:val="auto"/>
              </w:rPr>
            </w:pPr>
          </w:p>
        </w:tc>
        <w:tc>
          <w:tcPr>
            <w:tcW w:w="21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56,718</w:t>
            </w:r>
          </w:p>
        </w:tc>
        <w:tc>
          <w:tcPr>
            <w:tcW w:w="10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4,972</w:t>
            </w:r>
          </w:p>
        </w:tc>
      </w:tr>
      <w:tr>
        <w:trPr>
          <w:trHeight w:val="203"/>
        </w:trPr>
        <w:tc>
          <w:tcPr>
            <w:tcW w:w="4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2024 through 2028</w:t>
            </w:r>
          </w:p>
        </w:tc>
        <w:tc>
          <w:tcPr>
            <w:tcW w:w="280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675"/>
              <w:spacing w:after="0" w:line="202" w:lineRule="exact"/>
              <w:rPr>
                <w:sz w:val="20"/>
                <w:szCs w:val="20"/>
                <w:color w:val="auto"/>
              </w:rPr>
            </w:pPr>
            <w:r>
              <w:rPr>
                <w:rFonts w:ascii="Arial" w:cs="Arial" w:eastAsia="Arial" w:hAnsi="Arial"/>
                <w:sz w:val="18"/>
                <w:szCs w:val="18"/>
                <w:color w:val="auto"/>
              </w:rPr>
              <w:t>352,753</w:t>
            </w:r>
          </w:p>
        </w:tc>
        <w:tc>
          <w:tcPr>
            <w:tcW w:w="10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27,953</w:t>
            </w:r>
          </w:p>
        </w:tc>
      </w:tr>
    </w:tbl>
    <w:p>
      <w:pPr>
        <w:spacing w:after="0" w:line="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fair value hierarchy (See Note F – Fair Value Measurements of 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pension assets measured at fair value on a recurring basis as of February 3, 2018 and January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2980" w:type="dxa"/>
            <w:vAlign w:val="bottom"/>
            <w:gridSpan w:val="7"/>
          </w:tcPr>
          <w:p>
            <w:pPr>
              <w:ind w:left="460"/>
              <w:spacing w:after="0"/>
              <w:rPr>
                <w:sz w:val="20"/>
                <w:szCs w:val="20"/>
                <w:color w:val="auto"/>
              </w:rPr>
            </w:pPr>
            <w:r>
              <w:rPr>
                <w:rFonts w:ascii="Arial" w:cs="Arial" w:eastAsia="Arial" w:hAnsi="Arial"/>
                <w:sz w:val="14"/>
                <w:szCs w:val="14"/>
                <w:color w:val="auto"/>
              </w:rPr>
              <w:t>Funded Plan at February 3, 2018</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Level 1</w:t>
            </w: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Total</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category: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$109,183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279,635</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and government bond funds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5"/>
              </w:rPr>
              <w:t>420,117</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420,117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Futures Contracts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337</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337</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$388,818</w:t>
            </w:r>
          </w:p>
        </w:tc>
        <w:tc>
          <w:tcPr>
            <w:tcW w:w="1040" w:type="dxa"/>
            <w:vAlign w:val="bottom"/>
            <w:tcBorders>
              <w:bottom w:val="single" w:sz="8" w:color="auto"/>
            </w:tcBorders>
            <w:gridSpan w:val="2"/>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$420,454</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809,272</w:t>
            </w: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Assets measured at net asset value*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608,259</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assets</w:t>
            </w: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$388,818</w:t>
            </w:r>
          </w:p>
        </w:tc>
        <w:tc>
          <w:tcPr>
            <w:tcW w:w="1040" w:type="dxa"/>
            <w:vAlign w:val="bottom"/>
            <w:tcBorders>
              <w:bottom w:val="single" w:sz="8" w:color="auto"/>
            </w:tcBorders>
            <w:gridSpan w:val="2"/>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$420,454</w:t>
            </w:r>
          </w:p>
        </w:tc>
        <w:tc>
          <w:tcPr>
            <w:tcW w:w="10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$1,417,531</w:t>
            </w: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8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gridSpan w:val="7"/>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0"/>
                <w:szCs w:val="20"/>
                <w:color w:val="auto"/>
              </w:rPr>
            </w:pPr>
          </w:p>
        </w:tc>
        <w:tc>
          <w:tcPr>
            <w:tcW w:w="2980" w:type="dxa"/>
            <w:vAlign w:val="bottom"/>
            <w:gridSpan w:val="7"/>
          </w:tcPr>
          <w:p>
            <w:pPr>
              <w:ind w:left="360"/>
              <w:spacing w:after="0"/>
              <w:rPr>
                <w:sz w:val="20"/>
                <w:szCs w:val="20"/>
                <w:color w:val="auto"/>
              </w:rPr>
            </w:pPr>
            <w:r>
              <w:rPr>
                <w:rFonts w:ascii="Arial" w:cs="Arial" w:eastAsia="Arial" w:hAnsi="Arial"/>
                <w:sz w:val="14"/>
                <w:szCs w:val="14"/>
                <w:color w:val="auto"/>
              </w:rPr>
              <w:t>Funded Plan at January 28, 2017</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auto"/>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Level 1</w:t>
            </w: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category: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$ 63,704</w:t>
            </w:r>
          </w:p>
        </w:tc>
        <w:tc>
          <w:tcPr>
            <w:tcW w:w="3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63,704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208,451</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208,451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and government bond funds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386,777</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386,777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Futures Contracts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(31)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 in the fair value hierarchy</w:t>
            </w:r>
          </w:p>
        </w:tc>
        <w:tc>
          <w:tcPr>
            <w:tcW w:w="94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5"/>
              </w:rPr>
              <w:t>$272,155</w:t>
            </w:r>
          </w:p>
        </w:tc>
        <w:tc>
          <w:tcPr>
            <w:tcW w:w="1040" w:type="dxa"/>
            <w:vAlign w:val="bottom"/>
            <w:tcBorders>
              <w:bottom w:val="single" w:sz="8" w:color="auto"/>
            </w:tcBorders>
            <w:gridSpan w:val="2"/>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$386,746</w:t>
            </w:r>
          </w:p>
        </w:tc>
        <w:tc>
          <w:tcPr>
            <w:tcW w:w="32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658,901</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Assets measured at net asset value*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518,059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assets</w:t>
            </w:r>
          </w:p>
        </w:tc>
        <w:tc>
          <w:tcPr>
            <w:tcW w:w="94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5"/>
              </w:rPr>
              <w:t>$272,155</w:t>
            </w:r>
          </w:p>
        </w:tc>
        <w:tc>
          <w:tcPr>
            <w:tcW w:w="1040" w:type="dxa"/>
            <w:vAlign w:val="bottom"/>
            <w:tcBorders>
              <w:bottom w:val="single" w:sz="8" w:color="auto"/>
            </w:tcBorders>
            <w:gridSpan w:val="2"/>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$386,746</w:t>
            </w:r>
          </w:p>
        </w:tc>
        <w:tc>
          <w:tcPr>
            <w:tcW w:w="10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$ 1,176,960</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right="20" w:hanging="212"/>
        <w:spacing w:after="0" w:line="238"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using net asset value per share (or its equivalent) as a practical expedient have not been classified in the fair value hierarchy. The fair value amounts presented in this table are intended to permit reconciliation of the fair value hierarchy to the fair value of assets presented above.</w:t>
      </w:r>
    </w:p>
    <w:p>
      <w:pPr>
        <w:spacing w:after="0" w:line="73"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Pension plan assets are reported at fair value. Investments in equity securities traded on a national securities exchange are valued at the composite close price, as reported in the Wall Street Journal, as of the financial statement date. This information is provided by the independent pricing sources.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91" w:right="239" w:bottom="1440" w:gutter="0" w:footer="0" w:header="0"/>
        </w:sectPr>
      </w:pPr>
    </w:p>
    <w:bookmarkStart w:id="77" w:name="page78"/>
    <w:bookmarkEnd w:id="77"/>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Short-term investments are primarily cash related to funding of the plan which had yet to be invested as of balance sheet dates.</w:t>
      </w:r>
    </w:p>
    <w:p>
      <w:pPr>
        <w:spacing w:after="0" w:line="77"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Certain corporate and government bonds are valued at the closing price reported in the active market in which the bond is traded. Other bonds are valued based on yields currently available on comparable securities of issuers with similar credit ratings. When quoted prices are not available for identical or similar bonds, the bond is valued under a discounted cash flow approach that maximizes observable inputs, such as current yields of similar instruments, but includes adjustments for certain risks that may not be observable, such as credit and liquidity risks. All bonds are priced by independent pricing sources.</w:t>
      </w:r>
    </w:p>
    <w:p>
      <w:pPr>
        <w:spacing w:after="0" w:line="76"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Assets measured at net asset value include investments in limited partnerships which are stated at the fair value of the plan’s partnership interest based on information supplied by the partnerships as compared to financial statements of the limited partnership or other fair value information as determined by management. Cash equivalents or short-term investments are stated at cost which approximates fair value, and the fair value of common/collective trusts is determined based on net asset value as reported by their fund managers.</w:t>
      </w:r>
    </w:p>
    <w:p>
      <w:pPr>
        <w:spacing w:after="0" w:line="74" w:lineRule="exact"/>
        <w:rPr>
          <w:sz w:val="20"/>
          <w:szCs w:val="20"/>
          <w:color w:val="auto"/>
        </w:rPr>
      </w:pPr>
    </w:p>
    <w:p>
      <w:pPr>
        <w:ind w:right="660" w:firstLine="342"/>
        <w:spacing w:after="0" w:line="239" w:lineRule="auto"/>
        <w:rPr>
          <w:sz w:val="20"/>
          <w:szCs w:val="20"/>
          <w:color w:val="auto"/>
        </w:rPr>
      </w:pPr>
      <w:r>
        <w:rPr>
          <w:rFonts w:ascii="Arial" w:cs="Arial" w:eastAsia="Arial" w:hAnsi="Arial"/>
          <w:sz w:val="18"/>
          <w:szCs w:val="18"/>
          <w:color w:val="auto"/>
        </w:rPr>
        <w:t>The following is a summary of TJX’s target allocation guidelines for plan assets along with the actual allocation of plan assets as of the valuation date for the fiscal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Actual Allocation for</w:t>
      </w:r>
    </w:p>
    <w:p>
      <w:pPr>
        <w:jc w:val="center"/>
        <w:ind w:left="9120"/>
        <w:spacing w:after="0"/>
        <w:rPr>
          <w:sz w:val="20"/>
          <w:szCs w:val="20"/>
          <w:color w:val="auto"/>
        </w:rPr>
      </w:pPr>
      <w:r>
        <w:rPr>
          <w:rFonts w:ascii="Arial" w:cs="Arial" w:eastAsia="Arial" w:hAnsi="Arial"/>
          <w:sz w:val="14"/>
          <w:szCs w:val="14"/>
          <w:color w:val="auto"/>
        </w:rPr>
        <w:t>Fiscal Year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820" w:type="dxa"/>
            <w:vAlign w:val="bottom"/>
            <w:tcBorders>
              <w:top w:val="single" w:sz="8" w:color="auto"/>
            </w:tcBorders>
          </w:tcPr>
          <w:p>
            <w:pPr>
              <w:jc w:val="right"/>
              <w:ind w:right="300"/>
              <w:spacing w:after="0" w:line="126" w:lineRule="exact"/>
              <w:rPr>
                <w:sz w:val="20"/>
                <w:szCs w:val="20"/>
                <w:color w:val="auto"/>
              </w:rPr>
            </w:pPr>
            <w:r>
              <w:rPr>
                <w:rFonts w:ascii="Arial" w:cs="Arial" w:eastAsia="Arial" w:hAnsi="Arial"/>
                <w:sz w:val="14"/>
                <w:szCs w:val="14"/>
                <w:b w:val="1"/>
                <w:bCs w:val="1"/>
                <w:color w:val="auto"/>
              </w:rPr>
              <w:t>February 3,</w:t>
            </w:r>
          </w:p>
        </w:tc>
        <w:tc>
          <w:tcPr>
            <w:tcW w:w="11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color w:val="auto"/>
              </w:rPr>
              <w:t>January 28,</w:t>
            </w:r>
          </w:p>
        </w:tc>
      </w:tr>
      <w:tr>
        <w:trPr>
          <w:trHeight w:val="165"/>
        </w:trPr>
        <w:tc>
          <w:tcPr>
            <w:tcW w:w="468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Target Allocation</w:t>
            </w:r>
          </w:p>
        </w:tc>
        <w:tc>
          <w:tcPr>
            <w:tcW w:w="1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Return-seeking assets</w:t>
            </w:r>
          </w:p>
        </w:tc>
        <w:tc>
          <w:tcPr>
            <w:tcW w:w="3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820" w:type="dxa"/>
            <w:vAlign w:val="bottom"/>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rPr>
              <w:t>47%</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Liability-hedging assets</w:t>
            </w:r>
          </w:p>
        </w:tc>
        <w:tc>
          <w:tcPr>
            <w:tcW w:w="37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820" w:type="dxa"/>
            <w:vAlign w:val="bottom"/>
          </w:tcPr>
          <w:p>
            <w:pPr>
              <w:jc w:val="right"/>
              <w:ind w:right="300"/>
              <w:spacing w:after="0" w:line="202" w:lineRule="exact"/>
              <w:rPr>
                <w:sz w:val="20"/>
                <w:szCs w:val="20"/>
                <w:color w:val="auto"/>
              </w:rPr>
            </w:pPr>
            <w:r>
              <w:rPr>
                <w:rFonts w:ascii="Arial" w:cs="Arial" w:eastAsia="Arial" w:hAnsi="Arial"/>
                <w:sz w:val="18"/>
                <w:szCs w:val="18"/>
                <w:b w:val="1"/>
                <w:bCs w:val="1"/>
                <w:color w:val="auto"/>
              </w:rPr>
              <w:t>46%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All other – primarily cash</w:t>
            </w:r>
          </w:p>
        </w:tc>
        <w:tc>
          <w:tcPr>
            <w:tcW w:w="3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bl>
    <w:p>
      <w:pPr>
        <w:spacing w:after="0" w:line="84" w:lineRule="exact"/>
        <w:rPr>
          <w:sz w:val="20"/>
          <w:szCs w:val="20"/>
          <w:color w:val="auto"/>
        </w:rPr>
      </w:pPr>
    </w:p>
    <w:p>
      <w:pPr>
        <w:ind w:right="180" w:firstLine="342"/>
        <w:spacing w:after="0" w:line="270" w:lineRule="auto"/>
        <w:rPr>
          <w:sz w:val="20"/>
          <w:szCs w:val="20"/>
          <w:color w:val="auto"/>
        </w:rPr>
      </w:pPr>
      <w:r>
        <w:rPr>
          <w:rFonts w:ascii="Arial" w:cs="Arial" w:eastAsia="Arial" w:hAnsi="Arial"/>
          <w:sz w:val="16"/>
          <w:szCs w:val="16"/>
          <w:color w:val="auto"/>
        </w:rPr>
        <w:t>Under TJX’s investment policy, plan assets are to be invested with the objective of generating investment returns that, in combination with funding contributions, provide adequate assets to meet all current and reasonably anticipated future benefit obligations under the plan. Effective January 1, 2017, the investment policy includes a dynamic asset allocation strategy, whereby, over time, in connection with any improvements in the plan’s funded status, the target allocation of return-seeking assets (generally, equities and other instruments with similar risk profile) may decline and the target allocation of liability-hedging assets (generally, fixed income and other instruments with a similar risk profile) may increase. Risks are sought to be mitigated through asset diversification and the use of multiple investment managers. Investment risk is measured and monitored on an ongoing basis through quarterly investment portfolio reviews, annual liability measurements and periodic asset/liability studies.</w:t>
      </w:r>
    </w:p>
    <w:p>
      <w:pPr>
        <w:spacing w:after="0" w:line="50" w:lineRule="exact"/>
        <w:rPr>
          <w:sz w:val="20"/>
          <w:szCs w:val="20"/>
          <w:color w:val="auto"/>
        </w:rPr>
      </w:pPr>
    </w:p>
    <w:p>
      <w:pPr>
        <w:ind w:right="120" w:firstLine="342"/>
        <w:spacing w:after="0" w:line="268" w:lineRule="auto"/>
        <w:rPr>
          <w:sz w:val="20"/>
          <w:szCs w:val="20"/>
          <w:color w:val="auto"/>
        </w:rPr>
      </w:pPr>
      <w:r>
        <w:rPr>
          <w:rFonts w:ascii="Arial" w:cs="Arial" w:eastAsia="Arial" w:hAnsi="Arial"/>
          <w:sz w:val="16"/>
          <w:szCs w:val="16"/>
          <w:color w:val="auto"/>
        </w:rPr>
        <w:t>TJX also sponsors an employee savings plan under Section 401(k) of the Internal Revenue Code for all eligible U.S. employees and a similar type of plan for eligible employees in Puerto Rico. Assets under the plans totaled $1,787.9 million as of December 31, 2017 and $1,480.9 million as of December 31, 2016, and are invested in a variety of funds. Employees may contribute up to 50% of eligible pay, subject to limitations. TJX matches employee contributions, up to 5% of eligible pay, including a basic match at rates of 25% or 75% (based upon date of hire and other eligibility criteria) plus a discretionary match, generally up to 25%, based on TJX’s performance. TJX may also make additional discretionary contributions. Eligible employees are automatically enrolled in the U.S. plan at a 2% deferral rate, unless the employee elects otherwise. The total cost to TJX for these plans was $54.5 million in fiscal 2018, $45.6 million in fiscal 2017 and $41.9 million in fiscal 2016. The plans include a TJX stock fund in which participants could invest a portion of TJX’s matching contribution. The TJX stock fund was closed to new investments, other than reinvestment of dividends, at the end of calendar 2015 and subsequent to year-end, was eliminated from the plans. The TJX stock fund represented 3.9% of plan assets at December 31, 2017 and 6.2% of plan assets at December 31, 2016.</w:t>
      </w:r>
    </w:p>
    <w:p>
      <w:pPr>
        <w:spacing w:after="0" w:line="258" w:lineRule="exact"/>
        <w:rPr>
          <w:sz w:val="20"/>
          <w:szCs w:val="20"/>
          <w:color w:val="auto"/>
        </w:rPr>
      </w:pPr>
    </w:p>
    <w:p>
      <w:pPr>
        <w:ind w:firstLine="342"/>
        <w:spacing w:after="0" w:line="275" w:lineRule="auto"/>
        <w:rPr>
          <w:sz w:val="20"/>
          <w:szCs w:val="20"/>
          <w:color w:val="auto"/>
        </w:rPr>
      </w:pPr>
      <w:r>
        <w:rPr>
          <w:rFonts w:ascii="Arial" w:cs="Arial" w:eastAsia="Arial" w:hAnsi="Arial"/>
          <w:sz w:val="16"/>
          <w:szCs w:val="16"/>
          <w:color w:val="auto"/>
        </w:rPr>
        <w:t>TJX also has a nonqualified savings plan (the Executive Savings Plan) for certain U.S. employees. TJX matches employee deferrals at various rates which amounted to $6.3 million in fiscal 2018, $5.8 million in fiscal 2017 and $4.5 million in fiscal 2016. Although the plan is unfunded, in order to help meet its future obligations TJX transfers an amount generally equal to employee deferrals and the related company match to a separate “rabbi” trust. The trust assets, which are invested in a variety of mutual funds, are included in other assets on the balance sheets.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91" w:right="239" w:bottom="1440" w:gutter="0" w:footer="0" w:header="0"/>
        </w:sectPr>
      </w:pPr>
    </w:p>
    <w:bookmarkStart w:id="78" w:name="page79"/>
    <w:bookmarkEnd w:id="78"/>
    <w:p>
      <w:pPr>
        <w:ind w:right="140" w:firstLine="342"/>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plans described above, TJX also maintains retirement/deferred savings plans for eligible associates at its foreign subsidiaries. We contributed $12.6 million for these plans in fiscal 2018, $10.2 million for these plans in fiscal 2017 and $9.7 million in fiscal 2016.</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Multiemployer Pension Plans: </w:t>
      </w:r>
      <w:r>
        <w:rPr>
          <w:rFonts w:ascii="Arial" w:cs="Arial" w:eastAsia="Arial" w:hAnsi="Arial"/>
          <w:sz w:val="18"/>
          <w:szCs w:val="18"/>
          <w:color w:val="auto"/>
        </w:rPr>
        <w:t>TJX contributes to certain multiemployer defined benefit pension plans under the terms of collective-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bargaining agreements that cover union-represented employees. TJX contributed $16.3 million in fiscal 2018, $14.5 million in fiscal 2017 and</w:t>
      </w:r>
    </w:p>
    <w:p>
      <w:pPr>
        <w:spacing w:after="0"/>
        <w:rPr>
          <w:sz w:val="20"/>
          <w:szCs w:val="20"/>
          <w:color w:val="auto"/>
        </w:rPr>
      </w:pPr>
      <w:r>
        <w:rPr>
          <w:rFonts w:ascii="Arial" w:cs="Arial" w:eastAsia="Arial" w:hAnsi="Arial"/>
          <w:sz w:val="16"/>
          <w:szCs w:val="16"/>
          <w:color w:val="auto"/>
        </w:rPr>
        <w:t>$13.4 million in fiscal 2016 to the Legacy Plan of the National Retirement Fund (formerly, the National Retirement Fund) (EIN #13-6130178,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#001) and the Adjustable Plan of the National Retirement Fund (EIN #13-6130178, plan #002) and was listed in each plan’s Form 5500 as</w:t>
      </w:r>
    </w:p>
    <w:p>
      <w:pPr>
        <w:spacing w:after="0"/>
        <w:rPr>
          <w:sz w:val="20"/>
          <w:szCs w:val="20"/>
          <w:color w:val="auto"/>
        </w:rPr>
      </w:pPr>
      <w:r>
        <w:rPr>
          <w:rFonts w:ascii="Arial" w:cs="Arial" w:eastAsia="Arial" w:hAnsi="Arial"/>
          <w:sz w:val="16"/>
          <w:szCs w:val="16"/>
          <w:color w:val="auto"/>
        </w:rPr>
        <w:t>providing more than 5% of the total contributions for the plan year ending December 31, 2016. Based on information available to TJX, the Pension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Protection Act Zone Status of the Legacy Plan of the National Retirement Fund is Critical and a rehabilitation plan has been implemented. In</w:t>
      </w:r>
    </w:p>
    <w:p>
      <w:pPr>
        <w:spacing w:after="0" w:line="234" w:lineRule="auto"/>
        <w:rPr>
          <w:sz w:val="20"/>
          <w:szCs w:val="20"/>
          <w:color w:val="auto"/>
        </w:rPr>
      </w:pPr>
      <w:r>
        <w:rPr>
          <w:rFonts w:ascii="Arial" w:cs="Arial" w:eastAsia="Arial" w:hAnsi="Arial"/>
          <w:sz w:val="18"/>
          <w:szCs w:val="18"/>
          <w:color w:val="auto"/>
        </w:rPr>
        <w:t>addition, based on information available to TJX, a portion of the National Retirement Fund that is related to UNITE HERE participants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transferred to a newly established fund at the end of 2017. TJX has not yet determined the effect of any such transfer.</w:t>
      </w:r>
    </w:p>
    <w:p>
      <w:pPr>
        <w:spacing w:after="0" w:line="77"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The risks of participating in multiemployer pension plans are different from the risks of single-employer pension plans in certain respects, including the following: (a) assets contributed to the multiemployer plan by one employer may be used to provide benefits to employees of other participating employers; (b) if a participating employer stops contributing to the plan, the unfunded obligations of the plan may be borne by the remaining participating employers; (c) if we cease to have an obligation to contribute to a multiemployer plan in which we had been a contributing employer, or in certain other circumstances, we may be required to pay to the plan an amount based on our allocable share of the underfunded status of the plan, referred to as a withdrawal liability.</w:t>
      </w:r>
    </w:p>
    <w:p>
      <w:pPr>
        <w:spacing w:after="0" w:line="53" w:lineRule="exact"/>
        <w:rPr>
          <w:sz w:val="20"/>
          <w:szCs w:val="20"/>
          <w:color w:val="auto"/>
        </w:rPr>
      </w:pPr>
    </w:p>
    <w:p>
      <w:pPr>
        <w:ind w:right="120" w:firstLine="342"/>
        <w:spacing w:after="0" w:line="249" w:lineRule="auto"/>
        <w:rPr>
          <w:sz w:val="20"/>
          <w:szCs w:val="20"/>
          <w:color w:val="auto"/>
        </w:rPr>
      </w:pPr>
      <w:r>
        <w:rPr>
          <w:rFonts w:ascii="Arial" w:cs="Arial" w:eastAsia="Arial" w:hAnsi="Arial"/>
          <w:sz w:val="18"/>
          <w:szCs w:val="18"/>
          <w:b w:val="1"/>
          <w:bCs w:val="1"/>
          <w:i w:val="1"/>
          <w:iCs w:val="1"/>
          <w:color w:val="auto"/>
        </w:rPr>
        <w:t>Postretirement Medical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TJX previously maintained a postretirement medical plan that provided limited postretirement medical benefits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retirees who were eligible for the defined benefit plan and who retired at age 55 or older with ten or more years of service. During fiscal 2006, TJX eliminated this benefit for all active associates and modified the benefit that was offered to retirees enrolled in the plan at that time.</w:t>
      </w:r>
    </w:p>
    <w:p>
      <w:pPr>
        <w:spacing w:after="0" w:line="67" w:lineRule="exact"/>
        <w:rPr>
          <w:sz w:val="20"/>
          <w:szCs w:val="20"/>
          <w:color w:val="auto"/>
        </w:rPr>
      </w:pPr>
    </w:p>
    <w:p>
      <w:pPr>
        <w:ind w:right="120" w:firstLine="342"/>
        <w:spacing w:after="0" w:line="238" w:lineRule="auto"/>
        <w:rPr>
          <w:sz w:val="20"/>
          <w:szCs w:val="20"/>
          <w:color w:val="auto"/>
        </w:rPr>
      </w:pPr>
      <w:r>
        <w:rPr>
          <w:rFonts w:ascii="Arial" w:cs="Arial" w:eastAsia="Arial" w:hAnsi="Arial"/>
          <w:sz w:val="18"/>
          <w:szCs w:val="18"/>
          <w:color w:val="auto"/>
        </w:rPr>
        <w:t>During the first quarter of fiscal 2017, TJX terminated the unfunded postretirement medical plan and made a discretionary lump sum payment to participants. The settlement of the liability and the recognition of the remaining negative plan amendment resulted in a pre-tax benefit of $5.5 million in the first quarter of fiscal 2017.</w:t>
      </w:r>
    </w:p>
    <w:p>
      <w:pPr>
        <w:spacing w:after="0" w:line="13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J.</w:t>
      </w:r>
      <w:r>
        <w:rPr>
          <w:sz w:val="20"/>
          <w:szCs w:val="20"/>
          <w:color w:val="auto"/>
        </w:rPr>
        <w:tab/>
      </w:r>
      <w:r>
        <w:rPr>
          <w:rFonts w:ascii="Arial" w:cs="Arial" w:eastAsia="Arial" w:hAnsi="Arial"/>
          <w:sz w:val="16"/>
          <w:szCs w:val="16"/>
          <w:b w:val="1"/>
          <w:bCs w:val="1"/>
          <w:color w:val="auto"/>
        </w:rPr>
        <w:t>Long-Term Debt and Credit Lines</w:t>
      </w:r>
    </w:p>
    <w:p>
      <w:pPr>
        <w:spacing w:after="0" w:line="99"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The table below presents long-term debt, exclusive of current installments, as of February 3, 2018 and January 28, 2017. All amounts are net of unamortized debt discounts.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8"/>
              <w:spacing w:after="0" w:line="145" w:lineRule="exact"/>
              <w:rPr>
                <w:sz w:val="20"/>
                <w:szCs w:val="20"/>
                <w:color w:val="auto"/>
              </w:rPr>
            </w:pPr>
            <w:r>
              <w:rPr>
                <w:rFonts w:ascii="Arial" w:cs="Arial" w:eastAsia="Arial" w:hAnsi="Arial"/>
                <w:sz w:val="14"/>
                <w:szCs w:val="14"/>
                <w:b w:val="1"/>
                <w:bCs w:val="1"/>
                <w:color w:val="auto"/>
              </w:rPr>
              <w:t>February 3,</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8"/>
              <w:spacing w:after="0" w:line="145" w:lineRule="exact"/>
              <w:rPr>
                <w:sz w:val="20"/>
                <w:szCs w:val="20"/>
                <w:color w:val="auto"/>
              </w:rPr>
            </w:pPr>
            <w:r>
              <w:rPr>
                <w:rFonts w:ascii="Arial" w:cs="Arial" w:eastAsia="Arial" w:hAnsi="Arial"/>
                <w:sz w:val="14"/>
                <w:szCs w:val="14"/>
                <w:color w:val="auto"/>
              </w:rPr>
              <w:t>January 28,</w:t>
            </w:r>
          </w:p>
        </w:tc>
        <w:tc>
          <w:tcPr>
            <w:tcW w:w="0" w:type="dxa"/>
            <w:vAlign w:val="bottom"/>
          </w:tcPr>
          <w:p>
            <w:pPr>
              <w:spacing w:after="0"/>
              <w:rPr>
                <w:sz w:val="1"/>
                <w:szCs w:val="1"/>
                <w:color w:val="auto"/>
              </w:rPr>
            </w:pPr>
          </w:p>
        </w:tc>
      </w:tr>
      <w:tr>
        <w:trPr>
          <w:trHeight w:val="165"/>
        </w:trPr>
        <w:tc>
          <w:tcPr>
            <w:tcW w:w="9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General corporate debt: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0" w:type="dxa"/>
            <w:vAlign w:val="bottom"/>
          </w:tcPr>
          <w:p>
            <w:pPr>
              <w:ind w:left="220"/>
              <w:spacing w:after="0" w:line="206" w:lineRule="exact"/>
              <w:rPr>
                <w:sz w:val="20"/>
                <w:szCs w:val="20"/>
                <w:color w:val="auto"/>
              </w:rPr>
            </w:pPr>
            <w:r>
              <w:rPr>
                <w:rFonts w:ascii="Arial" w:cs="Arial" w:eastAsia="Arial" w:hAnsi="Arial"/>
                <w:sz w:val="18"/>
                <w:szCs w:val="18"/>
                <w:color w:val="auto"/>
              </w:rPr>
              <w:t>2.50% senior unsecured notes, maturing May 15, 2023 (effective interest rate of 2.51% after reduction of</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118"/>
              <w:spacing w:after="0"/>
              <w:rPr>
                <w:sz w:val="20"/>
                <w:szCs w:val="20"/>
                <w:color w:val="auto"/>
              </w:rPr>
            </w:pPr>
            <w:r>
              <w:rPr>
                <w:rFonts w:ascii="Arial" w:cs="Arial" w:eastAsia="Arial" w:hAnsi="Arial"/>
                <w:sz w:val="18"/>
                <w:szCs w:val="18"/>
                <w:b w:val="1"/>
                <w:bCs w:val="1"/>
                <w:color w:val="auto"/>
              </w:rPr>
              <w:t>499,766</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tcPr>
          <w:p>
            <w:pPr>
              <w:ind w:left="440"/>
              <w:spacing w:after="0" w:line="200" w:lineRule="exact"/>
              <w:rPr>
                <w:sz w:val="20"/>
                <w:szCs w:val="20"/>
                <w:color w:val="auto"/>
              </w:rPr>
            </w:pPr>
            <w:r>
              <w:rPr>
                <w:rFonts w:ascii="Arial" w:cs="Arial" w:eastAsia="Arial" w:hAnsi="Arial"/>
                <w:sz w:val="18"/>
                <w:szCs w:val="18"/>
                <w:color w:val="auto"/>
              </w:rPr>
              <w:t>unamortized debt discount of $234 and $278 in fiscal 2018 and 2017, respectively)</w:t>
            </w:r>
          </w:p>
        </w:tc>
        <w:tc>
          <w:tcPr>
            <w:tcW w:w="2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0" w:lineRule="exact"/>
              <w:rPr>
                <w:sz w:val="20"/>
                <w:szCs w:val="20"/>
                <w:color w:val="auto"/>
              </w:rPr>
            </w:pPr>
            <w:r>
              <w:rPr>
                <w:rFonts w:ascii="Arial" w:cs="Arial" w:eastAsia="Arial" w:hAnsi="Arial"/>
                <w:sz w:val="18"/>
                <w:szCs w:val="18"/>
                <w:color w:val="auto"/>
              </w:rPr>
              <w:t>499,722</w:t>
            </w: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2.75% senior unsecured notes, maturing June 15, 2021 (effective interest rate of 2.76% after reduction of</w:t>
            </w: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749,750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unamortized debt discount of $250 and $325 in fiscal 2018 and 2017, respectively)</w:t>
            </w: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8"/>
              <w:spacing w:after="0" w:line="200" w:lineRule="exact"/>
              <w:rPr>
                <w:sz w:val="20"/>
                <w:szCs w:val="20"/>
                <w:color w:val="auto"/>
              </w:rPr>
            </w:pPr>
            <w:r>
              <w:rPr>
                <w:rFonts w:ascii="Arial" w:cs="Arial" w:eastAsia="Arial" w:hAnsi="Arial"/>
                <w:sz w:val="18"/>
                <w:szCs w:val="18"/>
                <w:color w:val="auto"/>
              </w:rPr>
              <w:t>749,675</w:t>
            </w:r>
          </w:p>
        </w:tc>
        <w:tc>
          <w:tcPr>
            <w:tcW w:w="0" w:type="dxa"/>
            <w:vAlign w:val="bottom"/>
          </w:tcPr>
          <w:p>
            <w:pPr>
              <w:spacing w:after="0"/>
              <w:rPr>
                <w:sz w:val="1"/>
                <w:szCs w:val="1"/>
                <w:color w:val="auto"/>
              </w:rPr>
            </w:pPr>
          </w:p>
        </w:tc>
      </w:tr>
      <w:tr>
        <w:trPr>
          <w:trHeight w:val="206"/>
        </w:trPr>
        <w:tc>
          <w:tcPr>
            <w:tcW w:w="9000" w:type="dxa"/>
            <w:vAlign w:val="bottom"/>
          </w:tcPr>
          <w:p>
            <w:pPr>
              <w:ind w:left="220"/>
              <w:spacing w:after="0" w:line="206" w:lineRule="exact"/>
              <w:rPr>
                <w:sz w:val="20"/>
                <w:szCs w:val="20"/>
                <w:color w:val="auto"/>
              </w:rPr>
            </w:pPr>
            <w:r>
              <w:rPr>
                <w:rFonts w:ascii="Arial" w:cs="Arial" w:eastAsia="Arial" w:hAnsi="Arial"/>
                <w:sz w:val="18"/>
                <w:szCs w:val="18"/>
                <w:color w:val="auto"/>
                <w:w w:val="98"/>
              </w:rPr>
              <w:t>2.25% senior unsecured notes, maturing September 15, 2026 (effective interest rate of 2.32% after reduction of</w:t>
            </w:r>
          </w:p>
        </w:tc>
        <w:tc>
          <w:tcPr>
            <w:tcW w:w="240" w:type="dxa"/>
            <w:vAlign w:val="bottom"/>
          </w:tcPr>
          <w:p>
            <w:pPr>
              <w:spacing w:after="0"/>
              <w:rPr>
                <w:sz w:val="17"/>
                <w:szCs w:val="17"/>
                <w:color w:val="auto"/>
              </w:rPr>
            </w:pPr>
          </w:p>
        </w:tc>
        <w:tc>
          <w:tcPr>
            <w:tcW w:w="1000" w:type="dxa"/>
            <w:vAlign w:val="bottom"/>
            <w:vMerge w:val="restart"/>
          </w:tcPr>
          <w:p>
            <w:pPr>
              <w:jc w:val="right"/>
              <w:ind w:right="118"/>
              <w:spacing w:after="0"/>
              <w:rPr>
                <w:sz w:val="20"/>
                <w:szCs w:val="20"/>
                <w:color w:val="auto"/>
              </w:rPr>
            </w:pPr>
            <w:r>
              <w:rPr>
                <w:rFonts w:ascii="Arial" w:cs="Arial" w:eastAsia="Arial" w:hAnsi="Arial"/>
                <w:sz w:val="18"/>
                <w:szCs w:val="18"/>
                <w:b w:val="1"/>
                <w:bCs w:val="1"/>
                <w:color w:val="auto"/>
              </w:rPr>
              <w:t>993,597</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tcPr>
          <w:p>
            <w:pPr>
              <w:ind w:left="440"/>
              <w:spacing w:after="0" w:line="200" w:lineRule="exact"/>
              <w:rPr>
                <w:sz w:val="20"/>
                <w:szCs w:val="20"/>
                <w:color w:val="auto"/>
              </w:rPr>
            </w:pPr>
            <w:r>
              <w:rPr>
                <w:rFonts w:ascii="Arial" w:cs="Arial" w:eastAsia="Arial" w:hAnsi="Arial"/>
                <w:sz w:val="18"/>
                <w:szCs w:val="18"/>
                <w:color w:val="auto"/>
              </w:rPr>
              <w:t>unamortized debt discount of $6,403 and $7,149 in fiscal 2018 and 2017, 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8"/>
              <w:spacing w:after="0" w:line="200" w:lineRule="exact"/>
              <w:rPr>
                <w:sz w:val="20"/>
                <w:szCs w:val="20"/>
                <w:color w:val="auto"/>
              </w:rPr>
            </w:pPr>
            <w:r>
              <w:rPr>
                <w:rFonts w:ascii="Arial" w:cs="Arial" w:eastAsia="Arial" w:hAnsi="Arial"/>
                <w:sz w:val="18"/>
                <w:szCs w:val="18"/>
                <w:color w:val="auto"/>
              </w:rPr>
              <w:t>992,851</w:t>
            </w:r>
          </w:p>
        </w:tc>
        <w:tc>
          <w:tcPr>
            <w:tcW w:w="0" w:type="dxa"/>
            <w:vAlign w:val="bottom"/>
          </w:tcPr>
          <w:p>
            <w:pPr>
              <w:spacing w:after="0"/>
              <w:rPr>
                <w:sz w:val="1"/>
                <w:szCs w:val="1"/>
                <w:color w:val="auto"/>
              </w:rPr>
            </w:pPr>
          </w:p>
        </w:tc>
      </w:tr>
      <w:tr>
        <w:trPr>
          <w:trHeight w:val="203"/>
        </w:trPr>
        <w:tc>
          <w:tcPr>
            <w:tcW w:w="90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Debt issuance cost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8"/>
              <w:spacing w:after="0" w:line="202" w:lineRule="exact"/>
              <w:rPr>
                <w:sz w:val="20"/>
                <w:szCs w:val="20"/>
                <w:color w:val="auto"/>
              </w:rPr>
            </w:pPr>
            <w:r>
              <w:rPr>
                <w:rFonts w:ascii="Arial" w:cs="Arial" w:eastAsia="Arial" w:hAnsi="Arial"/>
                <w:sz w:val="18"/>
                <w:szCs w:val="18"/>
                <w:b w:val="1"/>
                <w:bCs w:val="1"/>
                <w:color w:val="auto"/>
              </w:rPr>
              <w:t>(12,506)</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(14,649)</w:t>
            </w:r>
          </w:p>
        </w:tc>
        <w:tc>
          <w:tcPr>
            <w:tcW w:w="0" w:type="dxa"/>
            <w:vAlign w:val="bottom"/>
          </w:tcPr>
          <w:p>
            <w:pPr>
              <w:spacing w:after="0"/>
              <w:rPr>
                <w:sz w:val="1"/>
                <w:szCs w:val="1"/>
                <w:color w:val="auto"/>
              </w:rPr>
            </w:pPr>
          </w:p>
        </w:tc>
      </w:tr>
      <w:tr>
        <w:trPr>
          <w:trHeight w:val="196"/>
        </w:trPr>
        <w:tc>
          <w:tcPr>
            <w:tcW w:w="9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18"/>
              <w:spacing w:after="0" w:line="196" w:lineRule="exact"/>
              <w:rPr>
                <w:sz w:val="20"/>
                <w:szCs w:val="20"/>
                <w:color w:val="auto"/>
              </w:rPr>
            </w:pPr>
            <w:r>
              <w:rPr>
                <w:rFonts w:ascii="Arial" w:cs="Arial" w:eastAsia="Arial" w:hAnsi="Arial"/>
                <w:sz w:val="18"/>
                <w:szCs w:val="18"/>
                <w:b w:val="1"/>
                <w:bCs w:val="1"/>
                <w:color w:val="auto"/>
                <w:w w:val="97"/>
              </w:rPr>
              <w:t>2,230,607</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w w:val="97"/>
              </w:rPr>
              <w:t>2,227,599</w:t>
            </w:r>
          </w:p>
        </w:tc>
        <w:tc>
          <w:tcPr>
            <w:tcW w:w="0" w:type="dxa"/>
            <w:vAlign w:val="bottom"/>
          </w:tcPr>
          <w:p>
            <w:pPr>
              <w:spacing w:after="0"/>
              <w:rPr>
                <w:sz w:val="1"/>
                <w:szCs w:val="1"/>
                <w:color w:val="auto"/>
              </w:rPr>
            </w:pPr>
          </w:p>
        </w:tc>
      </w:tr>
      <w:tr>
        <w:trPr>
          <w:trHeight w:val="356"/>
        </w:trPr>
        <w:tc>
          <w:tcPr>
            <w:tcW w:w="9000" w:type="dxa"/>
            <w:vAlign w:val="bottom"/>
          </w:tcPr>
          <w:p>
            <w:pPr>
              <w:ind w:left="5540"/>
              <w:spacing w:after="0"/>
              <w:rPr>
                <w:sz w:val="20"/>
                <w:szCs w:val="20"/>
                <w:color w:val="auto"/>
              </w:rPr>
            </w:pPr>
            <w:r>
              <w:rPr>
                <w:rFonts w:ascii="Arial" w:cs="Arial" w:eastAsia="Arial" w:hAnsi="Arial"/>
                <w:sz w:val="18"/>
                <w:szCs w:val="18"/>
                <w:color w:val="auto"/>
              </w:rPr>
              <w:t>F-29</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79" w:name="page80"/>
    <w:bookmarkEnd w:id="79"/>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maturities of long-term debt, inclusive of current installments at February 3, 2018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Borders>
              <w:top w:val="single" w:sz="8" w:color="auto"/>
            </w:tcBorders>
          </w:tcPr>
          <w:p>
            <w:pPr>
              <w:spacing w:after="0"/>
              <w:rPr>
                <w:sz w:val="14"/>
                <w:szCs w:val="14"/>
                <w:color w:val="auto"/>
              </w:rPr>
            </w:pPr>
          </w:p>
        </w:tc>
        <w:tc>
          <w:tcPr>
            <w:tcW w:w="3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color w:val="auto"/>
              </w:rPr>
              <w:t>Long-Term</w:t>
            </w:r>
          </w:p>
        </w:tc>
      </w:tr>
      <w:tr>
        <w:trPr>
          <w:trHeight w:val="149"/>
        </w:trPr>
        <w:tc>
          <w:tcPr>
            <w:tcW w:w="7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thousands</w:t>
            </w:r>
          </w:p>
        </w:tc>
        <w:tc>
          <w:tcPr>
            <w:tcW w:w="3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
              <w:spacing w:after="0" w:line="149" w:lineRule="exact"/>
              <w:rPr>
                <w:sz w:val="20"/>
                <w:szCs w:val="20"/>
                <w:color w:val="auto"/>
              </w:rPr>
            </w:pPr>
            <w:r>
              <w:rPr>
                <w:rFonts w:ascii="Arial" w:cs="Arial" w:eastAsia="Arial" w:hAnsi="Arial"/>
                <w:sz w:val="14"/>
                <w:szCs w:val="14"/>
                <w:color w:val="auto"/>
              </w:rPr>
              <w:t>Debt</w:t>
            </w: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Year 2019</w:t>
            </w:r>
          </w:p>
        </w:tc>
        <w:tc>
          <w:tcPr>
            <w:tcW w:w="3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3240" w:type="dxa"/>
            <w:vAlign w:val="bottom"/>
          </w:tcPr>
          <w:p>
            <w:pPr>
              <w:spacing w:after="0"/>
              <w:rPr>
                <w:sz w:val="17"/>
                <w:szCs w:val="17"/>
                <w:color w:val="auto"/>
              </w:rPr>
            </w:pPr>
          </w:p>
        </w:tc>
        <w:tc>
          <w:tcPr>
            <w:tcW w:w="9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240" w:type="dxa"/>
            <w:vAlign w:val="bottom"/>
          </w:tcPr>
          <w:p>
            <w:pPr>
              <w:spacing w:after="0"/>
              <w:rPr>
                <w:sz w:val="17"/>
                <w:szCs w:val="17"/>
                <w:color w:val="auto"/>
              </w:rPr>
            </w:pPr>
          </w:p>
        </w:tc>
        <w:tc>
          <w:tcPr>
            <w:tcW w:w="9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750,000</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Later years</w:t>
            </w:r>
          </w:p>
        </w:tc>
        <w:tc>
          <w:tcPr>
            <w:tcW w:w="3240" w:type="dxa"/>
            <w:vAlign w:val="bottom"/>
          </w:tcPr>
          <w:p>
            <w:pPr>
              <w:spacing w:after="0"/>
              <w:rPr>
                <w:sz w:val="17"/>
                <w:szCs w:val="17"/>
                <w:color w:val="auto"/>
              </w:rPr>
            </w:pPr>
          </w:p>
        </w:tc>
        <w:tc>
          <w:tcPr>
            <w:tcW w:w="9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 representing unamortized debt discount</w:t>
            </w:r>
          </w:p>
        </w:tc>
        <w:tc>
          <w:tcPr>
            <w:tcW w:w="3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(6,887)</w:t>
            </w:r>
          </w:p>
        </w:tc>
      </w:tr>
      <w:tr>
        <w:trPr>
          <w:trHeight w:val="203"/>
        </w:trPr>
        <w:tc>
          <w:tcPr>
            <w:tcW w:w="72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amount representing debt issuance cost</w:t>
            </w:r>
          </w:p>
        </w:tc>
        <w:tc>
          <w:tcPr>
            <w:tcW w:w="3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(12,506)</w:t>
            </w:r>
          </w:p>
        </w:tc>
      </w:tr>
      <w:tr>
        <w:trPr>
          <w:trHeight w:val="196"/>
        </w:trPr>
        <w:tc>
          <w:tcPr>
            <w:tcW w:w="7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Aggregate maturities of long-term debt</w:t>
            </w:r>
          </w:p>
        </w:tc>
        <w:tc>
          <w:tcPr>
            <w:tcW w:w="3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97"/>
              </w:rPr>
              <w:t>2,230,607</w:t>
            </w:r>
          </w:p>
        </w:tc>
      </w:tr>
    </w:tbl>
    <w:p>
      <w:pPr>
        <w:spacing w:after="0" w:line="84"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On September 12, 2016, TJX issued $1.0 billion aggregate principal amount of 2.25% ten-year notes due September 2026. TJX entered into a rate-lock agreement to hedge $700 million of the 2.25% notes. The cost of these agreements are being amortized to interest expense over the term of the notes resulting in an effective fixed rate of 2.36%. On October 12, 2016, TJX used a portion of the proceeds from the 2.25% ten-year notes to redeem all outstanding 6.95% ten-year notes and recorded a pre-tax loss on the early extinguishment of debt of $51.8 million, which includes $50.6 million of redemption premium and $1.2 million to write off unamortized debt expenses and discount.</w:t>
      </w:r>
    </w:p>
    <w:p>
      <w:pPr>
        <w:spacing w:after="0" w:line="76" w:lineRule="exact"/>
        <w:rPr>
          <w:sz w:val="20"/>
          <w:szCs w:val="20"/>
          <w:color w:val="auto"/>
        </w:rPr>
      </w:pPr>
    </w:p>
    <w:p>
      <w:pPr>
        <w:ind w:right="160" w:firstLine="342"/>
        <w:spacing w:after="0" w:line="236" w:lineRule="auto"/>
        <w:rPr>
          <w:sz w:val="20"/>
          <w:szCs w:val="20"/>
          <w:color w:val="auto"/>
        </w:rPr>
      </w:pPr>
      <w:r>
        <w:rPr>
          <w:rFonts w:ascii="Arial" w:cs="Arial" w:eastAsia="Arial" w:hAnsi="Arial"/>
          <w:sz w:val="18"/>
          <w:szCs w:val="18"/>
          <w:color w:val="auto"/>
        </w:rPr>
        <w:t>At February 3, 2018, TJX also had outstanding $500 million aggregate principal amount of 2.50% ten-year notes due May 2023 and $750 million aggregate principal amount of 2.75% seven-year notes due June 2021. TJX entered into rate-lock agreements to hedge the underlying treasury rate of $250 million of the 2.50% notes. The costs of these agreements are being amortized to interest expense over the term of the respective notes, resulting in an effective fixed interest rate of 2.57% for the 2.50% notes. TJX also entered into rate-lock agreements to hedge the underlying treasury rate of all of the 2.75% notes prior to their issuance. The agreements were accounted for as cash flow hedges and the pre-tax realized loss of $7.9 million was recorded as a component of other comprehensive income and is being amortized to interest expense over the term of the notes, resulting in an effective fixed interest rate of 2.91%.</w:t>
      </w:r>
    </w:p>
    <w:p>
      <w:pPr>
        <w:spacing w:after="0" w:line="7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At February 3, 2018, TJX had two $500 million revolving credit facilities, one which matures in March 2020 and one which matures in March 2022. The $500 million revolving credit facility maturing in March 2020 was also outstanding at January 28, 2017, while the facility maturing in 2022 had a March 2021 maturity date as of that date. In March 2017, the maturity of the $500 million revolving credit facility scheduled to mature in March 2021 was extended to March 2022. No other terms of the facility were modified at that time.</w:t>
      </w:r>
    </w:p>
    <w:p>
      <w:pPr>
        <w:spacing w:after="0" w:line="74" w:lineRule="exact"/>
        <w:rPr>
          <w:sz w:val="20"/>
          <w:szCs w:val="20"/>
          <w:color w:val="auto"/>
        </w:rPr>
      </w:pPr>
    </w:p>
    <w:p>
      <w:pPr>
        <w:ind w:right="220" w:firstLine="342"/>
        <w:spacing w:after="0" w:line="236" w:lineRule="auto"/>
        <w:rPr>
          <w:sz w:val="20"/>
          <w:szCs w:val="20"/>
          <w:color w:val="auto"/>
        </w:rPr>
      </w:pPr>
      <w:r>
        <w:rPr>
          <w:rFonts w:ascii="Arial" w:cs="Arial" w:eastAsia="Arial" w:hAnsi="Arial"/>
          <w:sz w:val="18"/>
          <w:szCs w:val="18"/>
          <w:color w:val="auto"/>
        </w:rPr>
        <w:t>The terms and covenants under the revolving credit facilities require quarterly payments of 6.0 basis points per annum on the committed amounts for both agreements. This rate is based on the credit ratings of TJX’s long-term debt and will vary with specified changes in the credit ratings. These agreements have no compensating balance requirements and have various covenants. Each of these facilities require TJX to maintain a ratio of funded debt and four-times consolidated rentals to consolidated earnings before interest, taxes, consolidated rentals, depreciation and amortization (EBITDAR) of not more than 2.75 to 1.00 on a rolling four-quarter basis. TJX was in compliance with all covenants related to its credit facilities at the end of all periods presented. As of February 3, 2018 and January 28, 2017, and during the years then ended, there were no amounts outstanding under these facilities.</w:t>
      </w:r>
    </w:p>
    <w:p>
      <w:pPr>
        <w:spacing w:after="0" w:line="74"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As of February 3, 2018 and January 28, 2017, TJX Canada had two uncommitted credit lines, a C$10 million facility for operating expenses and a C$10 million letter of credit facility. As of February 3, 2018 and January 28, 2017, and during the years then ended, there were no amounts outstanding on the Canadian credit line for operating expenses. As of February 3, 2018 and January 28, 2017, our European business at TJX International had an uncommitted credit line of £5 million. As of February 3, 2018 and January 28, 2017, and during the years then ended, there were no amounts outstanding on the European credit line.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91" w:right="239" w:bottom="1440" w:gutter="0" w:footer="0" w:header="0"/>
        </w:sectPr>
      </w:pPr>
    </w:p>
    <w:bookmarkStart w:id="80" w:name="page81"/>
    <w:bookmarkEnd w:id="80"/>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K.</w:t>
      </w:r>
      <w:r>
        <w:rPr>
          <w:sz w:val="20"/>
          <w:szCs w:val="20"/>
          <w:color w:val="auto"/>
        </w:rPr>
        <w:tab/>
      </w:r>
      <w:r>
        <w:rPr>
          <w:rFonts w:ascii="Arial" w:cs="Arial" w:eastAsia="Arial" w:hAnsi="Arial"/>
          <w:sz w:val="16"/>
          <w:szCs w:val="16"/>
          <w:b w:val="1"/>
          <w:bCs w:val="1"/>
          <w:color w:val="auto"/>
        </w:rPr>
        <w:t>Income Taxes</w:t>
      </w:r>
    </w:p>
    <w:p>
      <w:pPr>
        <w:spacing w:after="0" w:line="99"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The 2017 Tax Act made broad and complex changes to the U.S. tax code which had a significant impact on our 2017 tax expense, including reducing the U.S. federal corporate tax rate from 35% to 21%, expanded rules regarding expensing of fixed assets, and required one-time transition tax on certain undistributed earnings of foreign subsidiaries. Other provisions that are not yet effective but may impact income taxes in future years include: an exemption from U.S. tax on dividends of future foreign earnings, expanded limitations on executive compensation, and a minimum tax on certain foreign earnings in excess of 10% of the foreign subsidiaries tangible assets (i.e. global intangible low-taxed income or “GILTI”). Because of the complexity of the new provisions, the Company is continuing to evaluate how the provisions will be accounted under GAAP. We do not expect these provisions to have a significant impact on the Company when effective.</w:t>
      </w:r>
    </w:p>
    <w:p>
      <w:pPr>
        <w:spacing w:after="0" w:line="74" w:lineRule="exact"/>
        <w:rPr>
          <w:sz w:val="20"/>
          <w:szCs w:val="20"/>
          <w:color w:val="auto"/>
        </w:rPr>
      </w:pPr>
    </w:p>
    <w:p>
      <w:pPr>
        <w:ind w:right="180" w:firstLine="342"/>
        <w:spacing w:after="0" w:line="236" w:lineRule="auto"/>
        <w:rPr>
          <w:sz w:val="20"/>
          <w:szCs w:val="20"/>
          <w:color w:val="auto"/>
        </w:rPr>
      </w:pPr>
      <w:r>
        <w:rPr>
          <w:rFonts w:ascii="Arial" w:cs="Arial" w:eastAsia="Arial" w:hAnsi="Arial"/>
          <w:sz w:val="18"/>
          <w:szCs w:val="18"/>
          <w:color w:val="auto"/>
        </w:rPr>
        <w:t>In December 2017, the Securities and Exchange Commission issued Staff Accounting Bulletin No. 118, which allows a measurement period, not to exceed one year, to finalize the accounting for the income tax impacts of the 2017 Tax Act. To the extent our accounting for certain income tax effects of the 2017 Tax Act is incomplete but we are able to determine a reasonable estimate, we recorded a provisional estimate in the financial statements. The provisional tax benefit of the 2017 Tax Act is based on currently available information and interpretations, which are continuing to evolve. We will continue to analyze additional information and guidance related to the 2017 Tax Act as supplemental legislation, regulatory guidance, or evolving technical interpretations become available. The final impacts may differ from the recorded amounts as of February 3, 2018, and we will continue to refine such amounts within the measurement period provided by Staff Accounting Bulletin No. 118. We expect to complete our analysis no later than the fourth quarter of fiscal 2019.</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financial reporting purposes,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Year Ended</w:t>
            </w: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50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February 3,</w:t>
            </w:r>
          </w:p>
        </w:tc>
        <w:tc>
          <w:tcPr>
            <w:tcW w:w="1300" w:type="dxa"/>
            <w:vAlign w:val="bottom"/>
          </w:tcPr>
          <w:p>
            <w:pPr>
              <w:jc w:val="right"/>
              <w:ind w:right="40"/>
              <w:spacing w:after="0" w:line="125" w:lineRule="exact"/>
              <w:rPr>
                <w:sz w:val="20"/>
                <w:szCs w:val="20"/>
                <w:color w:val="auto"/>
              </w:rPr>
            </w:pPr>
            <w:r>
              <w:rPr>
                <w:rFonts w:ascii="Arial" w:cs="Arial" w:eastAsia="Arial" w:hAnsi="Arial"/>
                <w:sz w:val="14"/>
                <w:szCs w:val="14"/>
                <w:color w:val="auto"/>
              </w:rPr>
              <w:t>January 28,</w:t>
            </w:r>
          </w:p>
        </w:tc>
        <w:tc>
          <w:tcPr>
            <w:tcW w:w="104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January 30,</w:t>
            </w:r>
          </w:p>
        </w:tc>
        <w:tc>
          <w:tcPr>
            <w:tcW w:w="60" w:type="dxa"/>
            <w:vAlign w:val="bottom"/>
          </w:tcPr>
          <w:p>
            <w:pPr>
              <w:spacing w:after="0"/>
              <w:rPr>
                <w:sz w:val="10"/>
                <w:szCs w:val="10"/>
                <w:color w:val="auto"/>
              </w:rPr>
            </w:pPr>
          </w:p>
        </w:tc>
      </w:tr>
      <w:tr>
        <w:trPr>
          <w:trHeight w:val="16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2017</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2016</w:t>
            </w:r>
          </w:p>
        </w:tc>
      </w:tr>
      <w:tr>
        <w:trPr>
          <w:trHeight w:val="196"/>
        </w:trPr>
        <w:tc>
          <w:tcPr>
            <w:tcW w:w="50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1200"/>
              <w:spacing w:after="0" w:line="196" w:lineRule="exact"/>
              <w:rPr>
                <w:sz w:val="20"/>
                <w:szCs w:val="20"/>
                <w:color w:val="auto"/>
              </w:rPr>
            </w:pPr>
            <w:r>
              <w:rPr>
                <w:rFonts w:ascii="Arial" w:cs="Arial" w:eastAsia="Arial" w:hAnsi="Arial"/>
                <w:sz w:val="18"/>
                <w:szCs w:val="18"/>
                <w:color w:val="auto"/>
              </w:rPr>
              <w:t>(53 weeks)</w:t>
            </w: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0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$ 3,255,057</w:t>
            </w:r>
          </w:p>
        </w:tc>
        <w:tc>
          <w:tcPr>
            <w:tcW w:w="13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$3,196,370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$3,102,304</w:t>
            </w:r>
          </w:p>
        </w:tc>
        <w:tc>
          <w:tcPr>
            <w:tcW w:w="60" w:type="dxa"/>
            <w:vAlign w:val="bottom"/>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00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601,531</w:t>
            </w:r>
          </w:p>
        </w:tc>
        <w:tc>
          <w:tcPr>
            <w:tcW w:w="1300" w:type="dxa"/>
            <w:vAlign w:val="bottom"/>
            <w:tcBorders>
              <w:bottom w:val="single" w:sz="8" w:color="auto"/>
            </w:tcBorders>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526,673</w:t>
            </w:r>
          </w:p>
        </w:tc>
        <w:tc>
          <w:tcPr>
            <w:tcW w:w="1100" w:type="dxa"/>
            <w:vAlign w:val="bottom"/>
            <w:tcBorders>
              <w:bottom w:val="single" w:sz="8" w:color="auto"/>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555,996</w:t>
            </w:r>
          </w:p>
        </w:tc>
      </w:tr>
      <w:tr>
        <w:trPr>
          <w:trHeight w:val="196"/>
        </w:trPr>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provision for income taxes</w:t>
            </w:r>
          </w:p>
        </w:tc>
        <w:tc>
          <w:tcPr>
            <w:tcW w:w="40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$ 3,856,588</w:t>
            </w:r>
          </w:p>
        </w:tc>
        <w:tc>
          <w:tcPr>
            <w:tcW w:w="1300" w:type="dxa"/>
            <w:vAlign w:val="bottom"/>
            <w:tcBorders>
              <w:bottom w:val="single" w:sz="8" w:color="auto"/>
            </w:tcBorders>
          </w:tcPr>
          <w:p>
            <w:pPr>
              <w:jc w:val="right"/>
              <w:ind w:right="40"/>
              <w:spacing w:after="0" w:line="196" w:lineRule="exact"/>
              <w:rPr>
                <w:sz w:val="20"/>
                <w:szCs w:val="20"/>
                <w:color w:val="auto"/>
              </w:rPr>
            </w:pPr>
            <w:r>
              <w:rPr>
                <w:rFonts w:ascii="Arial" w:cs="Arial" w:eastAsia="Arial" w:hAnsi="Arial"/>
                <w:sz w:val="18"/>
                <w:szCs w:val="18"/>
                <w:color w:val="auto"/>
              </w:rPr>
              <w:t>$3,723,043</w:t>
            </w: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$3,658,300</w:t>
            </w:r>
          </w:p>
        </w:tc>
        <w:tc>
          <w:tcPr>
            <w:tcW w:w="60" w:type="dxa"/>
            <w:vAlign w:val="bottom"/>
            <w:tcBorders>
              <w:bottom w:val="single" w:sz="8" w:color="auto"/>
            </w:tcBorders>
          </w:tcPr>
          <w:p>
            <w:pPr>
              <w:spacing w:after="0"/>
              <w:rPr>
                <w:sz w:val="17"/>
                <w:szCs w:val="17"/>
                <w:color w:val="auto"/>
              </w:rPr>
            </w:pPr>
          </w:p>
        </w:tc>
      </w:tr>
      <w:tr>
        <w:trPr>
          <w:trHeight w:val="289"/>
        </w:trPr>
        <w:tc>
          <w:tcPr>
            <w:tcW w:w="5020" w:type="dxa"/>
            <w:vAlign w:val="bottom"/>
          </w:tcPr>
          <w:p>
            <w:pPr>
              <w:ind w:left="360"/>
              <w:spacing w:after="0"/>
              <w:rPr>
                <w:sz w:val="20"/>
                <w:szCs w:val="20"/>
                <w:color w:val="auto"/>
              </w:rPr>
            </w:pPr>
            <w:r>
              <w:rPr>
                <w:rFonts w:ascii="Arial" w:cs="Arial" w:eastAsia="Arial" w:hAnsi="Arial"/>
                <w:sz w:val="18"/>
                <w:szCs w:val="18"/>
                <w:color w:val="auto"/>
              </w:rPr>
              <w:t>The provision for income taxes includes the following:</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0"/>
        </w:trPr>
        <w:tc>
          <w:tcPr>
            <w:tcW w:w="502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37"/>
        </w:trPr>
        <w:tc>
          <w:tcPr>
            <w:tcW w:w="50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w w:val="94"/>
              </w:rPr>
              <w:t>Fiscal Year Ended</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5"/>
        </w:trPr>
        <w:tc>
          <w:tcPr>
            <w:tcW w:w="50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146"/>
              <w:spacing w:after="0" w:line="125" w:lineRule="exact"/>
              <w:rPr>
                <w:sz w:val="20"/>
                <w:szCs w:val="20"/>
                <w:color w:val="auto"/>
              </w:rPr>
            </w:pPr>
            <w:r>
              <w:rPr>
                <w:rFonts w:ascii="Arial" w:cs="Arial" w:eastAsia="Arial" w:hAnsi="Arial"/>
                <w:sz w:val="14"/>
                <w:szCs w:val="14"/>
                <w:b w:val="1"/>
                <w:bCs w:val="1"/>
                <w:color w:val="auto"/>
                <w:w w:val="92"/>
              </w:rPr>
              <w:t>February 3,</w:t>
            </w:r>
          </w:p>
        </w:tc>
        <w:tc>
          <w:tcPr>
            <w:tcW w:w="1300" w:type="dxa"/>
            <w:vAlign w:val="bottom"/>
          </w:tcPr>
          <w:p>
            <w:pPr>
              <w:jc w:val="right"/>
              <w:ind w:right="200"/>
              <w:spacing w:after="0" w:line="125" w:lineRule="exact"/>
              <w:rPr>
                <w:sz w:val="20"/>
                <w:szCs w:val="20"/>
                <w:color w:val="auto"/>
              </w:rPr>
            </w:pPr>
            <w:r>
              <w:rPr>
                <w:rFonts w:ascii="Arial" w:cs="Arial" w:eastAsia="Arial" w:hAnsi="Arial"/>
                <w:sz w:val="14"/>
                <w:szCs w:val="14"/>
                <w:color w:val="auto"/>
              </w:rPr>
              <w:t>January 28,</w:t>
            </w:r>
          </w:p>
        </w:tc>
        <w:tc>
          <w:tcPr>
            <w:tcW w:w="98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120" w:type="dxa"/>
            <w:vAlign w:val="bottom"/>
            <w:gridSpan w:val="2"/>
          </w:tcPr>
          <w:p>
            <w:pPr>
              <w:spacing w:after="0"/>
              <w:rPr>
                <w:sz w:val="10"/>
                <w:szCs w:val="10"/>
                <w:color w:val="auto"/>
              </w:rPr>
            </w:pPr>
          </w:p>
        </w:tc>
      </w:tr>
      <w:tr>
        <w:trPr>
          <w:trHeight w:val="16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0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96"/>
        </w:trPr>
        <w:tc>
          <w:tcPr>
            <w:tcW w:w="50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6"/>
              <w:spacing w:after="0" w:line="196" w:lineRule="exact"/>
              <w:rPr>
                <w:sz w:val="20"/>
                <w:szCs w:val="20"/>
                <w:color w:val="auto"/>
              </w:rPr>
            </w:pPr>
            <w:r>
              <w:rPr>
                <w:rFonts w:ascii="Arial" w:cs="Arial" w:eastAsia="Arial" w:hAnsi="Arial"/>
                <w:sz w:val="18"/>
                <w:szCs w:val="18"/>
                <w:color w:val="auto"/>
              </w:rPr>
              <w:t>(53 weeks)</w:t>
            </w:r>
          </w:p>
        </w:tc>
        <w:tc>
          <w:tcPr>
            <w:tcW w:w="1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Current:</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w:t>
            </w:r>
          </w:p>
        </w:tc>
        <w:tc>
          <w:tcPr>
            <w:tcW w:w="4000" w:type="dxa"/>
            <w:vAlign w:val="bottom"/>
            <w:gridSpan w:val="3"/>
            <w:shd w:val="clear" w:color="auto" w:fill="CCEEFF"/>
          </w:tcPr>
          <w:p>
            <w:pPr>
              <w:jc w:val="right"/>
              <w:ind w:right="146"/>
              <w:spacing w:after="0" w:line="202" w:lineRule="exact"/>
              <w:rPr>
                <w:sz w:val="20"/>
                <w:szCs w:val="20"/>
                <w:color w:val="auto"/>
              </w:rPr>
            </w:pPr>
            <w:r>
              <w:rPr>
                <w:rFonts w:ascii="Arial" w:cs="Arial" w:eastAsia="Arial" w:hAnsi="Arial"/>
                <w:sz w:val="18"/>
                <w:szCs w:val="18"/>
                <w:b w:val="1"/>
                <w:bCs w:val="1"/>
                <w:color w:val="auto"/>
              </w:rPr>
              <w:t>$ 1,063,141</w:t>
            </w:r>
          </w:p>
        </w:tc>
        <w:tc>
          <w:tcPr>
            <w:tcW w:w="1300" w:type="dxa"/>
            <w:vAlign w:val="bottom"/>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$ 1,068,778</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992,094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000" w:type="dxa"/>
            <w:vAlign w:val="bottom"/>
            <w:gridSpan w:val="3"/>
          </w:tcPr>
          <w:p>
            <w:pPr>
              <w:jc w:val="right"/>
              <w:ind w:right="146"/>
              <w:spacing w:after="0" w:line="202" w:lineRule="exact"/>
              <w:rPr>
                <w:sz w:val="20"/>
                <w:szCs w:val="20"/>
                <w:color w:val="auto"/>
              </w:rPr>
            </w:pPr>
            <w:r>
              <w:rPr>
                <w:rFonts w:ascii="Arial" w:cs="Arial" w:eastAsia="Arial" w:hAnsi="Arial"/>
                <w:sz w:val="18"/>
                <w:szCs w:val="18"/>
                <w:b w:val="1"/>
                <w:bCs w:val="1"/>
                <w:color w:val="auto"/>
              </w:rPr>
              <w:t>160,650</w:t>
            </w:r>
          </w:p>
        </w:tc>
        <w:tc>
          <w:tcPr>
            <w:tcW w:w="130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213,505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208,357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w:t>
            </w:r>
          </w:p>
        </w:tc>
        <w:tc>
          <w:tcPr>
            <w:tcW w:w="4000" w:type="dxa"/>
            <w:vAlign w:val="bottom"/>
            <w:gridSpan w:val="3"/>
            <w:shd w:val="clear" w:color="auto" w:fill="CCEEFF"/>
          </w:tcPr>
          <w:p>
            <w:pPr>
              <w:jc w:val="right"/>
              <w:ind w:right="146"/>
              <w:spacing w:after="0" w:line="202" w:lineRule="exact"/>
              <w:rPr>
                <w:sz w:val="20"/>
                <w:szCs w:val="20"/>
                <w:color w:val="auto"/>
              </w:rPr>
            </w:pPr>
            <w:r>
              <w:rPr>
                <w:rFonts w:ascii="Arial" w:cs="Arial" w:eastAsia="Arial" w:hAnsi="Arial"/>
                <w:sz w:val="18"/>
                <w:szCs w:val="18"/>
                <w:b w:val="1"/>
                <w:bCs w:val="1"/>
                <w:color w:val="auto"/>
              </w:rPr>
              <w:t>161,974</w:t>
            </w:r>
          </w:p>
        </w:tc>
        <w:tc>
          <w:tcPr>
            <w:tcW w:w="1300" w:type="dxa"/>
            <w:vAlign w:val="bottom"/>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148,367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149,408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Deferred:</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w:t>
            </w:r>
          </w:p>
        </w:tc>
        <w:tc>
          <w:tcPr>
            <w:tcW w:w="4000" w:type="dxa"/>
            <w:vAlign w:val="bottom"/>
            <w:gridSpan w:val="3"/>
            <w:shd w:val="clear" w:color="auto" w:fill="CCEEFF"/>
          </w:tcPr>
          <w:p>
            <w:pPr>
              <w:jc w:val="right"/>
              <w:ind w:right="86"/>
              <w:spacing w:after="0" w:line="202" w:lineRule="exact"/>
              <w:rPr>
                <w:sz w:val="20"/>
                <w:szCs w:val="20"/>
                <w:color w:val="auto"/>
              </w:rPr>
            </w:pPr>
            <w:r>
              <w:rPr>
                <w:rFonts w:ascii="Arial" w:cs="Arial" w:eastAsia="Arial" w:hAnsi="Arial"/>
                <w:sz w:val="18"/>
                <w:szCs w:val="18"/>
                <w:b w:val="1"/>
                <w:bCs w:val="1"/>
                <w:color w:val="auto"/>
              </w:rPr>
              <w:t>(164,523)</w:t>
            </w:r>
          </w:p>
        </w:tc>
        <w:tc>
          <w:tcPr>
            <w:tcW w:w="130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(3,107)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34,620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4000" w:type="dxa"/>
            <w:vAlign w:val="bottom"/>
            <w:gridSpan w:val="3"/>
          </w:tcPr>
          <w:p>
            <w:pPr>
              <w:jc w:val="right"/>
              <w:ind w:right="146"/>
              <w:spacing w:after="0" w:line="202" w:lineRule="exact"/>
              <w:rPr>
                <w:sz w:val="20"/>
                <w:szCs w:val="20"/>
                <w:color w:val="auto"/>
              </w:rPr>
            </w:pPr>
            <w:r>
              <w:rPr>
                <w:rFonts w:ascii="Arial" w:cs="Arial" w:eastAsia="Arial" w:hAnsi="Arial"/>
                <w:sz w:val="18"/>
                <w:szCs w:val="18"/>
                <w:b w:val="1"/>
                <w:bCs w:val="1"/>
                <w:color w:val="auto"/>
              </w:rPr>
              <w:t>27,595</w:t>
            </w:r>
          </w:p>
        </w:tc>
        <w:tc>
          <w:tcPr>
            <w:tcW w:w="130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(10,583)</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(9,979)</w:t>
            </w:r>
          </w:p>
        </w:tc>
        <w:tc>
          <w:tcPr>
            <w:tcW w:w="60" w:type="dxa"/>
            <w:vAlign w:val="bottom"/>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w:t>
            </w:r>
          </w:p>
        </w:tc>
        <w:tc>
          <w:tcPr>
            <w:tcW w:w="4000" w:type="dxa"/>
            <w:vAlign w:val="bottom"/>
            <w:tcBorders>
              <w:bottom w:val="single" w:sz="8" w:color="auto"/>
            </w:tcBorders>
            <w:gridSpan w:val="3"/>
            <w:shd w:val="clear" w:color="auto" w:fill="CCEEFF"/>
          </w:tcPr>
          <w:p>
            <w:pPr>
              <w:jc w:val="right"/>
              <w:ind w:right="86"/>
              <w:spacing w:after="0" w:line="202" w:lineRule="exact"/>
              <w:rPr>
                <w:sz w:val="20"/>
                <w:szCs w:val="20"/>
                <w:color w:val="auto"/>
              </w:rPr>
            </w:pPr>
            <w:r>
              <w:rPr>
                <w:rFonts w:ascii="Arial" w:cs="Arial" w:eastAsia="Arial" w:hAnsi="Arial"/>
                <w:sz w:val="18"/>
                <w:szCs w:val="18"/>
                <w:b w:val="1"/>
                <w:bCs w:val="1"/>
                <w:color w:val="auto"/>
              </w:rPr>
              <w:t>(197)</w:t>
            </w:r>
          </w:p>
        </w:tc>
        <w:tc>
          <w:tcPr>
            <w:tcW w:w="1300" w:type="dxa"/>
            <w:vAlign w:val="bottom"/>
            <w:tcBorders>
              <w:bottom w:val="single" w:sz="8" w:color="auto"/>
            </w:tcBorders>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7,849</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6,142</w:t>
            </w: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196"/>
        </w:trPr>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Provision for income taxes</w:t>
            </w:r>
          </w:p>
        </w:tc>
        <w:tc>
          <w:tcPr>
            <w:tcW w:w="4000" w:type="dxa"/>
            <w:vAlign w:val="bottom"/>
            <w:tcBorders>
              <w:bottom w:val="single" w:sz="8" w:color="auto"/>
            </w:tcBorders>
            <w:gridSpan w:val="3"/>
          </w:tcPr>
          <w:p>
            <w:pPr>
              <w:jc w:val="right"/>
              <w:ind w:right="146"/>
              <w:spacing w:after="0" w:line="196" w:lineRule="exact"/>
              <w:rPr>
                <w:sz w:val="20"/>
                <w:szCs w:val="20"/>
                <w:color w:val="auto"/>
              </w:rPr>
            </w:pPr>
            <w:r>
              <w:rPr>
                <w:rFonts w:ascii="Arial" w:cs="Arial" w:eastAsia="Arial" w:hAnsi="Arial"/>
                <w:sz w:val="18"/>
                <w:szCs w:val="18"/>
                <w:b w:val="1"/>
                <w:bCs w:val="1"/>
                <w:color w:val="auto"/>
              </w:rPr>
              <w:t>$ 1,248,640</w:t>
            </w:r>
          </w:p>
        </w:tc>
        <w:tc>
          <w:tcPr>
            <w:tcW w:w="1300" w:type="dxa"/>
            <w:vAlign w:val="bottom"/>
            <w:tcBorders>
              <w:bottom w:val="single" w:sz="8" w:color="auto"/>
            </w:tcBorders>
          </w:tcPr>
          <w:p>
            <w:pPr>
              <w:jc w:val="right"/>
              <w:ind w:right="200"/>
              <w:spacing w:after="0" w:line="196" w:lineRule="exact"/>
              <w:rPr>
                <w:sz w:val="20"/>
                <w:szCs w:val="20"/>
                <w:color w:val="auto"/>
              </w:rPr>
            </w:pPr>
            <w:r>
              <w:rPr>
                <w:rFonts w:ascii="Arial" w:cs="Arial" w:eastAsia="Arial" w:hAnsi="Arial"/>
                <w:sz w:val="18"/>
                <w:szCs w:val="18"/>
                <w:color w:val="auto"/>
              </w:rPr>
              <w:t>$ 1,424,809</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$ 1,380,642</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56"/>
        </w:trPr>
        <w:tc>
          <w:tcPr>
            <w:tcW w:w="5020" w:type="dxa"/>
            <w:vAlign w:val="bottom"/>
          </w:tcPr>
          <w:p>
            <w:pPr>
              <w:spacing w:after="0"/>
              <w:rPr>
                <w:sz w:val="24"/>
                <w:szCs w:val="24"/>
                <w:color w:val="auto"/>
              </w:rPr>
            </w:pPr>
          </w:p>
        </w:tc>
        <w:tc>
          <w:tcPr>
            <w:tcW w:w="4000" w:type="dxa"/>
            <w:vAlign w:val="bottom"/>
            <w:gridSpan w:val="3"/>
          </w:tcPr>
          <w:p>
            <w:pPr>
              <w:jc w:val="right"/>
              <w:ind w:right="3046"/>
              <w:spacing w:after="0"/>
              <w:rPr>
                <w:sz w:val="20"/>
                <w:szCs w:val="20"/>
                <w:color w:val="auto"/>
              </w:rPr>
            </w:pPr>
            <w:r>
              <w:rPr>
                <w:rFonts w:ascii="Arial" w:cs="Arial" w:eastAsia="Arial" w:hAnsi="Arial"/>
                <w:sz w:val="18"/>
                <w:szCs w:val="18"/>
                <w:color w:val="auto"/>
              </w:rPr>
              <w:t>F-31</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81" w:name="page82"/>
    <w:bookmarkEnd w:id="8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TJX had net deferred tax (liabilities)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40"/>
              <w:spacing w:after="0"/>
              <w:rPr>
                <w:sz w:val="20"/>
                <w:szCs w:val="20"/>
                <w:color w:val="auto"/>
              </w:rPr>
            </w:pPr>
            <w:r>
              <w:rPr>
                <w:rFonts w:ascii="Arial" w:cs="Arial" w:eastAsia="Arial" w:hAnsi="Arial"/>
                <w:sz w:val="14"/>
                <w:szCs w:val="14"/>
                <w:color w:val="auto"/>
              </w:rPr>
              <w:t>Fiscal Year Ended</w:t>
            </w:r>
          </w:p>
        </w:tc>
      </w:tr>
      <w:tr>
        <w:trPr>
          <w:trHeight w:val="125"/>
        </w:trPr>
        <w:tc>
          <w:tcPr>
            <w:tcW w:w="74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114"/>
              <w:spacing w:after="0" w:line="125" w:lineRule="exact"/>
              <w:rPr>
                <w:sz w:val="20"/>
                <w:szCs w:val="20"/>
                <w:color w:val="auto"/>
              </w:rPr>
            </w:pPr>
            <w:r>
              <w:rPr>
                <w:rFonts w:ascii="Arial" w:cs="Arial" w:eastAsia="Arial" w:hAnsi="Arial"/>
                <w:sz w:val="14"/>
                <w:szCs w:val="14"/>
                <w:b w:val="1"/>
                <w:bCs w:val="1"/>
                <w:color w:val="auto"/>
              </w:rPr>
              <w:t>February 3,</w:t>
            </w: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w w:val="95"/>
              </w:rPr>
              <w:t>January 28,</w:t>
            </w:r>
          </w:p>
        </w:tc>
        <w:tc>
          <w:tcPr>
            <w:tcW w:w="120" w:type="dxa"/>
            <w:vAlign w:val="bottom"/>
          </w:tcPr>
          <w:p>
            <w:pPr>
              <w:spacing w:after="0"/>
              <w:rPr>
                <w:sz w:val="10"/>
                <w:szCs w:val="10"/>
                <w:color w:val="auto"/>
              </w:rPr>
            </w:pPr>
          </w:p>
        </w:tc>
      </w:tr>
      <w:tr>
        <w:trPr>
          <w:trHeight w:val="165"/>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4"/>
                <w:szCs w:val="14"/>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line="202" w:lineRule="exact"/>
              <w:rPr>
                <w:sz w:val="20"/>
                <w:szCs w:val="20"/>
                <w:color w:val="auto"/>
              </w:rPr>
            </w:pPr>
            <w:r>
              <w:rPr>
                <w:rFonts w:ascii="Arial" w:cs="Arial" w:eastAsia="Arial" w:hAnsi="Arial"/>
                <w:sz w:val="18"/>
                <w:szCs w:val="18"/>
                <w:color w:val="auto"/>
              </w:rPr>
              <w:t>Net operating loss carryforward</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40,088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27,396</w:t>
            </w:r>
          </w:p>
        </w:tc>
        <w:tc>
          <w:tcPr>
            <w:tcW w:w="12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Reserves for lease obligations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3,637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5,107</w:t>
            </w: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line="202" w:lineRule="exact"/>
              <w:rPr>
                <w:sz w:val="20"/>
                <w:szCs w:val="20"/>
                <w:color w:val="auto"/>
              </w:rPr>
            </w:pPr>
            <w:r>
              <w:rPr>
                <w:rFonts w:ascii="Arial" w:cs="Arial" w:eastAsia="Arial" w:hAnsi="Arial"/>
                <w:sz w:val="18"/>
                <w:szCs w:val="18"/>
                <w:color w:val="auto"/>
              </w:rPr>
              <w:t>Pension, stock compensation, postretirement and employee benefits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232,887</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412,391</w:t>
            </w:r>
          </w:p>
        </w:tc>
        <w:tc>
          <w:tcPr>
            <w:tcW w:w="12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42,999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57,223</w:t>
            </w: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line="202" w:lineRule="exact"/>
              <w:rPr>
                <w:sz w:val="20"/>
                <w:szCs w:val="20"/>
                <w:color w:val="auto"/>
              </w:rPr>
            </w:pPr>
            <w:r>
              <w:rPr>
                <w:rFonts w:ascii="Arial" w:cs="Arial" w:eastAsia="Arial" w:hAnsi="Arial"/>
                <w:sz w:val="18"/>
                <w:szCs w:val="18"/>
                <w:color w:val="auto"/>
              </w:rPr>
              <w:t>Accruals and reserves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51,281</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67,662</w:t>
            </w:r>
          </w:p>
        </w:tc>
        <w:tc>
          <w:tcPr>
            <w:tcW w:w="120" w:type="dxa"/>
            <w:vAlign w:val="bottom"/>
          </w:tcPr>
          <w:p>
            <w:pPr>
              <w:spacing w:after="0"/>
              <w:rPr>
                <w:sz w:val="17"/>
                <w:szCs w:val="17"/>
                <w:color w:val="auto"/>
              </w:rPr>
            </w:pPr>
          </w:p>
        </w:tc>
      </w:tr>
      <w:tr>
        <w:trPr>
          <w:trHeight w:val="203"/>
        </w:trPr>
        <w:tc>
          <w:tcPr>
            <w:tcW w:w="7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9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25,599</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48,463</w:t>
            </w:r>
          </w:p>
        </w:tc>
        <w:tc>
          <w:tcPr>
            <w:tcW w:w="120" w:type="dxa"/>
            <w:vAlign w:val="bottom"/>
            <w:tcBorders>
              <w:bottom w:val="single" w:sz="8" w:color="auto"/>
            </w:tcBorders>
            <w:shd w:val="clear" w:color="auto" w:fill="CCEEFF"/>
          </w:tcPr>
          <w:p>
            <w:pPr>
              <w:spacing w:after="0"/>
              <w:rPr>
                <w:sz w:val="17"/>
                <w:szCs w:val="17"/>
                <w:color w:val="auto"/>
              </w:rPr>
            </w:pPr>
          </w:p>
        </w:tc>
      </w:tr>
      <w:tr>
        <w:trPr>
          <w:trHeight w:val="196"/>
        </w:trPr>
        <w:tc>
          <w:tcPr>
            <w:tcW w:w="7440" w:type="dxa"/>
            <w:vAlign w:val="bottom"/>
          </w:tcPr>
          <w:p>
            <w:pPr>
              <w:spacing w:after="0" w:line="196" w:lineRule="exact"/>
              <w:rPr>
                <w:sz w:val="20"/>
                <w:szCs w:val="20"/>
                <w:color w:val="auto"/>
              </w:rPr>
            </w:pPr>
            <w:r>
              <w:rPr>
                <w:rFonts w:ascii="Arial" w:cs="Arial" w:eastAsia="Arial" w:hAnsi="Arial"/>
                <w:sz w:val="18"/>
                <w:szCs w:val="18"/>
                <w:color w:val="auto"/>
              </w:rPr>
              <w:t>Total gross deferred tax assets</w:t>
            </w: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4"/>
              <w:spacing w:after="0" w:line="196" w:lineRule="exact"/>
              <w:rPr>
                <w:sz w:val="20"/>
                <w:szCs w:val="20"/>
                <w:color w:val="auto"/>
              </w:rPr>
            </w:pPr>
            <w:r>
              <w:rPr>
                <w:rFonts w:ascii="Arial" w:cs="Arial" w:eastAsia="Arial" w:hAnsi="Arial"/>
                <w:sz w:val="18"/>
                <w:szCs w:val="18"/>
                <w:b w:val="1"/>
                <w:bCs w:val="1"/>
                <w:color w:val="auto"/>
              </w:rPr>
              <w:t>396,491</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618,242</w:t>
            </w:r>
          </w:p>
        </w:tc>
        <w:tc>
          <w:tcPr>
            <w:tcW w:w="120" w:type="dxa"/>
            <w:vAlign w:val="bottom"/>
          </w:tcPr>
          <w:p>
            <w:pPr>
              <w:spacing w:after="0"/>
              <w:rPr>
                <w:sz w:val="17"/>
                <w:szCs w:val="17"/>
                <w:color w:val="auto"/>
              </w:rPr>
            </w:pPr>
          </w:p>
        </w:tc>
      </w:tr>
      <w:tr>
        <w:trPr>
          <w:trHeight w:val="203"/>
        </w:trPr>
        <w:tc>
          <w:tcPr>
            <w:tcW w:w="7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9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(42,332)</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(29,273)</w:t>
            </w:r>
          </w:p>
        </w:tc>
      </w:tr>
      <w:tr>
        <w:trPr>
          <w:trHeight w:val="196"/>
        </w:trPr>
        <w:tc>
          <w:tcPr>
            <w:tcW w:w="7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deferred tax asset</w:t>
            </w:r>
          </w:p>
        </w:tc>
        <w:tc>
          <w:tcPr>
            <w:tcW w:w="20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4"/>
              <w:spacing w:after="0" w:line="196" w:lineRule="exact"/>
              <w:rPr>
                <w:sz w:val="20"/>
                <w:szCs w:val="20"/>
                <w:color w:val="auto"/>
              </w:rPr>
            </w:pPr>
            <w:r>
              <w:rPr>
                <w:rFonts w:ascii="Arial" w:cs="Arial" w:eastAsia="Arial" w:hAnsi="Arial"/>
                <w:sz w:val="18"/>
                <w:szCs w:val="18"/>
                <w:b w:val="1"/>
                <w:bCs w:val="1"/>
                <w:color w:val="auto"/>
              </w:rPr>
              <w:t>354,159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588,969</w:t>
            </w:r>
          </w:p>
        </w:tc>
        <w:tc>
          <w:tcPr>
            <w:tcW w:w="120" w:type="dxa"/>
            <w:vAlign w:val="bottom"/>
            <w:tcBorders>
              <w:bottom w:val="single" w:sz="8" w:color="auto"/>
            </w:tcBorders>
          </w:tcPr>
          <w:p>
            <w:pPr>
              <w:spacing w:after="0"/>
              <w:rPr>
                <w:sz w:val="17"/>
                <w:szCs w:val="17"/>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line="202" w:lineRule="exact"/>
              <w:rPr>
                <w:sz w:val="20"/>
                <w:szCs w:val="20"/>
                <w:color w:val="auto"/>
              </w:rPr>
            </w:pPr>
            <w:r>
              <w:rPr>
                <w:rFonts w:ascii="Arial" w:cs="Arial" w:eastAsia="Arial" w:hAnsi="Arial"/>
                <w:sz w:val="18"/>
                <w:szCs w:val="18"/>
                <w:color w:val="auto"/>
              </w:rPr>
              <w:t>Property, plant and equipment</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437,621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569,377</w:t>
            </w:r>
          </w:p>
        </w:tc>
        <w:tc>
          <w:tcPr>
            <w:tcW w:w="12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Capitalized inventory</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45,125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51,077</w:t>
            </w: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line="202" w:lineRule="exact"/>
              <w:rPr>
                <w:sz w:val="20"/>
                <w:szCs w:val="20"/>
                <w:color w:val="auto"/>
              </w:rPr>
            </w:pPr>
            <w:r>
              <w:rPr>
                <w:rFonts w:ascii="Arial" w:cs="Arial" w:eastAsia="Arial" w:hAnsi="Arial"/>
                <w:sz w:val="18"/>
                <w:szCs w:val="18"/>
                <w:color w:val="auto"/>
              </w:rPr>
              <w:t>Tradename/intangibles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12,628</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51,976</w:t>
            </w:r>
          </w:p>
        </w:tc>
        <w:tc>
          <w:tcPr>
            <w:tcW w:w="12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Undistributed foreign earnings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b w:val="1"/>
                <w:bCs w:val="1"/>
                <w:color w:val="auto"/>
              </w:rPr>
              <w:t>65,013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213,948</w:t>
            </w: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Other</w:t>
            </w:r>
          </w:p>
        </w:tc>
        <w:tc>
          <w:tcPr>
            <w:tcW w:w="1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20,271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10,398</w:t>
            </w:r>
          </w:p>
        </w:tc>
        <w:tc>
          <w:tcPr>
            <w:tcW w:w="120" w:type="dxa"/>
            <w:vAlign w:val="bottom"/>
            <w:tcBorders>
              <w:bottom w:val="single" w:sz="8" w:color="auto"/>
            </w:tcBorders>
          </w:tcPr>
          <w:p>
            <w:pPr>
              <w:spacing w:after="0"/>
              <w:rPr>
                <w:sz w:val="17"/>
                <w:szCs w:val="17"/>
                <w:color w:val="auto"/>
              </w:rPr>
            </w:pPr>
          </w:p>
        </w:tc>
      </w:tr>
      <w:tr>
        <w:trPr>
          <w:trHeight w:val="196"/>
        </w:trPr>
        <w:tc>
          <w:tcPr>
            <w:tcW w:w="7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20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rPr>
              <w:t>580,658</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896,776</w:t>
            </w:r>
          </w:p>
        </w:tc>
        <w:tc>
          <w:tcPr>
            <w:tcW w:w="120" w:type="dxa"/>
            <w:vAlign w:val="bottom"/>
            <w:tcBorders>
              <w:bottom w:val="single" w:sz="8" w:color="auto"/>
            </w:tcBorders>
            <w:shd w:val="clear" w:color="auto" w:fill="CCEEFF"/>
          </w:tcPr>
          <w:p>
            <w:pPr>
              <w:spacing w:after="0"/>
              <w:rPr>
                <w:sz w:val="17"/>
                <w:szCs w:val="17"/>
                <w:color w:val="auto"/>
              </w:rPr>
            </w:pPr>
          </w:p>
        </w:tc>
      </w:tr>
      <w:tr>
        <w:trPr>
          <w:trHeight w:val="196"/>
        </w:trPr>
        <w:tc>
          <w:tcPr>
            <w:tcW w:w="7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20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w w:val="95"/>
              </w:rPr>
              <w:t>(226,499)</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98"/>
              </w:rPr>
              <w:t>(307,807)</w:t>
            </w: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w:t>
            </w:r>
          </w:p>
        </w:tc>
        <w:tc>
          <w:tcPr>
            <w:tcW w:w="2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4"/>
              <w:spacing w:after="0" w:line="196" w:lineRule="exact"/>
              <w:rPr>
                <w:sz w:val="20"/>
                <w:szCs w:val="20"/>
                <w:color w:val="auto"/>
              </w:rPr>
            </w:pPr>
            <w:r>
              <w:rPr>
                <w:rFonts w:ascii="Arial" w:cs="Arial" w:eastAsia="Arial" w:hAnsi="Arial"/>
                <w:sz w:val="18"/>
                <w:szCs w:val="18"/>
                <w:b w:val="1"/>
                <w:bCs w:val="1"/>
                <w:color w:val="auto"/>
              </w:rPr>
              <w:t>6,558</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6,193</w:t>
            </w:r>
          </w:p>
        </w:tc>
        <w:tc>
          <w:tcPr>
            <w:tcW w:w="12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Non-current liability</w:t>
            </w:r>
          </w:p>
        </w:tc>
        <w:tc>
          <w:tcPr>
            <w:tcW w:w="1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w w:val="95"/>
              </w:rPr>
              <w:t>(233,057)</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w w:val="98"/>
              </w:rPr>
              <w:t>(314,000)</w:t>
            </w:r>
          </w:p>
        </w:tc>
      </w:tr>
      <w:tr>
        <w:trPr>
          <w:trHeight w:val="196"/>
        </w:trPr>
        <w:tc>
          <w:tcPr>
            <w:tcW w:w="7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b w:val="1"/>
                <w:bCs w:val="1"/>
                <w:color w:val="auto"/>
                <w:w w:val="95"/>
              </w:rPr>
              <w:t>(226,499)</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(307,807)</w:t>
            </w:r>
          </w:p>
        </w:tc>
      </w:tr>
    </w:tbl>
    <w:p>
      <w:pPr>
        <w:spacing w:after="0" w:line="84" w:lineRule="exact"/>
        <w:rPr>
          <w:sz w:val="20"/>
          <w:szCs w:val="20"/>
          <w:color w:val="auto"/>
        </w:rPr>
      </w:pPr>
    </w:p>
    <w:p>
      <w:pPr>
        <w:ind w:right="80" w:firstLine="342"/>
        <w:spacing w:after="0" w:line="236" w:lineRule="auto"/>
        <w:rPr>
          <w:sz w:val="20"/>
          <w:szCs w:val="20"/>
          <w:color w:val="auto"/>
        </w:rPr>
      </w:pPr>
      <w:r>
        <w:rPr>
          <w:rFonts w:ascii="Arial" w:cs="Arial" w:eastAsia="Arial" w:hAnsi="Arial"/>
          <w:sz w:val="18"/>
          <w:szCs w:val="18"/>
          <w:color w:val="auto"/>
        </w:rPr>
        <w:t>TJX has provided for all applicable state and foreign withholding taxes on all undistributed earnings of its foreign subsidiaries in Canada, Puerto Rico, Italy, India, Hong Kong and Vietnam through February 3, 2018. We have not provided for state and foreign withholding taxes on the approximately $1 billion of undistributed earnings related to all other foreign subsidiaries as we have provisionally asserted that these earnings are indefinitely reinvested in the business. The net amount of unrecognized state and foreign withholding tax liabilities related to the undistributed earnings is approximately $31 million.</w:t>
      </w:r>
    </w:p>
    <w:p>
      <w:pPr>
        <w:spacing w:after="0" w:line="76"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As of February 3, 2018 and January 28, 2017, for state income tax purposes, TJX had net operating loss carryforwards of $113.9 million and $99.2 million respectively, which expire, if unused, in the years 2019 through 2037. TJX has analyzed the realization of the state net operating loss carryforwards on an individual state basis. For those states where the Company has determined that it is more likely than not that the state net operating loss carryforwards will not be realized, a valuation allowance of $8.9 million has been provided for the deferred tax asset as of February 3, 2018 and $6.8 million as of January 28, 2017.</w:t>
      </w:r>
    </w:p>
    <w:p>
      <w:pPr>
        <w:spacing w:after="0" w:line="76" w:lineRule="exact"/>
        <w:rPr>
          <w:sz w:val="20"/>
          <w:szCs w:val="20"/>
          <w:color w:val="auto"/>
        </w:rPr>
      </w:pPr>
    </w:p>
    <w:p>
      <w:pPr>
        <w:ind w:right="100" w:firstLine="342"/>
        <w:spacing w:after="0" w:line="273" w:lineRule="auto"/>
        <w:rPr>
          <w:sz w:val="20"/>
          <w:szCs w:val="20"/>
          <w:color w:val="auto"/>
        </w:rPr>
      </w:pPr>
      <w:r>
        <w:rPr>
          <w:rFonts w:ascii="Arial" w:cs="Arial" w:eastAsia="Arial" w:hAnsi="Arial"/>
          <w:sz w:val="16"/>
          <w:szCs w:val="16"/>
          <w:color w:val="auto"/>
        </w:rPr>
        <w:t>As of February 3, 2018 and January 28, 2017, the Company had available for foreign income tax purposes (related to Australia, Austria and the Netherlands) net operating loss carryforwards of $111 million and $75 million respectively, of which $13.6 million will expire, if unused, in fiscal years 2025 through 2027. The remaining loss carryforwards do not expire. For the deferred tax assets associated with the net operating loss carryforwards for which management has determined it is more likely than not that the deferred tax assets will not be realized, TJX had valuation allowances recorded of approximately $33.4 million as of February 3, 2018, and approximately $22.5 million as of January 28, 2017.</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91" w:right="239" w:bottom="1440" w:gutter="0" w:footer="0" w:header="0"/>
        </w:sectPr>
      </w:pPr>
    </w:p>
    <w:bookmarkStart w:id="82" w:name="page83"/>
    <w:bookmarkEnd w:id="82"/>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difference between the U.S. federal statutory income tax rate and TJX’s worldwide effective income tax rate is reconciled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color w:val="auto"/>
              </w:rPr>
              <w:t>Fiscal Year Ended</w:t>
            </w:r>
          </w:p>
        </w:tc>
        <w:tc>
          <w:tcPr>
            <w:tcW w:w="1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5"/>
        </w:trPr>
        <w:tc>
          <w:tcPr>
            <w:tcW w:w="5360" w:type="dxa"/>
            <w:vAlign w:val="bottom"/>
          </w:tcPr>
          <w:p>
            <w:pPr>
              <w:spacing w:after="0"/>
              <w:rPr>
                <w:sz w:val="10"/>
                <w:szCs w:val="10"/>
                <w:color w:val="auto"/>
              </w:rPr>
            </w:pPr>
          </w:p>
        </w:tc>
        <w:tc>
          <w:tcPr>
            <w:tcW w:w="1860" w:type="dxa"/>
            <w:vAlign w:val="bottom"/>
          </w:tcPr>
          <w:p>
            <w:pPr>
              <w:jc w:val="right"/>
              <w:ind w:right="1036"/>
              <w:spacing w:after="0" w:line="125" w:lineRule="exact"/>
              <w:rPr>
                <w:sz w:val="20"/>
                <w:szCs w:val="20"/>
                <w:color w:val="auto"/>
              </w:rPr>
            </w:pPr>
            <w:r>
              <w:rPr>
                <w:rFonts w:ascii="Arial" w:cs="Arial" w:eastAsia="Arial" w:hAnsi="Arial"/>
                <w:sz w:val="14"/>
                <w:szCs w:val="14"/>
                <w:b w:val="1"/>
                <w:bCs w:val="1"/>
                <w:color w:val="auto"/>
                <w:w w:val="95"/>
              </w:rPr>
              <w:t>February 3,</w:t>
            </w:r>
          </w:p>
        </w:tc>
        <w:tc>
          <w:tcPr>
            <w:tcW w:w="2320" w:type="dxa"/>
            <w:vAlign w:val="bottom"/>
          </w:tcPr>
          <w:p>
            <w:pPr>
              <w:jc w:val="right"/>
              <w:ind w:right="1018"/>
              <w:spacing w:after="0" w:line="125" w:lineRule="exact"/>
              <w:rPr>
                <w:sz w:val="20"/>
                <w:szCs w:val="20"/>
                <w:color w:val="auto"/>
              </w:rPr>
            </w:pPr>
            <w:r>
              <w:rPr>
                <w:rFonts w:ascii="Arial" w:cs="Arial" w:eastAsia="Arial" w:hAnsi="Arial"/>
                <w:sz w:val="14"/>
                <w:szCs w:val="14"/>
                <w:color w:val="auto"/>
              </w:rPr>
              <w:t>January 28,</w:t>
            </w:r>
          </w:p>
        </w:tc>
        <w:tc>
          <w:tcPr>
            <w:tcW w:w="1660" w:type="dxa"/>
            <w:vAlign w:val="bottom"/>
          </w:tcPr>
          <w:p>
            <w:pPr>
              <w:jc w:val="right"/>
              <w:ind w:right="357"/>
              <w:spacing w:after="0" w:line="125" w:lineRule="exact"/>
              <w:rPr>
                <w:sz w:val="20"/>
                <w:szCs w:val="20"/>
                <w:color w:val="auto"/>
              </w:rPr>
            </w:pPr>
            <w:r>
              <w:rPr>
                <w:rFonts w:ascii="Arial" w:cs="Arial" w:eastAsia="Arial" w:hAnsi="Arial"/>
                <w:sz w:val="14"/>
                <w:szCs w:val="14"/>
                <w:color w:val="auto"/>
              </w:rPr>
              <w:t>January 30,</w:t>
            </w:r>
          </w:p>
        </w:tc>
        <w:tc>
          <w:tcPr>
            <w:tcW w:w="220" w:type="dxa"/>
            <w:vAlign w:val="bottom"/>
          </w:tcPr>
          <w:p>
            <w:pPr>
              <w:spacing w:after="0"/>
              <w:rPr>
                <w:sz w:val="10"/>
                <w:szCs w:val="10"/>
                <w:color w:val="auto"/>
              </w:rPr>
            </w:pPr>
          </w:p>
        </w:tc>
      </w:tr>
      <w:tr>
        <w:trPr>
          <w:trHeight w:val="165"/>
        </w:trPr>
        <w:tc>
          <w:tcPr>
            <w:tcW w:w="5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b w:val="1"/>
                <w:bCs w:val="1"/>
                <w:color w:val="auto"/>
              </w:rPr>
              <w:t>2018</w:t>
            </w:r>
          </w:p>
        </w:tc>
        <w:tc>
          <w:tcPr>
            <w:tcW w:w="2320" w:type="dxa"/>
            <w:vAlign w:val="bottom"/>
            <w:tcBorders>
              <w:bottom w:val="single" w:sz="8" w:color="auto"/>
            </w:tcBorders>
          </w:tcPr>
          <w:p>
            <w:pPr>
              <w:jc w:val="right"/>
              <w:ind w:right="1058"/>
              <w:spacing w:after="0"/>
              <w:rPr>
                <w:sz w:val="20"/>
                <w:szCs w:val="20"/>
                <w:color w:val="auto"/>
              </w:rPr>
            </w:pPr>
            <w:r>
              <w:rPr>
                <w:rFonts w:ascii="Arial" w:cs="Arial" w:eastAsia="Arial" w:hAnsi="Arial"/>
                <w:sz w:val="14"/>
                <w:szCs w:val="14"/>
                <w:color w:val="auto"/>
              </w:rPr>
              <w:t>2017</w:t>
            </w:r>
          </w:p>
        </w:tc>
        <w:tc>
          <w:tcPr>
            <w:tcW w:w="16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4"/>
                <w:szCs w:val="14"/>
                <w:color w:val="auto"/>
              </w:rPr>
            </w:pPr>
          </w:p>
        </w:tc>
      </w:tr>
      <w:tr>
        <w:trPr>
          <w:trHeight w:val="196"/>
        </w:trPr>
        <w:tc>
          <w:tcPr>
            <w:tcW w:w="5360" w:type="dxa"/>
            <w:vAlign w:val="bottom"/>
          </w:tcPr>
          <w:p>
            <w:pPr>
              <w:spacing w:after="0"/>
              <w:rPr>
                <w:sz w:val="17"/>
                <w:szCs w:val="17"/>
                <w:color w:val="auto"/>
              </w:rPr>
            </w:pPr>
          </w:p>
        </w:tc>
        <w:tc>
          <w:tcPr>
            <w:tcW w:w="1860" w:type="dxa"/>
            <w:vAlign w:val="bottom"/>
          </w:tcPr>
          <w:p>
            <w:pPr>
              <w:jc w:val="right"/>
              <w:ind w:right="736"/>
              <w:spacing w:after="0" w:line="196" w:lineRule="exact"/>
              <w:rPr>
                <w:sz w:val="20"/>
                <w:szCs w:val="20"/>
                <w:color w:val="auto"/>
              </w:rPr>
            </w:pPr>
            <w:r>
              <w:rPr>
                <w:rFonts w:ascii="Arial" w:cs="Arial" w:eastAsia="Arial" w:hAnsi="Arial"/>
                <w:sz w:val="18"/>
                <w:szCs w:val="18"/>
                <w:color w:val="auto"/>
              </w:rPr>
              <w:t>(53 weeks)</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1860" w:type="dxa"/>
            <w:vAlign w:val="bottom"/>
            <w:shd w:val="clear" w:color="auto" w:fill="CCEEFF"/>
          </w:tcPr>
          <w:p>
            <w:pPr>
              <w:jc w:val="right"/>
              <w:ind w:right="416"/>
              <w:spacing w:after="0" w:line="202" w:lineRule="exact"/>
              <w:rPr>
                <w:sz w:val="20"/>
                <w:szCs w:val="20"/>
                <w:color w:val="auto"/>
              </w:rPr>
            </w:pPr>
            <w:r>
              <w:rPr>
                <w:rFonts w:ascii="Arial" w:cs="Arial" w:eastAsia="Arial" w:hAnsi="Arial"/>
                <w:sz w:val="18"/>
                <w:szCs w:val="18"/>
                <w:b w:val="1"/>
                <w:bCs w:val="1"/>
                <w:color w:val="auto"/>
              </w:rPr>
              <w:t>33.7%</w:t>
            </w:r>
          </w:p>
        </w:tc>
        <w:tc>
          <w:tcPr>
            <w:tcW w:w="2320" w:type="dxa"/>
            <w:vAlign w:val="bottom"/>
            <w:shd w:val="clear" w:color="auto" w:fill="CCEEFF"/>
          </w:tcPr>
          <w:p>
            <w:pPr>
              <w:jc w:val="right"/>
              <w:ind w:right="418"/>
              <w:spacing w:after="0" w:line="202" w:lineRule="exact"/>
              <w:rPr>
                <w:sz w:val="20"/>
                <w:szCs w:val="20"/>
                <w:color w:val="auto"/>
              </w:rPr>
            </w:pPr>
            <w:r>
              <w:rPr>
                <w:rFonts w:ascii="Arial" w:cs="Arial" w:eastAsia="Arial" w:hAnsi="Arial"/>
                <w:sz w:val="18"/>
                <w:szCs w:val="18"/>
                <w:color w:val="auto"/>
              </w:rPr>
              <w:t>35.0%</w:t>
            </w:r>
          </w:p>
        </w:tc>
        <w:tc>
          <w:tcPr>
            <w:tcW w:w="1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Effective state income tax rate</w:t>
            </w:r>
          </w:p>
        </w:tc>
        <w:tc>
          <w:tcPr>
            <w:tcW w:w="1860" w:type="dxa"/>
            <w:vAlign w:val="bottom"/>
          </w:tcPr>
          <w:p>
            <w:pPr>
              <w:jc w:val="right"/>
              <w:ind w:right="576"/>
              <w:spacing w:after="0" w:line="202" w:lineRule="exact"/>
              <w:rPr>
                <w:sz w:val="20"/>
                <w:szCs w:val="20"/>
                <w:color w:val="auto"/>
              </w:rPr>
            </w:pPr>
            <w:r>
              <w:rPr>
                <w:rFonts w:ascii="Arial" w:cs="Arial" w:eastAsia="Arial" w:hAnsi="Arial"/>
                <w:sz w:val="18"/>
                <w:szCs w:val="18"/>
                <w:b w:val="1"/>
                <w:bCs w:val="1"/>
                <w:color w:val="auto"/>
              </w:rPr>
              <w:t>3.6</w:t>
            </w:r>
          </w:p>
        </w:tc>
        <w:tc>
          <w:tcPr>
            <w:tcW w:w="232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3.5</w:t>
            </w:r>
          </w:p>
        </w:tc>
        <w:tc>
          <w:tcPr>
            <w:tcW w:w="1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3.5</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foreign operations</w:t>
            </w:r>
          </w:p>
        </w:tc>
        <w:tc>
          <w:tcPr>
            <w:tcW w:w="1860" w:type="dxa"/>
            <w:vAlign w:val="bottom"/>
            <w:shd w:val="clear" w:color="auto" w:fill="CCEEFF"/>
          </w:tcPr>
          <w:p>
            <w:pPr>
              <w:jc w:val="right"/>
              <w:ind w:right="516"/>
              <w:spacing w:after="0" w:line="202" w:lineRule="exact"/>
              <w:rPr>
                <w:sz w:val="20"/>
                <w:szCs w:val="20"/>
                <w:color w:val="auto"/>
              </w:rPr>
            </w:pPr>
            <w:r>
              <w:rPr>
                <w:rFonts w:ascii="Arial" w:cs="Arial" w:eastAsia="Arial" w:hAnsi="Arial"/>
                <w:sz w:val="18"/>
                <w:szCs w:val="18"/>
                <w:b w:val="1"/>
                <w:bCs w:val="1"/>
                <w:color w:val="auto"/>
              </w:rPr>
              <w:t>(0.1)</w:t>
            </w:r>
          </w:p>
        </w:tc>
        <w:tc>
          <w:tcPr>
            <w:tcW w:w="2320" w:type="dxa"/>
            <w:vAlign w:val="bottom"/>
            <w:shd w:val="clear" w:color="auto" w:fill="CCEEFF"/>
          </w:tcPr>
          <w:p>
            <w:pPr>
              <w:jc w:val="right"/>
              <w:ind w:right="518"/>
              <w:spacing w:after="0" w:line="202" w:lineRule="exact"/>
              <w:rPr>
                <w:sz w:val="20"/>
                <w:szCs w:val="20"/>
                <w:color w:val="auto"/>
              </w:rPr>
            </w:pPr>
            <w:r>
              <w:rPr>
                <w:rFonts w:ascii="Arial" w:cs="Arial" w:eastAsia="Arial" w:hAnsi="Arial"/>
                <w:sz w:val="18"/>
                <w:szCs w:val="18"/>
                <w:color w:val="auto"/>
              </w:rPr>
              <w:t>(0.2)</w:t>
            </w:r>
          </w:p>
        </w:tc>
        <w:tc>
          <w:tcPr>
            <w:tcW w:w="1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(0.7)</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Excess share-based compensation</w:t>
            </w:r>
          </w:p>
        </w:tc>
        <w:tc>
          <w:tcPr>
            <w:tcW w:w="1860" w:type="dxa"/>
            <w:vAlign w:val="bottom"/>
          </w:tcPr>
          <w:p>
            <w:pPr>
              <w:jc w:val="right"/>
              <w:ind w:right="516"/>
              <w:spacing w:after="0" w:line="202" w:lineRule="exact"/>
              <w:rPr>
                <w:sz w:val="20"/>
                <w:szCs w:val="20"/>
                <w:color w:val="auto"/>
              </w:rPr>
            </w:pPr>
            <w:r>
              <w:rPr>
                <w:rFonts w:ascii="Arial" w:cs="Arial" w:eastAsia="Arial" w:hAnsi="Arial"/>
                <w:sz w:val="18"/>
                <w:szCs w:val="18"/>
                <w:b w:val="1"/>
                <w:bCs w:val="1"/>
                <w:color w:val="auto"/>
              </w:rPr>
              <w:t>(1.3)</w:t>
            </w:r>
          </w:p>
        </w:tc>
        <w:tc>
          <w:tcPr>
            <w:tcW w:w="232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2017 Tax Act</w:t>
            </w:r>
          </w:p>
        </w:tc>
        <w:tc>
          <w:tcPr>
            <w:tcW w:w="1860" w:type="dxa"/>
            <w:vAlign w:val="bottom"/>
            <w:shd w:val="clear" w:color="auto" w:fill="CCEEFF"/>
          </w:tcPr>
          <w:p>
            <w:pPr>
              <w:jc w:val="right"/>
              <w:ind w:right="516"/>
              <w:spacing w:after="0" w:line="202" w:lineRule="exact"/>
              <w:rPr>
                <w:sz w:val="20"/>
                <w:szCs w:val="20"/>
                <w:color w:val="auto"/>
              </w:rPr>
            </w:pPr>
            <w:r>
              <w:rPr>
                <w:rFonts w:ascii="Arial" w:cs="Arial" w:eastAsia="Arial" w:hAnsi="Arial"/>
                <w:sz w:val="18"/>
                <w:szCs w:val="18"/>
                <w:b w:val="1"/>
                <w:bCs w:val="1"/>
                <w:color w:val="auto"/>
              </w:rPr>
              <w:t>(2.3)</w:t>
            </w:r>
          </w:p>
        </w:tc>
        <w:tc>
          <w:tcPr>
            <w:tcW w:w="2320" w:type="dxa"/>
            <w:vAlign w:val="bottom"/>
            <w:shd w:val="clear" w:color="auto" w:fill="CCEEFF"/>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 other</w:t>
            </w:r>
          </w:p>
        </w:tc>
        <w:tc>
          <w:tcPr>
            <w:tcW w:w="1860" w:type="dxa"/>
            <w:vAlign w:val="bottom"/>
            <w:tcBorders>
              <w:bottom w:val="single" w:sz="8" w:color="auto"/>
            </w:tcBorders>
          </w:tcPr>
          <w:p>
            <w:pPr>
              <w:jc w:val="right"/>
              <w:ind w:right="516"/>
              <w:spacing w:after="0" w:line="202" w:lineRule="exact"/>
              <w:rPr>
                <w:sz w:val="20"/>
                <w:szCs w:val="20"/>
                <w:color w:val="auto"/>
              </w:rPr>
            </w:pPr>
            <w:r>
              <w:rPr>
                <w:rFonts w:ascii="Arial" w:cs="Arial" w:eastAsia="Arial" w:hAnsi="Arial"/>
                <w:sz w:val="18"/>
                <w:szCs w:val="18"/>
                <w:b w:val="1"/>
                <w:bCs w:val="1"/>
                <w:color w:val="auto"/>
              </w:rPr>
              <w:t>(1.2)</w:t>
            </w:r>
          </w:p>
        </w:tc>
        <w:tc>
          <w:tcPr>
            <w:tcW w:w="2320" w:type="dxa"/>
            <w:vAlign w:val="bottom"/>
            <w:tcBorders>
              <w:bottom w:val="single" w:sz="8" w:color="auto"/>
            </w:tcBorders>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(0.1)</w:t>
            </w:r>
          </w:p>
        </w:tc>
      </w:tr>
      <w:tr>
        <w:trPr>
          <w:trHeight w:val="196"/>
        </w:trPr>
        <w:tc>
          <w:tcPr>
            <w:tcW w:w="5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Worldwide effective income tax rate</w:t>
            </w:r>
          </w:p>
        </w:tc>
        <w:tc>
          <w:tcPr>
            <w:tcW w:w="1860" w:type="dxa"/>
            <w:vAlign w:val="bottom"/>
            <w:tcBorders>
              <w:bottom w:val="single" w:sz="8" w:color="auto"/>
            </w:tcBorders>
            <w:shd w:val="clear" w:color="auto" w:fill="CCEEFF"/>
          </w:tcPr>
          <w:p>
            <w:pPr>
              <w:jc w:val="right"/>
              <w:ind w:right="416"/>
              <w:spacing w:after="0" w:line="196" w:lineRule="exact"/>
              <w:rPr>
                <w:sz w:val="20"/>
                <w:szCs w:val="20"/>
                <w:color w:val="auto"/>
              </w:rPr>
            </w:pPr>
            <w:r>
              <w:rPr>
                <w:rFonts w:ascii="Arial" w:cs="Arial" w:eastAsia="Arial" w:hAnsi="Arial"/>
                <w:sz w:val="18"/>
                <w:szCs w:val="18"/>
                <w:b w:val="1"/>
                <w:bCs w:val="1"/>
                <w:color w:val="auto"/>
              </w:rPr>
              <w:t>32.4%</w:t>
            </w:r>
          </w:p>
        </w:tc>
        <w:tc>
          <w:tcPr>
            <w:tcW w:w="2320" w:type="dxa"/>
            <w:vAlign w:val="bottom"/>
            <w:tcBorders>
              <w:bottom w:val="single" w:sz="8" w:color="auto"/>
            </w:tcBorders>
            <w:shd w:val="clear" w:color="auto" w:fill="CCEEFF"/>
          </w:tcPr>
          <w:p>
            <w:pPr>
              <w:jc w:val="right"/>
              <w:ind w:right="418"/>
              <w:spacing w:after="0" w:line="196" w:lineRule="exact"/>
              <w:rPr>
                <w:sz w:val="20"/>
                <w:szCs w:val="20"/>
                <w:color w:val="auto"/>
              </w:rPr>
            </w:pPr>
            <w:r>
              <w:rPr>
                <w:rFonts w:ascii="Arial" w:cs="Arial" w:eastAsia="Arial" w:hAnsi="Arial"/>
                <w:sz w:val="18"/>
                <w:szCs w:val="18"/>
                <w:color w:val="auto"/>
              </w:rPr>
              <w:t>38.3%</w:t>
            </w:r>
          </w:p>
        </w:tc>
        <w:tc>
          <w:tcPr>
            <w:tcW w:w="188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37.7%</w:t>
            </w:r>
          </w:p>
        </w:tc>
      </w:tr>
    </w:tbl>
    <w:p>
      <w:pPr>
        <w:spacing w:after="0" w:line="84"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TJX’s U.S. federal statutory rate of 33.7% is a blended rate of the year due to the enactment of the 2017 Tax Act. TJX’s effective income tax rate decreased for fiscal 2018 as compared to fiscal 2017. The decrease in the effective income tax rate was primarily due to the favorable effect of the 2017 Tax Act, excess tax benefit from share-based compensation attributable to the adoption of ASU 2016-09, and the jurisdictional mix of income.</w:t>
      </w:r>
    </w:p>
    <w:p>
      <w:pPr>
        <w:spacing w:after="0" w:line="74"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We have reasonably estimated the effects of the 2017 Tax Act and recorded a provisional benefit of approximately $88 million in our financial statements as of February 3, 2018. This amount consists of a net benefit of $281 million for the remeasurement of deferred taxes as of December 22, 2017 due to the corporate tax rate reduction and the reversal of all previous deferred U.S. tax liabilities, reduced for the applicable state and foreign withholding taxes, on undistributed earnings, reduced by a net expense of $193 million for the transition tax of which, $16 million is expected to be paid during fiscal 2019.</w:t>
      </w:r>
    </w:p>
    <w:p>
      <w:pPr>
        <w:spacing w:after="0" w:line="76" w:lineRule="exact"/>
        <w:rPr>
          <w:sz w:val="20"/>
          <w:szCs w:val="20"/>
          <w:color w:val="auto"/>
        </w:rPr>
      </w:pPr>
    </w:p>
    <w:p>
      <w:pPr>
        <w:ind w:right="540" w:firstLine="342"/>
        <w:spacing w:after="0" w:line="239" w:lineRule="auto"/>
        <w:rPr>
          <w:sz w:val="20"/>
          <w:szCs w:val="20"/>
          <w:color w:val="auto"/>
        </w:rPr>
      </w:pPr>
      <w:r>
        <w:rPr>
          <w:rFonts w:ascii="Arial" w:cs="Arial" w:eastAsia="Arial" w:hAnsi="Arial"/>
          <w:sz w:val="18"/>
          <w:szCs w:val="18"/>
          <w:color w:val="auto"/>
        </w:rPr>
        <w:t>TJX had net unrecognized tax benefits (net of federal benefit on state issues) of $57.3 million as of February 3, 2018, $38.5 million as of January 28, 2017 and $34.1 million as of January 30, 2016.</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Fiscal 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February 3,</w:t>
            </w:r>
          </w:p>
        </w:tc>
        <w:tc>
          <w:tcPr>
            <w:tcW w:w="1420" w:type="dxa"/>
            <w:vAlign w:val="bottom"/>
          </w:tcPr>
          <w:p>
            <w:pPr>
              <w:jc w:val="right"/>
              <w:ind w:right="278"/>
              <w:spacing w:after="0" w:line="125" w:lineRule="exact"/>
              <w:rPr>
                <w:sz w:val="20"/>
                <w:szCs w:val="20"/>
                <w:color w:val="auto"/>
              </w:rPr>
            </w:pPr>
            <w:r>
              <w:rPr>
                <w:rFonts w:ascii="Arial" w:cs="Arial" w:eastAsia="Arial" w:hAnsi="Arial"/>
                <w:sz w:val="14"/>
                <w:szCs w:val="14"/>
                <w:color w:val="auto"/>
              </w:rPr>
              <w:t>January 28,</w:t>
            </w:r>
          </w:p>
        </w:tc>
        <w:tc>
          <w:tcPr>
            <w:tcW w:w="900" w:type="dxa"/>
            <w:vAlign w:val="bottom"/>
          </w:tcPr>
          <w:p>
            <w:pPr>
              <w:jc w:val="right"/>
              <w:spacing w:after="0" w:line="125" w:lineRule="exact"/>
              <w:rPr>
                <w:sz w:val="20"/>
                <w:szCs w:val="20"/>
                <w:color w:val="auto"/>
              </w:rPr>
            </w:pPr>
            <w:r>
              <w:rPr>
                <w:rFonts w:ascii="Arial" w:cs="Arial" w:eastAsia="Arial" w:hAnsi="Arial"/>
                <w:sz w:val="14"/>
                <w:szCs w:val="14"/>
                <w:color w:val="auto"/>
              </w:rPr>
              <w:t>January 30,</w:t>
            </w:r>
          </w:p>
        </w:tc>
        <w:tc>
          <w:tcPr>
            <w:tcW w:w="100" w:type="dxa"/>
            <w:vAlign w:val="bottom"/>
          </w:tcPr>
          <w:p>
            <w:pPr>
              <w:spacing w:after="0"/>
              <w:rPr>
                <w:sz w:val="10"/>
                <w:szCs w:val="10"/>
                <w:color w:val="auto"/>
              </w:rPr>
            </w:pPr>
          </w:p>
        </w:tc>
      </w:tr>
      <w:tr>
        <w:trPr>
          <w:trHeight w:val="179"/>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2016</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1940" w:type="dxa"/>
            <w:vAlign w:val="bottom"/>
            <w:gridSpan w:val="2"/>
            <w:shd w:val="clear" w:color="auto" w:fill="CCEEFF"/>
          </w:tcPr>
          <w:p>
            <w:pPr>
              <w:ind w:left="180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b w:val="1"/>
                <w:bCs w:val="1"/>
                <w:color w:val="auto"/>
              </w:rPr>
              <w:t>49,092</w:t>
            </w:r>
          </w:p>
        </w:tc>
        <w:tc>
          <w:tcPr>
            <w:tcW w:w="142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$ 43,326</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$ 55,619</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Additions for uncertain tax positions taken in current year</w:t>
            </w: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6,504</w:t>
            </w:r>
          </w:p>
        </w:tc>
        <w:tc>
          <w:tcPr>
            <w:tcW w:w="142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7,018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for uncertain tax positions taken in prior years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b w:val="1"/>
                <w:bCs w:val="1"/>
                <w:color w:val="auto"/>
              </w:rPr>
              <w:t>7,990</w:t>
            </w:r>
          </w:p>
        </w:tc>
        <w:tc>
          <w:tcPr>
            <w:tcW w:w="142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327</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11,707</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Reductions for uncertain tax positions taken in prior years</w:t>
            </w: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(587)</w:t>
            </w:r>
          </w:p>
        </w:tc>
        <w:tc>
          <w:tcPr>
            <w:tcW w:w="14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(334)</w:t>
            </w: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(23,874)</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resulting from lapse of statute of limitations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b w:val="1"/>
                <w:bCs w:val="1"/>
                <w:color w:val="auto"/>
              </w:rPr>
              <w:t>(1,295)</w:t>
            </w:r>
          </w:p>
        </w:tc>
        <w:tc>
          <w:tcPr>
            <w:tcW w:w="1420" w:type="dxa"/>
            <w:vAlign w:val="bottom"/>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(1,245)</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6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Settlements with tax authorities</w:t>
            </w:r>
          </w:p>
        </w:tc>
        <w:tc>
          <w:tcPr>
            <w:tcW w:w="1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78"/>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(1,985)</w:t>
            </w:r>
          </w:p>
        </w:tc>
      </w:tr>
      <w:tr>
        <w:trPr>
          <w:trHeight w:val="196"/>
        </w:trPr>
        <w:tc>
          <w:tcPr>
            <w:tcW w:w="6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year</w:t>
            </w:r>
          </w:p>
        </w:tc>
        <w:tc>
          <w:tcPr>
            <w:tcW w:w="1940" w:type="dxa"/>
            <w:vAlign w:val="bottom"/>
            <w:tcBorders>
              <w:bottom w:val="single" w:sz="8" w:color="auto"/>
            </w:tcBorders>
            <w:gridSpan w:val="2"/>
            <w:shd w:val="clear" w:color="auto" w:fill="CCEEFF"/>
          </w:tcPr>
          <w:p>
            <w:pPr>
              <w:ind w:left="180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b w:val="1"/>
                <w:bCs w:val="1"/>
                <w:color w:val="auto"/>
              </w:rPr>
              <w:t>61,704</w:t>
            </w:r>
          </w:p>
        </w:tc>
        <w:tc>
          <w:tcPr>
            <w:tcW w:w="1420" w:type="dxa"/>
            <w:vAlign w:val="bottom"/>
            <w:tcBorders>
              <w:bottom w:val="single" w:sz="8" w:color="auto"/>
            </w:tcBorders>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$ 49,092</w:t>
            </w:r>
          </w:p>
        </w:tc>
        <w:tc>
          <w:tcPr>
            <w:tcW w:w="100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$ 43,326</w:t>
            </w:r>
          </w:p>
        </w:tc>
      </w:tr>
    </w:tbl>
    <w:p>
      <w:pPr>
        <w:spacing w:after="0" w:line="84"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Included in the gross amount of unrecognized tax benefits are items that will impact future effective tax rates upon recognition. These items amounted to $55.8 million as of February 3, 2018, $43.8 million as of January 28, 2017 and $39.0 million as of January 30, 2016.</w:t>
      </w:r>
    </w:p>
    <w:p>
      <w:pPr>
        <w:spacing w:after="0" w:line="74"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TJX is subject to U.S. federal income tax as well as income tax in multiple state, local and foreign jurisdictions. In the U.S., fiscal years through 2010 are no longer subject to examination. In Canada, fiscal years through 2008 are no longer subject to examination. In all other jurisdictions, fiscal years through 2009 are no longer subject to examination.</w:t>
      </w:r>
    </w:p>
    <w:p>
      <w:pPr>
        <w:spacing w:after="0" w:line="73" w:lineRule="exact"/>
        <w:rPr>
          <w:sz w:val="20"/>
          <w:szCs w:val="20"/>
          <w:color w:val="auto"/>
        </w:rPr>
      </w:pPr>
    </w:p>
    <w:p>
      <w:pPr>
        <w:ind w:right="560" w:firstLine="342"/>
        <w:spacing w:after="0" w:line="237" w:lineRule="auto"/>
        <w:rPr>
          <w:sz w:val="20"/>
          <w:szCs w:val="20"/>
          <w:color w:val="auto"/>
        </w:rPr>
      </w:pPr>
      <w:r>
        <w:rPr>
          <w:rFonts w:ascii="Arial" w:cs="Arial" w:eastAsia="Arial" w:hAnsi="Arial"/>
          <w:sz w:val="18"/>
          <w:szCs w:val="18"/>
          <w:color w:val="auto"/>
        </w:rPr>
        <w:t>TJX’s accounting policy is to classify interest and penalties related to income tax matters as part of income tax expense. The amount of interest and penalties expensed was $1.9 million for the year ended February 3, 2018, $1.4 million for the year ended January 28, 2017 and $1.6 million for the year ended January 30, 2016. The accrued amounts for interest and penalties are $11.9 million as of February 3, 2018, $8.0 million as of January 28, 2017 and $7.0 million as of January 30,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91" w:right="239" w:bottom="1440" w:gutter="0" w:footer="0" w:header="0"/>
        </w:sectPr>
      </w:pPr>
    </w:p>
    <w:bookmarkStart w:id="83" w:name="page84"/>
    <w:bookmarkEnd w:id="83"/>
    <w:p>
      <w:pPr>
        <w:ind w:right="20" w:firstLine="342"/>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final resolution of tax examinations, judicial or administrative proceedings, changes in facts or law, expirations of statute of limitations in specific jurisdictions or other resolutions of, or changes in, tax positions, it is reasonably possible that unrecognized tax benefits for certain tax positions taken on previously filed tax returns may change materially from those represented on the financial statements as of February 3, 2018. During the next twelve months, it is reasonably possible that state tax audit resolutions may reduce unrecognized tax benefits by $0 to $21 million, which would reduce the provision for taxes on earnings.</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Commitments</w:t>
      </w:r>
    </w:p>
    <w:p>
      <w:pPr>
        <w:spacing w:after="0" w:line="9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TJX is committed under long-term leases related to its continuing operations for the rental of real estate and fixtures and equipment. Most of TJX’s leases are store operating leases with ten-year terms and options to extend for one or more five-year periods in the U.S. and Canada and ten to fifteen year terms in Europe and Australia, some of which have options to extend. Many of the Company’s leases contain escalation clauses and we have the right to terminate some of the leases before the expiration date under specified circumstances and some with specified payments. In addition, TJX is generally required to pay insurance, real estate taxes and other operating expenses including, in some cases, rentals based on a percentage of sales. These expenses in the aggregate were approximately one-third of the total minimum rent in fiscal 2018, fiscal 2017 and fiscal 2016 and are not included in the table below.</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schedule of future minimum lease payments for continuing operations as of February 3, 2018:</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Borders>
              <w:top w:val="single" w:sz="8" w:color="auto"/>
            </w:tcBorders>
          </w:tcPr>
          <w:p>
            <w:pPr>
              <w:spacing w:after="0"/>
              <w:rPr>
                <w:sz w:val="14"/>
                <w:szCs w:val="14"/>
                <w:color w:val="auto"/>
              </w:rPr>
            </w:pPr>
          </w:p>
        </w:tc>
        <w:tc>
          <w:tcPr>
            <w:tcW w:w="4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Operating</w:t>
            </w:r>
          </w:p>
        </w:tc>
      </w:tr>
      <w:tr>
        <w:trPr>
          <w:trHeight w:val="149"/>
        </w:trPr>
        <w:tc>
          <w:tcPr>
            <w:tcW w:w="6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thousands</w:t>
            </w:r>
          </w:p>
        </w:tc>
        <w:tc>
          <w:tcPr>
            <w:tcW w:w="4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Leases</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Year 2019</w:t>
            </w:r>
          </w:p>
        </w:tc>
        <w:tc>
          <w:tcPr>
            <w:tcW w:w="4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$1,600,536</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720" w:type="dxa"/>
            <w:vAlign w:val="bottom"/>
          </w:tcPr>
          <w:p>
            <w:pPr>
              <w:jc w:val="right"/>
              <w:spacing w:after="0" w:line="202" w:lineRule="exact"/>
              <w:rPr>
                <w:sz w:val="20"/>
                <w:szCs w:val="20"/>
                <w:color w:val="auto"/>
              </w:rPr>
            </w:pPr>
            <w:r>
              <w:rPr>
                <w:rFonts w:ascii="Arial" w:cs="Arial" w:eastAsia="Arial" w:hAnsi="Arial"/>
                <w:sz w:val="18"/>
                <w:szCs w:val="18"/>
                <w:color w:val="auto"/>
              </w:rPr>
              <w:t>1,534,650</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1,389,854</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720" w:type="dxa"/>
            <w:vAlign w:val="bottom"/>
          </w:tcPr>
          <w:p>
            <w:pPr>
              <w:jc w:val="right"/>
              <w:spacing w:after="0" w:line="202" w:lineRule="exact"/>
              <w:rPr>
                <w:sz w:val="20"/>
                <w:szCs w:val="20"/>
                <w:color w:val="auto"/>
              </w:rPr>
            </w:pPr>
            <w:r>
              <w:rPr>
                <w:rFonts w:ascii="Arial" w:cs="Arial" w:eastAsia="Arial" w:hAnsi="Arial"/>
                <w:sz w:val="18"/>
                <w:szCs w:val="18"/>
                <w:color w:val="auto"/>
              </w:rPr>
              <w:t>1,208,046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1,025,314</w:t>
            </w:r>
          </w:p>
        </w:tc>
      </w:tr>
      <w:tr>
        <w:trPr>
          <w:trHeight w:val="203"/>
        </w:trPr>
        <w:tc>
          <w:tcPr>
            <w:tcW w:w="6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Later years</w:t>
            </w:r>
          </w:p>
        </w:tc>
        <w:tc>
          <w:tcPr>
            <w:tcW w:w="4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2,736,351</w:t>
            </w:r>
          </w:p>
        </w:tc>
      </w:tr>
      <w:tr>
        <w:trPr>
          <w:trHeight w:val="196"/>
        </w:trPr>
        <w:tc>
          <w:tcPr>
            <w:tcW w:w="6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4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$9,494,751</w:t>
            </w:r>
          </w:p>
        </w:tc>
      </w:tr>
    </w:tbl>
    <w:p>
      <w:pPr>
        <w:spacing w:after="0" w:line="84"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Rental expense under operating leases for continuing operations amounted to $1,591.4 million for fiscal 2018, $1,435.2 million for fiscal 2017 and $1,365.6 million for fiscal 2016. Rental expense includes contingent rent and is reported net of sublease income. Contingent rent paid was $18.4 million in fiscal 2018, $14.7 million in fiscal 2017 and $15.7 million in fiscal 2016. Sublease income was $1.3 million in fiscal 2018, $1.2 million in fiscal 2017 and $0.9 million in fiscal 2016.</w:t>
      </w:r>
    </w:p>
    <w:p>
      <w:pPr>
        <w:spacing w:after="0" w:line="74"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As of February 3, 2018 we have a number of lease agreements for facilities and stores that resulted in TJX being considered the owner of the property for accounting purposes (see Lease Accounting within Note A – Basis of Presentation and Summary of Accounting Policies of Notes to Consolidated Financial Statements). The assets related to these properties are included in “land and buildings” and the related liabilities of $221.9 million are included in “other long-term liabilities.”</w:t>
      </w:r>
    </w:p>
    <w:p>
      <w:pPr>
        <w:spacing w:after="0" w:line="74" w:lineRule="exact"/>
        <w:rPr>
          <w:sz w:val="20"/>
          <w:szCs w:val="20"/>
          <w:color w:val="auto"/>
        </w:rPr>
      </w:pPr>
    </w:p>
    <w:p>
      <w:pPr>
        <w:ind w:right="280" w:firstLine="342"/>
        <w:spacing w:after="0" w:line="239" w:lineRule="auto"/>
        <w:rPr>
          <w:sz w:val="20"/>
          <w:szCs w:val="20"/>
          <w:color w:val="auto"/>
        </w:rPr>
      </w:pPr>
      <w:r>
        <w:rPr>
          <w:rFonts w:ascii="Arial" w:cs="Arial" w:eastAsia="Arial" w:hAnsi="Arial"/>
          <w:sz w:val="18"/>
          <w:szCs w:val="18"/>
          <w:color w:val="auto"/>
        </w:rPr>
        <w:t>TJX had outstanding letters of credit totaling $40.2 million as of February 3, 2018 and $41.2 million as of January 28, 2017. Letters of credit are issued by TJX primarily for the purchase of inventory.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91" w:right="239" w:bottom="1440" w:gutter="0" w:footer="0" w:header="0"/>
        </w:sectPr>
      </w:pPr>
    </w:p>
    <w:bookmarkStart w:id="84" w:name="page85"/>
    <w:bookmarkEnd w:id="84"/>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M.</w:t>
      </w:r>
      <w:r>
        <w:rPr>
          <w:sz w:val="20"/>
          <w:szCs w:val="20"/>
          <w:color w:val="auto"/>
        </w:rPr>
        <w:tab/>
      </w:r>
      <w:r>
        <w:rPr>
          <w:rFonts w:ascii="Arial" w:cs="Arial" w:eastAsia="Arial" w:hAnsi="Arial"/>
          <w:sz w:val="16"/>
          <w:szCs w:val="16"/>
          <w:b w:val="1"/>
          <w:bCs w:val="1"/>
          <w:color w:val="auto"/>
        </w:rPr>
        <w:t>Accrued Expenses and Other Liabilities, Current and Long Term</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components of accrued expenses and other current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color w:val="auto"/>
              </w:rPr>
              <w:t>Fiscal Year Ended</w:t>
            </w:r>
          </w:p>
        </w:tc>
      </w:tr>
      <w:tr>
        <w:trPr>
          <w:trHeight w:val="125"/>
        </w:trPr>
        <w:tc>
          <w:tcPr>
            <w:tcW w:w="8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jc w:val="right"/>
              <w:ind w:right="117"/>
              <w:spacing w:after="0" w:line="125" w:lineRule="exact"/>
              <w:rPr>
                <w:sz w:val="20"/>
                <w:szCs w:val="20"/>
                <w:color w:val="auto"/>
              </w:rPr>
            </w:pPr>
            <w:r>
              <w:rPr>
                <w:rFonts w:ascii="Arial" w:cs="Arial" w:eastAsia="Arial" w:hAnsi="Arial"/>
                <w:sz w:val="14"/>
                <w:szCs w:val="14"/>
                <w:b w:val="1"/>
                <w:bCs w:val="1"/>
                <w:color w:val="auto"/>
              </w:rPr>
              <w:t>February 3,</w:t>
            </w:r>
          </w:p>
        </w:tc>
        <w:tc>
          <w:tcPr>
            <w:tcW w:w="3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color w:val="auto"/>
              </w:rPr>
              <w:t>January 28,</w:t>
            </w:r>
          </w:p>
        </w:tc>
      </w:tr>
      <w:tr>
        <w:trPr>
          <w:trHeight w:val="165"/>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Employee compensation and benefits, current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b w:val="1"/>
                <w:bCs w:val="1"/>
                <w:color w:val="auto"/>
              </w:rPr>
              <w:t>686,294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630,049</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Dividends payable</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199,029</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170,490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capital additions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90,336</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111,963</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Rent, utilities and occupancy, including real estate taxes</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234,183</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214,001</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Merchandise credits and gift certificates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399,482</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362,473</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87,546</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84,363</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tax collections and V.A.T. taxes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200,005</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199,602</w:t>
            </w:r>
          </w:p>
        </w:tc>
      </w:tr>
      <w:tr>
        <w:trPr>
          <w:trHeight w:val="203"/>
        </w:trPr>
        <w:tc>
          <w:tcPr>
            <w:tcW w:w="8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 other current liabilities</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b w:val="1"/>
                <w:bCs w:val="1"/>
                <w:color w:val="auto"/>
              </w:rPr>
              <w:t>626,086</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547,523</w:t>
            </w:r>
          </w:p>
        </w:tc>
      </w:tr>
      <w:tr>
        <w:trPr>
          <w:trHeight w:val="196"/>
        </w:trPr>
        <w:tc>
          <w:tcPr>
            <w:tcW w:w="8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17"/>
              <w:spacing w:after="0" w:line="196" w:lineRule="exact"/>
              <w:rPr>
                <w:sz w:val="20"/>
                <w:szCs w:val="20"/>
                <w:color w:val="auto"/>
              </w:rPr>
            </w:pPr>
            <w:r>
              <w:rPr>
                <w:rFonts w:ascii="Arial" w:cs="Arial" w:eastAsia="Arial" w:hAnsi="Arial"/>
                <w:sz w:val="18"/>
                <w:szCs w:val="18"/>
                <w:b w:val="1"/>
                <w:bCs w:val="1"/>
                <w:color w:val="auto"/>
                <w:w w:val="94"/>
              </w:rPr>
              <w:t>2,522,961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2,320,464</w:t>
            </w:r>
          </w:p>
        </w:tc>
      </w:tr>
    </w:tbl>
    <w:p>
      <w:pPr>
        <w:spacing w:after="0" w:line="84" w:lineRule="exact"/>
        <w:rPr>
          <w:sz w:val="20"/>
          <w:szCs w:val="20"/>
          <w:color w:val="auto"/>
        </w:rPr>
      </w:pPr>
    </w:p>
    <w:p>
      <w:pPr>
        <w:ind w:right="200" w:firstLine="342"/>
        <w:spacing w:after="0" w:line="299" w:lineRule="auto"/>
        <w:rPr>
          <w:sz w:val="20"/>
          <w:szCs w:val="20"/>
          <w:color w:val="auto"/>
        </w:rPr>
      </w:pPr>
      <w:r>
        <w:rPr>
          <w:rFonts w:ascii="Arial" w:cs="Arial" w:eastAsia="Arial" w:hAnsi="Arial"/>
          <w:sz w:val="16"/>
          <w:szCs w:val="16"/>
          <w:color w:val="auto"/>
        </w:rPr>
        <w:t>All other current liabilities include accruals for advertising, customer rewards liability, interest, reserve for sales returns, reserve for taxes, fair value of derivatives, expense payables, purchased services and other items, each of which is individually less than 5% of current liabilities.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components of other long-term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color w:val="auto"/>
              </w:rPr>
              <w:t>Fiscal Year Ended</w:t>
            </w:r>
          </w:p>
        </w:tc>
      </w:tr>
      <w:tr>
        <w:trPr>
          <w:trHeight w:val="125"/>
        </w:trPr>
        <w:tc>
          <w:tcPr>
            <w:tcW w:w="8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jc w:val="right"/>
              <w:ind w:right="117"/>
              <w:spacing w:after="0" w:line="125" w:lineRule="exact"/>
              <w:rPr>
                <w:sz w:val="20"/>
                <w:szCs w:val="20"/>
                <w:color w:val="auto"/>
              </w:rPr>
            </w:pPr>
            <w:r>
              <w:rPr>
                <w:rFonts w:ascii="Arial" w:cs="Arial" w:eastAsia="Arial" w:hAnsi="Arial"/>
                <w:sz w:val="14"/>
                <w:szCs w:val="14"/>
                <w:b w:val="1"/>
                <w:bCs w:val="1"/>
                <w:color w:val="auto"/>
              </w:rPr>
              <w:t>February 3,</w:t>
            </w:r>
          </w:p>
        </w:tc>
        <w:tc>
          <w:tcPr>
            <w:tcW w:w="3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color w:val="auto"/>
              </w:rPr>
              <w:t>January 28,</w:t>
            </w:r>
          </w:p>
        </w:tc>
      </w:tr>
      <w:tr>
        <w:trPr>
          <w:trHeight w:val="165"/>
        </w:trPr>
        <w:tc>
          <w:tcPr>
            <w:tcW w:w="8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Employee compensation and benefits, long term</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17"/>
              <w:spacing w:after="0" w:line="196" w:lineRule="exact"/>
              <w:rPr>
                <w:sz w:val="20"/>
                <w:szCs w:val="20"/>
                <w:color w:val="auto"/>
              </w:rPr>
            </w:pPr>
            <w:r>
              <w:rPr>
                <w:rFonts w:ascii="Arial" w:cs="Arial" w:eastAsia="Arial" w:hAnsi="Arial"/>
                <w:sz w:val="18"/>
                <w:szCs w:val="18"/>
                <w:b w:val="1"/>
                <w:bCs w:val="1"/>
                <w:color w:val="auto"/>
              </w:rPr>
              <w:t>442,624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471,728</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Accrued rent</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263,178</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231,681</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Landlord allowances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88,747</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77,887</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176,772</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reserve, long term</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44,753</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36,713</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Financing lease obligations</w:t>
            </w:r>
          </w:p>
        </w:tc>
        <w:tc>
          <w:tcPr>
            <w:tcW w:w="440" w:type="dxa"/>
            <w:vAlign w:val="bottom"/>
          </w:tcPr>
          <w:p>
            <w:pPr>
              <w:spacing w:after="0"/>
              <w:rPr>
                <w:sz w:val="17"/>
                <w:szCs w:val="17"/>
                <w:color w:val="auto"/>
              </w:rPr>
            </w:pPr>
          </w:p>
        </w:tc>
        <w:tc>
          <w:tcPr>
            <w:tcW w:w="980" w:type="dxa"/>
            <w:vAlign w:val="bottom"/>
          </w:tcPr>
          <w:p>
            <w:pPr>
              <w:jc w:val="right"/>
              <w:ind w:right="117"/>
              <w:spacing w:after="0" w:line="202" w:lineRule="exact"/>
              <w:rPr>
                <w:sz w:val="20"/>
                <w:szCs w:val="20"/>
                <w:color w:val="auto"/>
              </w:rPr>
            </w:pPr>
            <w:r>
              <w:rPr>
                <w:rFonts w:ascii="Arial" w:cs="Arial" w:eastAsia="Arial" w:hAnsi="Arial"/>
                <w:sz w:val="18"/>
                <w:szCs w:val="18"/>
                <w:b w:val="1"/>
                <w:bCs w:val="1"/>
                <w:color w:val="auto"/>
              </w:rPr>
              <w:t>221,917</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176,232</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7"/>
              <w:spacing w:after="0" w:line="202" w:lineRule="exact"/>
              <w:rPr>
                <w:sz w:val="20"/>
                <w:szCs w:val="20"/>
                <w:color w:val="auto"/>
              </w:rPr>
            </w:pPr>
            <w:r>
              <w:rPr>
                <w:rFonts w:ascii="Arial" w:cs="Arial" w:eastAsia="Arial" w:hAnsi="Arial"/>
                <w:sz w:val="18"/>
                <w:szCs w:val="18"/>
                <w:b w:val="1"/>
                <w:bCs w:val="1"/>
                <w:color w:val="auto"/>
              </w:rPr>
              <w:t>49,266</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45,573</w:t>
            </w:r>
          </w:p>
        </w:tc>
      </w:tr>
      <w:tr>
        <w:trPr>
          <w:trHeight w:val="203"/>
        </w:trPr>
        <w:tc>
          <w:tcPr>
            <w:tcW w:w="8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 other long-term liabilities</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7"/>
              <w:spacing w:after="0" w:line="202" w:lineRule="exact"/>
              <w:rPr>
                <w:sz w:val="20"/>
                <w:szCs w:val="20"/>
                <w:color w:val="auto"/>
              </w:rPr>
            </w:pPr>
            <w:r>
              <w:rPr>
                <w:rFonts w:ascii="Arial" w:cs="Arial" w:eastAsia="Arial" w:hAnsi="Arial"/>
                <w:sz w:val="18"/>
                <w:szCs w:val="18"/>
                <w:b w:val="1"/>
                <w:bCs w:val="1"/>
                <w:color w:val="auto"/>
              </w:rPr>
              <w:t>33,248</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34,140</w:t>
            </w:r>
          </w:p>
        </w:tc>
      </w:tr>
      <w:tr>
        <w:trPr>
          <w:trHeight w:val="196"/>
        </w:trPr>
        <w:tc>
          <w:tcPr>
            <w:tcW w:w="8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17"/>
              <w:spacing w:after="0" w:line="196" w:lineRule="exact"/>
              <w:rPr>
                <w:sz w:val="20"/>
                <w:szCs w:val="20"/>
                <w:color w:val="auto"/>
              </w:rPr>
            </w:pPr>
            <w:r>
              <w:rPr>
                <w:rFonts w:ascii="Arial" w:cs="Arial" w:eastAsia="Arial" w:hAnsi="Arial"/>
                <w:sz w:val="18"/>
                <w:szCs w:val="18"/>
                <w:b w:val="1"/>
                <w:bCs w:val="1"/>
                <w:color w:val="auto"/>
                <w:w w:val="94"/>
              </w:rPr>
              <w:t>1,320,505</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1,073,954</w:t>
            </w:r>
          </w:p>
        </w:tc>
      </w:tr>
    </w:tbl>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Contingent Obligations and Contingencies</w:t>
      </w:r>
    </w:p>
    <w:p>
      <w:pPr>
        <w:spacing w:after="0" w:line="79" w:lineRule="exact"/>
        <w:rPr>
          <w:sz w:val="20"/>
          <w:szCs w:val="20"/>
          <w:color w:val="auto"/>
        </w:rPr>
      </w:pPr>
    </w:p>
    <w:p>
      <w:pPr>
        <w:ind w:right="260" w:firstLine="342"/>
        <w:spacing w:after="0" w:line="239" w:lineRule="auto"/>
        <w:rPr>
          <w:sz w:val="20"/>
          <w:szCs w:val="20"/>
          <w:color w:val="auto"/>
        </w:rPr>
      </w:pPr>
      <w:r>
        <w:rPr>
          <w:rFonts w:ascii="Arial" w:cs="Arial" w:eastAsia="Arial" w:hAnsi="Arial"/>
          <w:sz w:val="18"/>
          <w:szCs w:val="18"/>
          <w:b w:val="1"/>
          <w:bCs w:val="1"/>
          <w:i w:val="1"/>
          <w:iCs w:val="1"/>
          <w:color w:val="auto"/>
        </w:rPr>
        <w:t xml:space="preserve">Contingent Obligations: </w:t>
      </w:r>
      <w:r>
        <w:rPr>
          <w:rFonts w:ascii="Arial" w:cs="Arial" w:eastAsia="Arial" w:hAnsi="Arial"/>
          <w:sz w:val="18"/>
          <w:szCs w:val="18"/>
          <w:color w:val="auto"/>
        </w:rPr>
        <w:t>TJX has contingent obligations on leases, for which it was a lessee or guarantor, which were assigned to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without TJX being released by the landlords. Over many years, TJX has assigned numerous leases that it had originally leased or guaranteed to a significant number of third parties. With the exception of leases of former businesses for which TJX has reserved, the Company has rarely had a claim with respect to assigned leases, and accordingly, the Company does not expect that such leases will have a material adverse impact on our financial condition, results of operations or cash flows. TJX does not generally have sufficient information about these leases to estimate our potential contingent obligations under them, which could be triggered in the event that one or more of the current tenants does not fulfill their obligations related to one or more of these leases.</w:t>
      </w:r>
    </w:p>
    <w:p>
      <w:pPr>
        <w:spacing w:after="0" w:line="76"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TJX may also be contingently liable on up to eight leases of former TJX businesses, for which we believe the likelihood of future liability to TJX is remote, and has contingent obligations in connection with certain assigned or sublet properties that TJX is able to estimate. We estimate that the undiscounted obligations of (i) leases of former operations not included in our reserve for former operations and (ii) properties of our former operations if the subtenants do not fulfill their obligations, are approximately $48.7 million as of February 3, 2018. We believe that most or all of these contingent obligations will not revert to us and, to the extent they do, will be resolved for substantially less due to mitigating factors including our expectation to further sublet.</w:t>
      </w:r>
    </w:p>
    <w:p>
      <w:pPr>
        <w:spacing w:after="0" w:line="75"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TJX is a party to various agreements under which it may be obligated to indemnify the other party with respect to certain losses related to such matters as title to assets sold, specified environmental matters or certain income taxes. These obligations are often limited in time and amount. There are no amounts reflected in our balance sheets with respect to these contingent obligations.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69" w:right="239" w:bottom="1440" w:gutter="0" w:footer="0" w:header="0"/>
        </w:sectPr>
      </w:pPr>
    </w:p>
    <w:bookmarkStart w:id="85" w:name="page86"/>
    <w:bookmarkEnd w:id="85"/>
    <w:p>
      <w:pPr>
        <w:ind w:firstLine="342"/>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Contingencies: </w:t>
      </w:r>
      <w:r>
        <w:rPr>
          <w:rFonts w:ascii="Arial" w:cs="Arial" w:eastAsia="Arial" w:hAnsi="Arial"/>
          <w:sz w:val="18"/>
          <w:szCs w:val="18"/>
          <w:color w:val="auto"/>
        </w:rPr>
        <w:t>TJX is subject to certain legal proceedings, lawsuits, disputes and claims that arise from time to time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In addition, TJX is a defendant in several lawsuits filed in federal and state courts brought as putative class or collective actions on behalf of various groups of current and former salaried and hourly associates in the U.S. The lawsuits allege violations of the Fair Labor Standards Act and of state wage and hour and other labor statutes. TJX is also defending putative class action claims on behalf of customers relating to TJX’s compare at pricing. The lawsuits are in various procedural stages and seek monetary damages, injunctive relief and attorneys’ fees. In connection with ongoing litigation, an immaterial amount has been accrued in the accompanying financial statements.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Supplemental Cash Flows Information</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TJX’s cash payments for interest and income taxes and non-cash investing and financing activities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Fiscal Year Ended</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25"/>
        </w:trPr>
        <w:tc>
          <w:tcPr>
            <w:tcW w:w="6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tcPr>
          <w:p>
            <w:pPr>
              <w:jc w:val="right"/>
              <w:ind w:right="217"/>
              <w:spacing w:after="0" w:line="125" w:lineRule="exact"/>
              <w:rPr>
                <w:sz w:val="20"/>
                <w:szCs w:val="20"/>
                <w:color w:val="auto"/>
              </w:rPr>
            </w:pPr>
            <w:r>
              <w:rPr>
                <w:rFonts w:ascii="Arial" w:cs="Arial" w:eastAsia="Arial" w:hAnsi="Arial"/>
                <w:sz w:val="14"/>
                <w:szCs w:val="14"/>
                <w:b w:val="1"/>
                <w:bCs w:val="1"/>
                <w:color w:val="auto"/>
              </w:rPr>
              <w:t>February 3,</w:t>
            </w:r>
          </w:p>
        </w:tc>
        <w:tc>
          <w:tcPr>
            <w:tcW w:w="440" w:type="dxa"/>
            <w:vAlign w:val="bottom"/>
          </w:tcPr>
          <w:p>
            <w:pPr>
              <w:spacing w:after="0"/>
              <w:rPr>
                <w:sz w:val="10"/>
                <w:szCs w:val="10"/>
                <w:color w:val="auto"/>
              </w:rPr>
            </w:pPr>
          </w:p>
        </w:tc>
        <w:tc>
          <w:tcPr>
            <w:tcW w:w="1140" w:type="dxa"/>
            <w:vAlign w:val="bottom"/>
          </w:tcPr>
          <w:p>
            <w:pPr>
              <w:jc w:val="right"/>
              <w:ind w:right="277"/>
              <w:spacing w:after="0" w:line="125" w:lineRule="exact"/>
              <w:rPr>
                <w:sz w:val="20"/>
                <w:szCs w:val="20"/>
                <w:color w:val="auto"/>
              </w:rPr>
            </w:pPr>
            <w:r>
              <w:rPr>
                <w:rFonts w:ascii="Arial" w:cs="Arial" w:eastAsia="Arial" w:hAnsi="Arial"/>
                <w:sz w:val="14"/>
                <w:szCs w:val="14"/>
                <w:color w:val="auto"/>
              </w:rPr>
              <w:t>January 28,</w:t>
            </w:r>
          </w:p>
        </w:tc>
        <w:tc>
          <w:tcPr>
            <w:tcW w:w="360" w:type="dxa"/>
            <w:vAlign w:val="bottom"/>
          </w:tcPr>
          <w:p>
            <w:pPr>
              <w:spacing w:after="0"/>
              <w:rPr>
                <w:sz w:val="10"/>
                <w:szCs w:val="10"/>
                <w:color w:val="auto"/>
              </w:rPr>
            </w:pPr>
          </w:p>
        </w:tc>
        <w:tc>
          <w:tcPr>
            <w:tcW w:w="900" w:type="dxa"/>
            <w:vAlign w:val="bottom"/>
          </w:tcPr>
          <w:p>
            <w:pPr>
              <w:jc w:val="right"/>
              <w:ind w:right="17"/>
              <w:spacing w:after="0" w:line="125" w:lineRule="exact"/>
              <w:rPr>
                <w:sz w:val="20"/>
                <w:szCs w:val="20"/>
                <w:color w:val="auto"/>
              </w:rPr>
            </w:pPr>
            <w:r>
              <w:rPr>
                <w:rFonts w:ascii="Arial" w:cs="Arial" w:eastAsia="Arial" w:hAnsi="Arial"/>
                <w:sz w:val="14"/>
                <w:szCs w:val="14"/>
                <w:color w:val="auto"/>
              </w:rPr>
              <w:t>January 30,</w:t>
            </w:r>
          </w:p>
        </w:tc>
      </w:tr>
      <w:tr>
        <w:trPr>
          <w:trHeight w:val="165"/>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2016</w:t>
            </w:r>
          </w:p>
        </w:tc>
      </w:tr>
      <w:tr>
        <w:trPr>
          <w:trHeight w:val="196"/>
        </w:trPr>
        <w:tc>
          <w:tcPr>
            <w:tcW w:w="6880" w:type="dxa"/>
            <w:vAlign w:val="bottom"/>
          </w:tcPr>
          <w:p>
            <w:pPr>
              <w:spacing w:after="0"/>
              <w:rPr>
                <w:sz w:val="17"/>
                <w:szCs w:val="17"/>
                <w:color w:val="auto"/>
              </w:rPr>
            </w:pPr>
          </w:p>
        </w:tc>
        <w:tc>
          <w:tcPr>
            <w:tcW w:w="170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(53 weeks)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Interest on debt</w:t>
            </w:r>
          </w:p>
        </w:tc>
        <w:tc>
          <w:tcPr>
            <w:tcW w:w="62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217"/>
              <w:spacing w:after="0" w:line="202" w:lineRule="exact"/>
              <w:rPr>
                <w:sz w:val="20"/>
                <w:szCs w:val="20"/>
                <w:color w:val="auto"/>
              </w:rPr>
            </w:pPr>
            <w:r>
              <w:rPr>
                <w:rFonts w:ascii="Arial" w:cs="Arial" w:eastAsia="Arial" w:hAnsi="Arial"/>
                <w:sz w:val="18"/>
                <w:szCs w:val="18"/>
                <w:b w:val="1"/>
                <w:bCs w:val="1"/>
                <w:color w:val="auto"/>
              </w:rPr>
              <w:t>64,308</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72,619</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64,188</w:t>
            </w: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b w:val="1"/>
                <w:bCs w:val="1"/>
                <w:color w:val="auto"/>
                <w:w w:val="94"/>
              </w:rPr>
              <w:t>1,289,964</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w w:val="94"/>
              </w:rPr>
              <w:t>1,282,172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w w:val="97"/>
              </w:rPr>
              <w:t>1,301,122</w:t>
            </w: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Non-cash investing and financing activity:</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57"/>
              <w:spacing w:after="0" w:line="202" w:lineRule="exact"/>
              <w:rPr>
                <w:sz w:val="20"/>
                <w:szCs w:val="20"/>
                <w:color w:val="auto"/>
              </w:rPr>
            </w:pPr>
            <w:r>
              <w:rPr>
                <w:rFonts w:ascii="Arial" w:cs="Arial" w:eastAsia="Arial" w:hAnsi="Arial"/>
                <w:sz w:val="18"/>
                <w:szCs w:val="18"/>
                <w:b w:val="1"/>
                <w:bCs w:val="1"/>
                <w:color w:val="auto"/>
              </w:rPr>
              <w:t>(27,207)</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(94,291)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(30,767)</w:t>
            </w:r>
          </w:p>
        </w:tc>
      </w:tr>
      <w:tr>
        <w:trPr>
          <w:trHeight w:val="203"/>
        </w:trPr>
        <w:tc>
          <w:tcPr>
            <w:tcW w:w="6880" w:type="dxa"/>
            <w:vAlign w:val="bottom"/>
          </w:tcPr>
          <w:p>
            <w:pPr>
              <w:ind w:left="220"/>
              <w:spacing w:after="0" w:line="202" w:lineRule="exact"/>
              <w:rPr>
                <w:sz w:val="20"/>
                <w:szCs w:val="20"/>
                <w:color w:val="auto"/>
              </w:rPr>
            </w:pPr>
            <w:r>
              <w:rPr>
                <w:rFonts w:ascii="Arial" w:cs="Arial" w:eastAsia="Arial" w:hAnsi="Arial"/>
                <w:sz w:val="18"/>
                <w:szCs w:val="18"/>
                <w:color w:val="auto"/>
              </w:rPr>
              <w:t>Financing lease obligation</w:t>
            </w:r>
          </w:p>
        </w:tc>
        <w:tc>
          <w:tcPr>
            <w:tcW w:w="620" w:type="dxa"/>
            <w:vAlign w:val="bottom"/>
          </w:tcPr>
          <w:p>
            <w:pPr>
              <w:spacing w:after="0"/>
              <w:rPr>
                <w:sz w:val="17"/>
                <w:szCs w:val="17"/>
                <w:color w:val="auto"/>
              </w:rPr>
            </w:pPr>
          </w:p>
        </w:tc>
        <w:tc>
          <w:tcPr>
            <w:tcW w:w="1080" w:type="dxa"/>
            <w:vAlign w:val="bottom"/>
          </w:tcPr>
          <w:p>
            <w:pPr>
              <w:jc w:val="right"/>
              <w:ind w:right="217"/>
              <w:spacing w:after="0" w:line="202" w:lineRule="exact"/>
              <w:rPr>
                <w:sz w:val="20"/>
                <w:szCs w:val="20"/>
                <w:color w:val="auto"/>
              </w:rPr>
            </w:pPr>
            <w:r>
              <w:rPr>
                <w:rFonts w:ascii="Arial" w:cs="Arial" w:eastAsia="Arial" w:hAnsi="Arial"/>
                <w:sz w:val="18"/>
                <w:szCs w:val="18"/>
                <w:b w:val="1"/>
                <w:bCs w:val="1"/>
                <w:color w:val="auto"/>
              </w:rPr>
              <w:t>27,207</w:t>
            </w:r>
          </w:p>
        </w:tc>
        <w:tc>
          <w:tcPr>
            <w:tcW w:w="440" w:type="dxa"/>
            <w:vAlign w:val="bottom"/>
          </w:tcPr>
          <w:p>
            <w:pPr>
              <w:spacing w:after="0"/>
              <w:rPr>
                <w:sz w:val="17"/>
                <w:szCs w:val="17"/>
                <w:color w:val="auto"/>
              </w:rPr>
            </w:pPr>
          </w:p>
        </w:tc>
        <w:tc>
          <w:tcPr>
            <w:tcW w:w="114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94,291</w:t>
            </w:r>
          </w:p>
        </w:tc>
        <w:tc>
          <w:tcPr>
            <w:tcW w:w="360" w:type="dxa"/>
            <w:vAlign w:val="bottom"/>
          </w:tcPr>
          <w:p>
            <w:pPr>
              <w:spacing w:after="0"/>
              <w:rPr>
                <w:sz w:val="17"/>
                <w:szCs w:val="17"/>
                <w:color w:val="auto"/>
              </w:rPr>
            </w:pP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30,767</w:t>
            </w:r>
          </w:p>
        </w:tc>
      </w:tr>
      <w:tr>
        <w:trPr>
          <w:trHeight w:val="203"/>
        </w:trPr>
        <w:tc>
          <w:tcPr>
            <w:tcW w:w="6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Dividends payable</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b w:val="1"/>
                <w:bCs w:val="1"/>
                <w:color w:val="auto"/>
              </w:rPr>
              <w:t>29,836</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77"/>
              <w:spacing w:after="0" w:line="202" w:lineRule="exact"/>
              <w:rPr>
                <w:sz w:val="20"/>
                <w:szCs w:val="20"/>
                <w:color w:val="auto"/>
              </w:rPr>
            </w:pPr>
            <w:r>
              <w:rPr>
                <w:rFonts w:ascii="Arial" w:cs="Arial" w:eastAsia="Arial" w:hAnsi="Arial"/>
                <w:sz w:val="18"/>
                <w:szCs w:val="18"/>
                <w:color w:val="auto"/>
              </w:rPr>
              <w:t>29,195</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20,315</w:t>
            </w:r>
          </w:p>
        </w:tc>
      </w:tr>
      <w:tr>
        <w:trPr>
          <w:trHeight w:val="203"/>
        </w:trPr>
        <w:tc>
          <w:tcPr>
            <w:tcW w:w="688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Property additions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b w:val="1"/>
                <w:bCs w:val="1"/>
                <w:color w:val="auto"/>
              </w:rPr>
              <w:t>(21,627)</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7"/>
              <w:spacing w:after="0" w:line="202" w:lineRule="exact"/>
              <w:rPr>
                <w:sz w:val="20"/>
                <w:szCs w:val="20"/>
                <w:color w:val="auto"/>
              </w:rPr>
            </w:pPr>
            <w:r>
              <w:rPr>
                <w:rFonts w:ascii="Arial" w:cs="Arial" w:eastAsia="Arial" w:hAnsi="Arial"/>
                <w:sz w:val="18"/>
                <w:szCs w:val="18"/>
                <w:color w:val="auto"/>
              </w:rPr>
              <w:t>(20,908)</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33,384</w:t>
            </w:r>
          </w:p>
        </w:tc>
      </w:tr>
    </w:tbl>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Selected Quarterly Financial Data (Unaudited)</w:t>
      </w:r>
    </w:p>
    <w:p>
      <w:pPr>
        <w:spacing w:after="0" w:line="99" w:lineRule="exact"/>
        <w:rPr>
          <w:sz w:val="20"/>
          <w:szCs w:val="20"/>
          <w:color w:val="auto"/>
        </w:rPr>
      </w:pPr>
    </w:p>
    <w:p>
      <w:pPr>
        <w:jc w:val="both"/>
        <w:ind w:right="60" w:firstLine="342"/>
        <w:spacing w:after="0" w:line="238" w:lineRule="auto"/>
        <w:rPr>
          <w:sz w:val="20"/>
          <w:szCs w:val="20"/>
          <w:color w:val="auto"/>
        </w:rPr>
      </w:pPr>
      <w:r>
        <w:rPr>
          <w:rFonts w:ascii="Arial" w:cs="Arial" w:eastAsia="Arial" w:hAnsi="Arial"/>
          <w:sz w:val="18"/>
          <w:szCs w:val="18"/>
          <w:color w:val="auto"/>
        </w:rPr>
        <w:t>Presented below is selected quarterly consolidated financial data for fiscal 2018 and fiscal 2017 which was prepared on the same basis as the audited consolidated financial statements and includes all adjustments necessary to present fairly, in all material respects, the information set forth therein on a consistent basis.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12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jc w:val="right"/>
              <w:ind w:right="116"/>
              <w:spacing w:after="0" w:line="135" w:lineRule="exact"/>
              <w:rPr>
                <w:sz w:val="20"/>
                <w:szCs w:val="20"/>
                <w:color w:val="auto"/>
              </w:rPr>
            </w:pPr>
            <w:r>
              <w:rPr>
                <w:rFonts w:ascii="Arial" w:cs="Arial" w:eastAsia="Arial" w:hAnsi="Arial"/>
                <w:sz w:val="14"/>
                <w:szCs w:val="14"/>
                <w:color w:val="auto"/>
              </w:rPr>
              <w:t>First</w:t>
            </w:r>
          </w:p>
        </w:tc>
        <w:tc>
          <w:tcPr>
            <w:tcW w:w="1280" w:type="dxa"/>
            <w:vAlign w:val="bottom"/>
            <w:tcBorders>
              <w:top w:val="single" w:sz="8" w:color="auto"/>
            </w:tcBorders>
          </w:tcPr>
          <w:p>
            <w:pPr>
              <w:jc w:val="right"/>
              <w:ind w:right="96"/>
              <w:spacing w:after="0" w:line="135" w:lineRule="exact"/>
              <w:rPr>
                <w:sz w:val="20"/>
                <w:szCs w:val="20"/>
                <w:color w:val="auto"/>
              </w:rPr>
            </w:pPr>
            <w:r>
              <w:rPr>
                <w:rFonts w:ascii="Arial" w:cs="Arial" w:eastAsia="Arial" w:hAnsi="Arial"/>
                <w:sz w:val="14"/>
                <w:szCs w:val="14"/>
                <w:color w:val="auto"/>
              </w:rPr>
              <w:t>Second</w:t>
            </w:r>
          </w:p>
        </w:tc>
        <w:tc>
          <w:tcPr>
            <w:tcW w:w="1300" w:type="dxa"/>
            <w:vAlign w:val="bottom"/>
            <w:tcBorders>
              <w:top w:val="single" w:sz="8" w:color="auto"/>
            </w:tcBorders>
          </w:tcPr>
          <w:p>
            <w:pPr>
              <w:jc w:val="right"/>
              <w:ind w:right="116"/>
              <w:spacing w:after="0" w:line="135" w:lineRule="exact"/>
              <w:rPr>
                <w:sz w:val="20"/>
                <w:szCs w:val="20"/>
                <w:color w:val="auto"/>
              </w:rPr>
            </w:pPr>
            <w:r>
              <w:rPr>
                <w:rFonts w:ascii="Arial" w:cs="Arial" w:eastAsia="Arial" w:hAnsi="Arial"/>
                <w:sz w:val="14"/>
                <w:szCs w:val="14"/>
                <w:color w:val="auto"/>
              </w:rPr>
              <w:t>Third</w:t>
            </w: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Fourth</w:t>
            </w:r>
          </w:p>
        </w:tc>
      </w:tr>
      <w:tr>
        <w:trPr>
          <w:trHeight w:val="17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2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Quarter</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Quarter</w:t>
            </w:r>
          </w:p>
        </w:tc>
        <w:tc>
          <w:tcPr>
            <w:tcW w:w="1300" w:type="dxa"/>
            <w:vAlign w:val="bottom"/>
            <w:tcBorders>
              <w:bottom w:val="single" w:sz="8" w:color="auto"/>
            </w:tcBorders>
          </w:tcPr>
          <w:p>
            <w:pPr>
              <w:jc w:val="right"/>
              <w:ind w:right="116"/>
              <w:spacing w:after="0" w:line="176" w:lineRule="exact"/>
              <w:rPr>
                <w:sz w:val="20"/>
                <w:szCs w:val="20"/>
                <w:color w:val="auto"/>
              </w:rPr>
            </w:pPr>
            <w:r>
              <w:rPr>
                <w:rFonts w:ascii="Arial" w:cs="Arial" w:eastAsia="Arial" w:hAnsi="Arial"/>
                <w:sz w:val="13"/>
                <w:szCs w:val="13"/>
                <w:color w:val="auto"/>
              </w:rPr>
              <w:t>Quarter</w:t>
            </w:r>
            <w:r>
              <w:rPr>
                <w:rFonts w:ascii="Arial" w:cs="Arial" w:eastAsia="Arial" w:hAnsi="Arial"/>
                <w:sz w:val="20"/>
                <w:szCs w:val="20"/>
                <w:color w:val="auto"/>
                <w:vertAlign w:val="superscript"/>
              </w:rPr>
              <w:t>(2)</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color w:val="auto"/>
              </w:rPr>
              <w:t>Quarter</w:t>
            </w:r>
            <w:r>
              <w:rPr>
                <w:rFonts w:ascii="Arial" w:cs="Arial" w:eastAsia="Arial" w:hAnsi="Arial"/>
                <w:sz w:val="20"/>
                <w:szCs w:val="20"/>
                <w:color w:val="auto"/>
                <w:vertAlign w:val="superscript"/>
              </w:rPr>
              <w:t>(3)</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Year Ended February 3, 2018 (53 weeks)</w:t>
            </w:r>
          </w:p>
        </w:tc>
        <w:tc>
          <w:tcPr>
            <w:tcW w:w="2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4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$7,784,024</w:t>
            </w:r>
          </w:p>
        </w:tc>
        <w:tc>
          <w:tcPr>
            <w:tcW w:w="12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$8,357,700</w:t>
            </w:r>
          </w:p>
        </w:tc>
        <w:tc>
          <w:tcPr>
            <w:tcW w:w="13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$8,762,220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5"/>
              </w:rPr>
              <w:t>10,960,720</w:t>
            </w:r>
          </w:p>
        </w:tc>
      </w:tr>
      <w:tr>
        <w:trPr>
          <w:trHeight w:val="203"/>
        </w:trPr>
        <w:tc>
          <w:tcPr>
            <w:tcW w:w="5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earnings</w:t>
            </w:r>
            <w:r>
              <w:rPr>
                <w:rFonts w:ascii="Arial" w:cs="Arial" w:eastAsia="Arial" w:hAnsi="Arial"/>
                <w:sz w:val="22"/>
                <w:szCs w:val="22"/>
                <w:color w:val="auto"/>
                <w:vertAlign w:val="superscript"/>
              </w:rPr>
              <w:t>(1)</w:t>
            </w:r>
          </w:p>
        </w:tc>
        <w:tc>
          <w:tcPr>
            <w:tcW w:w="24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2,253,952</w:t>
            </w:r>
          </w:p>
        </w:tc>
        <w:tc>
          <w:tcPr>
            <w:tcW w:w="1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2,385,025</w:t>
            </w:r>
          </w:p>
        </w:tc>
        <w:tc>
          <w:tcPr>
            <w:tcW w:w="1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2,612,200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3,111,320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536,279</w:t>
            </w:r>
          </w:p>
        </w:tc>
        <w:tc>
          <w:tcPr>
            <w:tcW w:w="12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552,957</w:t>
            </w:r>
          </w:p>
        </w:tc>
        <w:tc>
          <w:tcPr>
            <w:tcW w:w="13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641,436</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877,276</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 earnings per share</w:t>
            </w:r>
          </w:p>
        </w:tc>
        <w:tc>
          <w:tcPr>
            <w:tcW w:w="24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0.83</w:t>
            </w:r>
          </w:p>
        </w:tc>
        <w:tc>
          <w:tcPr>
            <w:tcW w:w="1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0.87</w:t>
            </w:r>
          </w:p>
        </w:tc>
        <w:tc>
          <w:tcPr>
            <w:tcW w:w="1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Diluted earnings per share</w:t>
            </w:r>
          </w:p>
        </w:tc>
        <w:tc>
          <w:tcPr>
            <w:tcW w:w="24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0.82</w:t>
            </w:r>
          </w:p>
        </w:tc>
        <w:tc>
          <w:tcPr>
            <w:tcW w:w="12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0.85</w:t>
            </w:r>
          </w:p>
        </w:tc>
        <w:tc>
          <w:tcPr>
            <w:tcW w:w="13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Year Ended January 28, 2017 (52 weeks)</w:t>
            </w:r>
          </w:p>
        </w:tc>
        <w:tc>
          <w:tcPr>
            <w:tcW w:w="2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4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$7,542,356</w:t>
            </w:r>
          </w:p>
        </w:tc>
        <w:tc>
          <w:tcPr>
            <w:tcW w:w="12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$7,882,053</w:t>
            </w:r>
          </w:p>
        </w:tc>
        <w:tc>
          <w:tcPr>
            <w:tcW w:w="13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$8,291,688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9,467,647</w:t>
            </w:r>
          </w:p>
        </w:tc>
      </w:tr>
      <w:tr>
        <w:trPr>
          <w:trHeight w:val="203"/>
        </w:trPr>
        <w:tc>
          <w:tcPr>
            <w:tcW w:w="5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earnings</w:t>
            </w:r>
            <w:r>
              <w:rPr>
                <w:rFonts w:ascii="Arial" w:cs="Arial" w:eastAsia="Arial" w:hAnsi="Arial"/>
                <w:sz w:val="22"/>
                <w:szCs w:val="22"/>
                <w:color w:val="auto"/>
                <w:vertAlign w:val="superscript"/>
              </w:rPr>
              <w:t>(1)</w:t>
            </w:r>
          </w:p>
        </w:tc>
        <w:tc>
          <w:tcPr>
            <w:tcW w:w="24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2,170,213</w:t>
            </w:r>
          </w:p>
        </w:tc>
        <w:tc>
          <w:tcPr>
            <w:tcW w:w="1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2,319,092</w:t>
            </w:r>
          </w:p>
        </w:tc>
        <w:tc>
          <w:tcPr>
            <w:tcW w:w="1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2,447,815</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2,680,870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4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508,346</w:t>
            </w:r>
          </w:p>
        </w:tc>
        <w:tc>
          <w:tcPr>
            <w:tcW w:w="12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562,174</w:t>
            </w:r>
          </w:p>
        </w:tc>
        <w:tc>
          <w:tcPr>
            <w:tcW w:w="13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549,786</w:t>
            </w: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677,928</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 earnings per share</w:t>
            </w:r>
          </w:p>
        </w:tc>
        <w:tc>
          <w:tcPr>
            <w:tcW w:w="24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0.77</w:t>
            </w:r>
          </w:p>
        </w:tc>
        <w:tc>
          <w:tcPr>
            <w:tcW w:w="1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0.85</w:t>
            </w:r>
          </w:p>
        </w:tc>
        <w:tc>
          <w:tcPr>
            <w:tcW w:w="1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0.84</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512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Diluted earnings per share</w:t>
            </w:r>
          </w:p>
        </w:tc>
        <w:tc>
          <w:tcPr>
            <w:tcW w:w="248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0.76</w:t>
            </w:r>
          </w:p>
        </w:tc>
        <w:tc>
          <w:tcPr>
            <w:tcW w:w="128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0.84</w:t>
            </w:r>
          </w:p>
        </w:tc>
        <w:tc>
          <w:tcPr>
            <w:tcW w:w="130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0.83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r>
    </w:tbl>
    <w:p>
      <w:pPr>
        <w:spacing w:after="0" w:line="202"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Gross earnings equal net sales less cost of sales, including buying and occupancy costs.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third quarter of fiscal 2017 includes a loss on early extinguishment of debt and a pension settlement charge.</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fourth quarter of fiscal 2018 includes 14 weeks, a $99.3 million impairment charge and a net benefit related to the 2017 Tax Act.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Michael MacMillan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The TJX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Cochituate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By this letter agreement (this “Letter Agreement”), you and The TJX Companies, Inc. (“TJX”) confirm that you will retire from TJX and its subsidiaries (the “Company”) on April 27, 2018 (the “Retirement Date”) on the terms set forth herein and in your employment agreement with Winners Merchants International L.P. (“Winners”) and TJX dated March 10, 2017 (the “Employment Agreement”). This Letter Agreement is intended to summarize, for the avoidance of doubt, the benefits to which you will be entitled upon your retirement and to reflect our mutual agreement as to certain related matters described below. Except as expressly provided herein, your Employment Agreement shall remain in full force and effect.</w:t>
      </w:r>
    </w:p>
    <w:p>
      <w:pPr>
        <w:spacing w:after="0" w:line="78" w:lineRule="exact"/>
        <w:rPr>
          <w:sz w:val="20"/>
          <w:szCs w:val="20"/>
          <w:color w:val="auto"/>
        </w:rPr>
      </w:pPr>
    </w:p>
    <w:p>
      <w:pPr>
        <w:ind w:left="90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shall remain an executive officer of TJX until your Retirement Date or earlier termination of employment with TJX, subject to the terms of your Employment Agreement. Effective as of your Retirement Date or any earlier termination of your employment with TJX, you hereby resign as an executive officer of TJX and from all other offices and other positions (including any directorships or committee memberships) you hold with the Company, any Company benefit plans or trusts, or any of its or their affiliates including any Company-related foundations. You agree to sign and submit all documentation requested by the Company to confirm or effectuate these resignations. You further agree that you shall have no right, power or authority to bind the Company or any of its affiliates to the fulfillment of any condition, contract or obligation or to create any liability binding on the Company or any of its affiliates at any time from and after your Retirement Date or any earlier termination of employment with the Company.</w:t>
      </w:r>
    </w:p>
    <w:p>
      <w:pPr>
        <w:spacing w:after="0" w:line="97" w:lineRule="exact"/>
        <w:rPr>
          <w:rFonts w:ascii="Arial" w:cs="Arial" w:eastAsia="Arial" w:hAnsi="Arial"/>
          <w:sz w:val="18"/>
          <w:szCs w:val="18"/>
          <w:color w:val="auto"/>
        </w:rPr>
      </w:pPr>
    </w:p>
    <w:p>
      <w:pPr>
        <w:jc w:val="both"/>
        <w:ind w:left="900" w:right="4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Following your retirement on the Retirement Date and assuming no earlier termination of your employment with the Company, you will be eligible for the following, subject to your satisfaction of your obligations under the Employment Agreement (including, without limitation, Sections 8 and 12 thereof and Exhibit D thereto):</w:t>
      </w:r>
    </w:p>
    <w:p>
      <w:pPr>
        <w:spacing w:after="0" w:line="86" w:lineRule="exact"/>
        <w:rPr>
          <w:rFonts w:ascii="Arial" w:cs="Arial" w:eastAsia="Arial" w:hAnsi="Arial"/>
          <w:sz w:val="18"/>
          <w:szCs w:val="18"/>
          <w:color w:val="auto"/>
        </w:rPr>
      </w:pPr>
    </w:p>
    <w:p>
      <w:pPr>
        <w:ind w:left="1920" w:right="160" w:hanging="440"/>
        <w:spacing w:after="0" w:line="308" w:lineRule="auto"/>
        <w:tabs>
          <w:tab w:leader="none" w:pos="19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As soon as practicable and in all events within 30 days following your Retirement Date, payment to you of any earned but unpaid base salary, any earned but unpaid automobile allowance, and any earned but unused vacation time.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7" w:name="page88"/>
    <w:bookmarkEnd w:id="87"/>
    <w:p>
      <w:pPr>
        <w:ind w:left="720" w:right="60" w:hanging="440"/>
        <w:spacing w:after="0" w:line="302"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to the extent unpaid, to which you are entitled under TJX’s Management Incentive Plan (“MIP”) for FY18 and TJX’s Long Range Performance Incentive Plan (“LRPIP”) for the FY16-18 cycle, in each case based on actual performance results for such year or cycle and paid at the same time as other awards are paid for such year or cycle. Except as provided in the immediately preceding sentence, you shall not be eligible for any bonus payouts under MIP or LRPIP for any year or cycle.</w:t>
      </w:r>
    </w:p>
    <w:p>
      <w:pPr>
        <w:spacing w:after="0" w:line="59" w:lineRule="exact"/>
        <w:rPr>
          <w:rFonts w:ascii="Arial" w:cs="Arial" w:eastAsia="Arial" w:hAnsi="Arial"/>
          <w:sz w:val="16"/>
          <w:szCs w:val="16"/>
          <w:color w:val="auto"/>
        </w:rPr>
      </w:pPr>
    </w:p>
    <w:p>
      <w:pPr>
        <w:ind w:left="720" w:right="40" w:hanging="440"/>
        <w:spacing w:after="0" w:line="25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benefits under TJX’s Stock Incentive Plan (the “Stock Incentive Plan”), in accordance with and subject to the award terms (including, without limitation, special service retirement benefits under stock option award terms) and your Employment Agreement. Any performance-based stock awards (“PBSA”) granted to you under the Stock Incentive Plan that remain outstanding as of your Retirement Date shall remain outstanding and eligible to vest in accordance with and subject to the terms of the applicable award, with any unsatisfied service-based vesting condition deemed satisfied as of the Retirement Date, except that two-thirds of the PBSA granted to you on April 4, 2017, and one-third of the PBSA granted to you on March 29, 2016, shall be immediately forfeited as of the Retirement Date. Assuming no share split or other event described in Section 3(b) of the Stock Incentive Plan occurring prior to the Retirement Date, the number of shares forfeited from the PBSA granted to you on April 4, 2017 would be 26,667 shares and the number of shares forfeited from the PBSA granted to you on March 29, 2016 would be 13,333 shares.</w:t>
      </w:r>
    </w:p>
    <w:p>
      <w:pPr>
        <w:spacing w:after="0" w:line="100" w:lineRule="exact"/>
        <w:rPr>
          <w:rFonts w:ascii="Arial" w:cs="Arial" w:eastAsia="Arial" w:hAnsi="Arial"/>
          <w:sz w:val="18"/>
          <w:szCs w:val="18"/>
          <w:color w:val="auto"/>
        </w:rPr>
      </w:pPr>
    </w:p>
    <w:p>
      <w:pPr>
        <w:ind w:left="720" w:right="80" w:hanging="440"/>
        <w:spacing w:after="0" w:line="25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vested benefits under the Company’s deferred compensation programs (including for the avoidance of doubt, any vested benefits under TJX’s Executive Savings Plan and the Canadian Executive Savings Plan) and retirement/savings programs (including, for the avoidance of doubt, any vested benefits under TJX’s tax-qualified retirement plans and Supplemental Executive Retirement Plan and Winners’ registered retirement savings plan and deferred profit sharing plan), in each case in accordance with and subject to applicable plan terms. Your rights, if any, under Company health and welfare programs, TJX’s executive life insurance program and any other fringe benefit programs will be governed by the terms of the applicable program and applicable law. For the avoidance of doubt, if there is no written plan governing any such benefits then those benefits will cease as of the Retirement Date.</w:t>
      </w:r>
    </w:p>
    <w:p>
      <w:pPr>
        <w:spacing w:after="0" w:line="97" w:lineRule="exact"/>
        <w:rPr>
          <w:rFonts w:ascii="Arial" w:cs="Arial" w:eastAsia="Arial" w:hAnsi="Arial"/>
          <w:sz w:val="18"/>
          <w:szCs w:val="18"/>
          <w:color w:val="auto"/>
        </w:rPr>
      </w:pPr>
    </w:p>
    <w:p>
      <w:pPr>
        <w:ind w:left="720" w:hanging="440"/>
        <w:spacing w:after="0" w:line="255"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remaining tax equalization or other expatriate benefits under TJX policies in connection with your prior U.K.- and Canada-based assignments as described in Section 3(f) of the Employment Agreement, including tax equalization and tax preparation services in accordance with such policies for 2017, 2018 and any applicable future years with tax consequences associated with such assignments, and the currency conversion rights as provided in Section 3(g) of the Employment Agreement. For the avoidance of doubt, you remain solely responsible for any and all relocation, immigration and tax costs in connection with your 2017 relocation to Canada.</w:t>
      </w:r>
    </w:p>
    <w:p>
      <w:pPr>
        <w:spacing w:after="0" w:line="1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274" w:right="239" w:bottom="1440" w:gutter="0" w:footer="0" w:header="0"/>
        </w:sectPr>
      </w:pPr>
    </w:p>
    <w:bookmarkStart w:id="88" w:name="page89"/>
    <w:bookmarkEnd w:id="88"/>
    <w:p>
      <w:pPr>
        <w:ind w:left="446" w:hanging="446"/>
        <w:spacing w:after="0" w:line="291"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and agree, effective as of the date hereof, that: (a) you will not be eligible for any severance or, except as provided by the terms of any award under the Stock Incentive Plan, change of control benefits in connection with your retirement or following your Retirement Date;</w:t>
      </w:r>
    </w:p>
    <w:p>
      <w:pPr>
        <w:ind w:left="446" w:right="60"/>
        <w:spacing w:after="0" w:line="268" w:lineRule="auto"/>
        <w:rPr>
          <w:rFonts w:ascii="Arial" w:cs="Arial" w:eastAsia="Arial" w:hAnsi="Arial"/>
          <w:sz w:val="16"/>
          <w:szCs w:val="16"/>
          <w:color w:val="auto"/>
        </w:rPr>
      </w:pPr>
      <w:r>
        <w:rPr>
          <w:rFonts w:ascii="Arial" w:cs="Arial" w:eastAsia="Arial" w:hAnsi="Arial"/>
          <w:sz w:val="17"/>
          <w:szCs w:val="17"/>
          <w:color w:val="auto"/>
        </w:rPr>
        <w:t>(b) from and after the date hereof, you will not be eligible for any new awards under MIP, LRPIP or the Stock Incentive Plan, including but not limited to any new grants of PBSAs, options or other equity-based awards; (c) the release requirement set forth in Section 12 of your Employment Agreement will continue to apply as described therein; (d) the transition of your duties and responsibilities from and after the date hereof, including without limitation the appointment of any successor, is not a breach of the Employment Agreement and you will not advance a claim that you have been constructively dismissed as a result; (e) you continue to be bound by, and the benefits described in this Letter Agreement are subject to, each of your undertakings under Section 8 and Exhibit D of the Employment Agreement, with the post-employment portions of the Non-solicitation Period and the Noncompetition Period (in each case, as defined in said Section 8 and Exhibit D) commencing on the Retirement Date; and (f) you are subject to any Company policy now in effect or adopted hereafter regarding recovery of incentive compensation adopted pursuant to Section 10D of the Securities Exchange Act of 1934, as amended.</w:t>
      </w:r>
    </w:p>
    <w:p>
      <w:pPr>
        <w:spacing w:after="0" w:line="87" w:lineRule="exact"/>
        <w:rPr>
          <w:rFonts w:ascii="Arial" w:cs="Arial" w:eastAsia="Arial" w:hAnsi="Arial"/>
          <w:sz w:val="16"/>
          <w:szCs w:val="16"/>
          <w:color w:val="auto"/>
        </w:rPr>
      </w:pPr>
    </w:p>
    <w:p>
      <w:pPr>
        <w:ind w:left="446" w:right="120" w:hanging="446"/>
        <w:spacing w:after="0" w:line="264"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agree that the payments and benefits described above are in complete satisfaction of any and all compensation and benefits due to you from the Company, whether arising from the Employment Agreement or otherwise, in connection with your retirement, and that, except as expressly provided in this Letter Agreement, nothing further is or will be owed to you by the Company.</w:t>
      </w:r>
    </w:p>
    <w:p>
      <w:pPr>
        <w:spacing w:after="0" w:line="86" w:lineRule="exact"/>
        <w:rPr>
          <w:rFonts w:ascii="Arial" w:cs="Arial" w:eastAsia="Arial" w:hAnsi="Arial"/>
          <w:sz w:val="18"/>
          <w:szCs w:val="18"/>
          <w:color w:val="auto"/>
        </w:rPr>
      </w:pPr>
    </w:p>
    <w:p>
      <w:pPr>
        <w:ind w:left="446" w:right="20" w:hanging="446"/>
        <w:spacing w:after="0" w:line="255"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payments required to be made to you by the Company as referenced in this Letter Agreement shall be subject to the withholding of such amounts, if any, relating to tax and other payroll deductions as the Company may reasonably determine it should withhold pursuant to any applicable law or regulation. You acknowledge that you have reviewed the provisions of this Letter Agreement with your advisors and agree that, except for any benefit under any TJX tax equalization policy or program, as any such policy or program may be in effect from time to time, the Company shall not be liable to make you whole for any taxes that may become due or payable by reason of any payment, benefit or entitlement referenced in this Letter Agreement, or otherwise.</w:t>
      </w:r>
    </w:p>
    <w:p>
      <w:pPr>
        <w:spacing w:after="0" w:line="98"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rights and obligations of the Company under this Letter Agreement shall inure to the benefit of and shall be binding upon the successors and assigns of the Company. Your rights and obligations under this Letter Agreement, or under any agreement, plan or award referenced herein, are not assignable except only that stock issuable and awards and payments payable to you after your death shall be made to your estate except as otherwise provided by the applicable plan or award documentation.</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4" w:right="259" w:bottom="1440" w:gutter="0" w:footer="0" w:header="0"/>
        </w:sectPr>
      </w:pPr>
    </w:p>
    <w:bookmarkStart w:id="89" w:name="page90"/>
    <w:bookmarkEnd w:id="89"/>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 described in paragraph 2 of this Letter Agreement are expressly conditioned upon your retirement; should your employment terminate for any reason prior to your Retirement Date, the determination of any benefits to which you may be entitled will be governed by your Employment Agreement and applicable plan terms. If the foregoing is agreeable to you, please so indicate by signing the enclosed copy and returning it to me at TJX, whereupon this Letter Agreement shall be a binding contract between you and TJX, effective as of the date first indicated above.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90" w:name="page91"/>
    <w:bookmarkEnd w:id="90"/>
    <w:p>
      <w:pPr>
        <w:ind w:left="73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TJX COMPANIES, INC.</w:t>
      </w:r>
    </w:p>
    <w:p>
      <w:pPr>
        <w:spacing w:after="0" w:line="23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Scott Goldenberg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SEVP,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-123190</wp:posOffset>
            </wp:positionV>
            <wp:extent cx="260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MacMillan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MacMillan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2018</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FEBRUARY 2, 2018</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BETWEEN RICHARD SHERR AND THE TJX COMPANIES, INC.</w:t>
      </w:r>
    </w:p>
    <w:p>
      <w:pPr>
        <w:sectPr>
          <w:pgSz w:w="11900" w:h="16838" w:orient="portrait"/>
          <w:cols w:equalWidth="0" w:num="1">
            <w:col w:w="10220"/>
          </w:cols>
          <w:pgMar w:left="1440" w:top="12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INDEX</w:t>
            </w:r>
          </w:p>
        </w:tc>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660" w:type="dxa"/>
            <w:vAlign w:val="bottom"/>
            <w:gridSpan w:val="3"/>
            <w:vMerge w:val="restart"/>
          </w:tcPr>
          <w:p>
            <w:pPr>
              <w:ind w:left="100"/>
              <w:spacing w:after="0"/>
              <w:rPr>
                <w:sz w:val="20"/>
                <w:szCs w:val="20"/>
                <w:color w:val="auto"/>
              </w:rPr>
            </w:pPr>
            <w:r>
              <w:rPr>
                <w:rFonts w:ascii="Arial" w:cs="Arial" w:eastAsia="Arial" w:hAnsi="Arial"/>
                <w:sz w:val="18"/>
                <w:szCs w:val="18"/>
                <w:color w:val="auto"/>
              </w:rPr>
              <w:t>EFFECTIVE DATE; TERM OF AGREEMENT.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0660" w:type="dxa"/>
            <w:vAlign w:val="bottom"/>
            <w:gridSpan w:val="3"/>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SCOPE OF EMPLOYMENT.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COMPENSATION AND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IN GENERAL.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BENEFITS UPON NON-VOLUNTARY TERMINATION OF EMPLOYMENT OR UPON EXPIRATION OF THE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OTHER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AGREEMENT NOT TO SOLICIT OR COMPETE.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ASSIGNMENT.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WITHHOLDING; CERTAIN TAX MATTERS.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RELEASE.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ARBITRATION.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AND SEPARATION FROM SERVICE.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WAIVER.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45"/>
        </w:trPr>
        <w:tc>
          <w:tcPr>
            <w:tcW w:w="11000" w:type="dxa"/>
            <w:vAlign w:val="bottom"/>
            <w:gridSpan w:val="4"/>
          </w:tcPr>
          <w:p>
            <w:pPr>
              <w:spacing w:after="0"/>
              <w:rPr>
                <w:sz w:val="20"/>
                <w:szCs w:val="20"/>
                <w:color w:val="auto"/>
              </w:rPr>
            </w:pPr>
            <w:r>
              <w:rPr>
                <w:rFonts w:ascii="Arial" w:cs="Arial" w:eastAsia="Arial" w:hAnsi="Arial"/>
                <w:sz w:val="18"/>
                <w:szCs w:val="18"/>
                <w:color w:val="auto"/>
              </w:rPr>
              <w:t>EXHIBIT A Certain 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1000" w:type="dxa"/>
            <w:vAlign w:val="bottom"/>
            <w:gridSpan w:val="4"/>
          </w:tcPr>
          <w:p>
            <w:pPr>
              <w:spacing w:after="0"/>
              <w:rPr>
                <w:sz w:val="20"/>
                <w:szCs w:val="20"/>
                <w:color w:val="auto"/>
              </w:rPr>
            </w:pPr>
            <w:r>
              <w:rPr>
                <w:rFonts w:ascii="Arial" w:cs="Arial" w:eastAsia="Arial" w:hAnsi="Arial"/>
                <w:sz w:val="18"/>
                <w:szCs w:val="18"/>
                <w:color w:val="auto"/>
              </w:rPr>
              <w:t>EXHIBIT B Definition of “Change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30"/>
        </w:trPr>
        <w:tc>
          <w:tcPr>
            <w:tcW w:w="11000" w:type="dxa"/>
            <w:vAlign w:val="bottom"/>
            <w:gridSpan w:val="4"/>
          </w:tcPr>
          <w:p>
            <w:pPr>
              <w:spacing w:after="0"/>
              <w:rPr>
                <w:sz w:val="20"/>
                <w:szCs w:val="20"/>
                <w:color w:val="auto"/>
              </w:rPr>
            </w:pPr>
            <w:r>
              <w:rPr>
                <w:rFonts w:ascii="Arial" w:cs="Arial" w:eastAsia="Arial" w:hAnsi="Arial"/>
                <w:sz w:val="18"/>
                <w:szCs w:val="18"/>
                <w:color w:val="auto"/>
              </w:rPr>
              <w:t>EXHIBIT C Change of Control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RICHARD SHERR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AGREEMENT dated February 2, 2018 between Richard Sherr (“Executive”) and The TJX Companies, Inc., a Delaware corporation whose principal office is in Framingham, Massachusetts 01701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and Executive intend that Executive shall be employed by the Company on the terms set forth below and, to that end, deem it desirable and appropriate to enter into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in consideration of the mutual agreements hereinafter contained, agree as follows:</w:t>
      </w:r>
    </w:p>
    <w:p>
      <w:pPr>
        <w:spacing w:after="0" w:line="117" w:lineRule="exact"/>
        <w:rPr>
          <w:sz w:val="20"/>
          <w:szCs w:val="20"/>
          <w:color w:val="auto"/>
        </w:rPr>
      </w:pPr>
    </w:p>
    <w:p>
      <w:pPr>
        <w:ind w:right="40" w:firstLine="464"/>
        <w:spacing w:after="0" w:line="271" w:lineRule="auto"/>
        <w:tabs>
          <w:tab w:leader="none" w:pos="771"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DATE; TERM OF AGREEMENT. This Agreement shall become effective on February 4, 2018 (the “Effective Date”). Upon effectiveness of this Agreement on the Effective Date, the Employment Agreement between the Company and Executive dated January 30, 2015 (the “Prior Agreement”) shall terminate and be of no further force and effect. Prior to the Effective Date, the Prior Agreement shall remain in full force and effect, except that execution of this Agreement shall constitute, for purposes of the first sentence of Section 5(b) of the Prior Agreement, a mutual agreement by the parties to continue Executive’s employment beyond February 3, 2018. Subject to earlier termination as provided herein, Executive’s employment hereunder shall continue on the terms provided herein until January 30, 2021 (the “End Date”). The period of Executive’s employment by the Company from and after the Effective Date, whether under this Agreement or otherwise, is referred to in this Agreement as the “Employment Period.” This Agreement is intended to comply with the applicable requirements of Section 409A and shall be construed accordingly.</w:t>
      </w:r>
    </w:p>
    <w:p>
      <w:pPr>
        <w:spacing w:after="0" w:line="70" w:lineRule="exact"/>
        <w:rPr>
          <w:rFonts w:ascii="Arial" w:cs="Arial" w:eastAsia="Arial" w:hAnsi="Arial"/>
          <w:sz w:val="17"/>
          <w:szCs w:val="17"/>
          <w:color w:val="auto"/>
        </w:rPr>
      </w:pPr>
    </w:p>
    <w:p>
      <w:pPr>
        <w:ind w:left="780" w:hanging="31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SCOPE OF EMPLOYMENT.</w:t>
      </w:r>
    </w:p>
    <w:p>
      <w:pPr>
        <w:spacing w:after="0" w:line="117" w:lineRule="exact"/>
        <w:rPr>
          <w:sz w:val="20"/>
          <w:szCs w:val="20"/>
          <w:color w:val="auto"/>
        </w:rPr>
      </w:pPr>
    </w:p>
    <w:p>
      <w:pPr>
        <w:ind w:right="28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Nature of Services</w:t>
      </w:r>
      <w:r>
        <w:rPr>
          <w:rFonts w:ascii="Arial" w:cs="Arial" w:eastAsia="Arial" w:hAnsi="Arial"/>
          <w:sz w:val="18"/>
          <w:szCs w:val="18"/>
          <w:color w:val="auto"/>
        </w:rPr>
        <w:t>. Executive shall diligently perform such duties and assume such responsibilities as shall from time to time be specified by the Company.</w:t>
      </w:r>
    </w:p>
    <w:p>
      <w:pPr>
        <w:spacing w:after="0" w:line="62" w:lineRule="exact"/>
        <w:rPr>
          <w:rFonts w:ascii="Arial" w:cs="Arial" w:eastAsia="Arial" w:hAnsi="Arial"/>
          <w:sz w:val="18"/>
          <w:szCs w:val="18"/>
          <w:color w:val="auto"/>
        </w:rPr>
      </w:pPr>
    </w:p>
    <w:p>
      <w:pPr>
        <w:ind w:right="100" w:firstLine="464"/>
        <w:spacing w:after="0" w:line="297" w:lineRule="auto"/>
        <w:tabs>
          <w:tab w:leader="none" w:pos="71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Extent of Services</w:t>
      </w:r>
      <w:r>
        <w:rPr>
          <w:rFonts w:ascii="Arial" w:cs="Arial" w:eastAsia="Arial" w:hAnsi="Arial"/>
          <w:sz w:val="16"/>
          <w:szCs w:val="16"/>
          <w:color w:val="auto"/>
        </w:rPr>
        <w:t>. Except for illnesses and vacation periods, Executive shall devote substantially all his working time and attention and his best efforts to the performance of his duties and responsibilities under this Agreement. However, Executive may (i) make any passive investments where he is not obligated or required to, and shall not in fact, devote any managerial efforts, (ii) subject to approval by the Board or a committee thereof (which approval shall not be unreasonably withheld or withdrawn), participate in charitable or community activities or in trade or professional organizations, (iii) subject to approval by the Board or a committee thereof (which approval shall not be unreasonably withheld or withdrawn), hold directorships in other companies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94" w:name="page95"/>
    <w:bookmarkEnd w:id="9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enterprises, or (iv) engage in such other activities, not listed in (i), (ii) or (iii) above, as the Board or a committee thereof may approve;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Board or such committee shall have the right to limit such services as a director or such participation in charitable or community activities or in trade or professional organizations, or other activities approved pursuant to clause (iv), whenever the Board or such committee shall believe that the time spent on such activities infringes in any material respect upon the time required by Executive for the performance of his duties under this Agreement or is otherwise incompatible with those duties.</w:t>
      </w:r>
    </w:p>
    <w:p>
      <w:pPr>
        <w:spacing w:after="0" w:line="8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tab/>
        <w:t>COMPENSATION AND BENEFITS.</w:t>
      </w:r>
    </w:p>
    <w:p>
      <w:pPr>
        <w:spacing w:after="0" w:line="117" w:lineRule="exact"/>
        <w:rPr>
          <w:sz w:val="20"/>
          <w:szCs w:val="20"/>
          <w:color w:val="auto"/>
        </w:rPr>
      </w:pPr>
    </w:p>
    <w:p>
      <w:pPr>
        <w:ind w:right="140" w:firstLine="464"/>
        <w:spacing w:after="0" w:line="312"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Executive shall be paid a base salary at the rate hereinafter specified, such Base Salary to be paid in the same manner and at the same times as the Company shall pay base salary to other executive employees. The rate at which Executive’s Base Salary shall be paid shall be $1,050,000 per year or such other rate (not less than $1,050,000 per year) as the Committee may determine after Committee review not less frequently than annually.</w:t>
      </w:r>
    </w:p>
    <w:p>
      <w:pPr>
        <w:spacing w:after="0" w:line="38"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Existing Awards</w:t>
      </w:r>
      <w:r>
        <w:rPr>
          <w:rFonts w:ascii="Arial" w:cs="Arial" w:eastAsia="Arial" w:hAnsi="Arial"/>
          <w:sz w:val="18"/>
          <w:szCs w:val="18"/>
          <w:color w:val="auto"/>
        </w:rPr>
        <w:t>. Reference is made to outstanding awards to Executive of stock options and of performance-based restricted stock made prior to the Effective Date under the Company’s Stock Incentive Plan (as it may be amended and including any successor, the “Stock Incentive Plan”), to the award opportunity granted to Executive for FYE 2018 under the Company’s Management Incentive Plan (“MIP”), and to award opportunities granted to Executive under the Company’s Long Range Performance Incentive Plan (“LRPIP”) for cycles beginning before the Effective Date. Each of such awards outstanding immediately prior to the Effective Date shall continue for such period or periods and in accordance with such terms as are set out in the applicable grant, award certificate, award agreement and other governing documents relating to such awards and shall not be affected by the terms of this Agreement except as otherwise expressly provided herein.</w:t>
      </w:r>
    </w:p>
    <w:p>
      <w:pPr>
        <w:spacing w:after="0" w:line="81" w:lineRule="exact"/>
        <w:rPr>
          <w:rFonts w:ascii="Arial" w:cs="Arial" w:eastAsia="Arial" w:hAnsi="Arial"/>
          <w:sz w:val="18"/>
          <w:szCs w:val="18"/>
          <w:color w:val="auto"/>
        </w:rPr>
      </w:pPr>
    </w:p>
    <w:p>
      <w:pPr>
        <w:ind w:firstLine="464"/>
        <w:spacing w:after="0" w:line="293"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New Stock Awards</w:t>
      </w:r>
      <w:r>
        <w:rPr>
          <w:rFonts w:ascii="Arial" w:cs="Arial" w:eastAsia="Arial" w:hAnsi="Arial"/>
          <w:sz w:val="16"/>
          <w:szCs w:val="16"/>
          <w:color w:val="auto"/>
        </w:rPr>
        <w:t>. Consistent with the terms of the Stock Incentive Plan, during the Employment Period, Executive will be entitled to stock-based awards under the Stock Incentive Plan at levels commensurate with his position and responsibilities and subject to such terms as shall be established by the Committee. With respect to Stock Incentive Plan awards described in Section 3(b) (Existing Awards) and this Section 3(c) (New Stock Awards), Executive will be entitled to tender shares of Company common stock not then subject to restrictions under any Company plan, or to have shares of stock deliverable under the awards held back to satisfy tax withholding in connection with such awards, subject to such rules and limitations as the Company may prescribe but not in excess of the maximum amount of withholding consistent with treating the awards as subject to equity award accounting.</w:t>
      </w:r>
    </w:p>
    <w:p>
      <w:pPr>
        <w:spacing w:after="0" w:line="56" w:lineRule="exact"/>
        <w:rPr>
          <w:rFonts w:ascii="Arial" w:cs="Arial" w:eastAsia="Arial" w:hAnsi="Arial"/>
          <w:sz w:val="16"/>
          <w:szCs w:val="16"/>
          <w:color w:val="auto"/>
        </w:rPr>
      </w:pPr>
    </w:p>
    <w:p>
      <w:pPr>
        <w:ind w:right="300" w:firstLine="464"/>
        <w:spacing w:after="0" w:line="277"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LRPIP</w:t>
      </w:r>
      <w:r>
        <w:rPr>
          <w:rFonts w:ascii="Arial" w:cs="Arial" w:eastAsia="Arial" w:hAnsi="Arial"/>
          <w:sz w:val="18"/>
          <w:szCs w:val="18"/>
          <w:color w:val="auto"/>
        </w:rPr>
        <w:t>. During the Employment Period, Executive will be eligible to participate in annual grants under LRPIP at a level commensurate with his position and responsibilities and subject to such terms as shall be established by the Committee.</w:t>
      </w:r>
    </w:p>
    <w:p>
      <w:pPr>
        <w:spacing w:after="0" w:line="62" w:lineRule="exact"/>
        <w:rPr>
          <w:rFonts w:ascii="Arial" w:cs="Arial" w:eastAsia="Arial" w:hAnsi="Arial"/>
          <w:sz w:val="18"/>
          <w:szCs w:val="18"/>
          <w:color w:val="auto"/>
        </w:rPr>
      </w:pPr>
    </w:p>
    <w:p>
      <w:pPr>
        <w:ind w:right="580"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MIP</w:t>
      </w:r>
      <w:r>
        <w:rPr>
          <w:rFonts w:ascii="Arial" w:cs="Arial" w:eastAsia="Arial" w:hAnsi="Arial"/>
          <w:sz w:val="18"/>
          <w:szCs w:val="18"/>
          <w:color w:val="auto"/>
        </w:rPr>
        <w:t>. During the Employment Period, Executive will be eligible to participate in annual awards under MIP at a level commensurate with his position and responsibilities and subject to such terms as shall be established by the Committee.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95" w:name="page96"/>
    <w:bookmarkEnd w:id="9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u w:val="single" w:color="auto"/>
          <w:color w:val="auto"/>
        </w:rPr>
        <w:t>Qualified Plans; Other Deferred Compensation Plans</w:t>
      </w:r>
      <w:r>
        <w:rPr>
          <w:rFonts w:ascii="Arial" w:cs="Arial" w:eastAsia="Arial" w:hAnsi="Arial"/>
          <w:sz w:val="18"/>
          <w:szCs w:val="18"/>
          <w:color w:val="auto"/>
        </w:rPr>
        <w:t>. Executive shall be entitled during the Employment Period to participate in the Company’s tax-qualified retirement and profit-sharing plans, and in the ESP, in each case in accordance with the terms of the applicable plan (including, for the avoidance of doubt and without limitation, the amendment and termination provisions thereof).</w:t>
      </w:r>
    </w:p>
    <w:p>
      <w:pPr>
        <w:spacing w:after="0" w:line="73" w:lineRule="exact"/>
        <w:rPr>
          <w:sz w:val="20"/>
          <w:szCs w:val="20"/>
          <w:color w:val="auto"/>
        </w:rPr>
      </w:pPr>
    </w:p>
    <w:p>
      <w:pPr>
        <w:ind w:right="20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Policies and Fringe Benefits</w:t>
      </w:r>
      <w:r>
        <w:rPr>
          <w:rFonts w:ascii="Arial" w:cs="Arial" w:eastAsia="Arial" w:hAnsi="Arial"/>
          <w:sz w:val="18"/>
          <w:szCs w:val="18"/>
          <w:color w:val="auto"/>
        </w:rPr>
        <w:t>. Executive shall be subject to Company policies applicable to its executives generally and shall be entitled to receive all such fringe benefits as the Company shall from time to time make available to other executives generally (subject to the terms of any applicable fringe benefit plan).</w:t>
      </w:r>
    </w:p>
    <w:p>
      <w:pPr>
        <w:spacing w:after="0" w:line="73" w:lineRule="exact"/>
        <w:rPr>
          <w:rFonts w:ascii="Arial" w:cs="Arial" w:eastAsia="Arial" w:hAnsi="Arial"/>
          <w:sz w:val="18"/>
          <w:szCs w:val="18"/>
          <w:color w:val="auto"/>
        </w:rPr>
      </w:pPr>
    </w:p>
    <w:p>
      <w:pPr>
        <w:ind w:firstLine="464"/>
        <w:spacing w:after="0" w:line="279" w:lineRule="auto"/>
        <w:tabs>
          <w:tab w:leader="none" w:pos="71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Company is entitled to terminate Executive’s employment notwithstanding the fact that Executive may lose entitlement to benefits under the arrangements described above. Upon termination of his employment, Executive shall have no claim against the Company for loss arising out of ineligibility to exercise any stock options granted to him or otherwise in relation to any of the stock options or other stock-based awards granted to Executive, and the rights of Executive shall be determined solely by the rules of the relevant award document and plan.</w:t>
      </w:r>
    </w:p>
    <w:p>
      <w:pPr>
        <w:spacing w:after="0" w:line="6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tab/>
        <w:t>TERMINATION OF EMPLOYMENT; IN GENERAL.</w:t>
      </w:r>
    </w:p>
    <w:p>
      <w:pPr>
        <w:spacing w:after="0" w:line="117" w:lineRule="exact"/>
        <w:rPr>
          <w:sz w:val="20"/>
          <w:szCs w:val="20"/>
          <w:color w:val="auto"/>
        </w:rPr>
      </w:pPr>
    </w:p>
    <w:p>
      <w:pPr>
        <w:ind w:right="220" w:firstLine="464"/>
        <w:spacing w:after="0" w:line="277"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shall have the right to end Executive’s employment at any time and for any reason, with or without Cause. Executive shall provide written notice to the Company of his decision to retire or otherwise terminate employment with the Company.</w:t>
      </w:r>
    </w:p>
    <w:p>
      <w:pPr>
        <w:spacing w:after="0" w:line="62"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Executive’s employment shall terminate upon written notice by the Company to Executive (or, if earlier, to the extent consistent with the requirements of Section 409A, to the extent applicable, upon the expiration of the twenty-nine (29)-month period commencing upon Executive’s absence from work) if, by reason of Disability, Executive is unable to perform his duties for at least six continuous months. Any termination of employment pursuant to this Section 4(b) shall be treated for purposes of Section 5 and the definition of “Change of Control Termination” at subsection (f) of Exhibit A as a termination of employment by reason of Disability.</w:t>
      </w:r>
    </w:p>
    <w:p>
      <w:pPr>
        <w:spacing w:after="0" w:line="80"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Whenever his employment shall terminate, Executive shall resign (or, in the absence of an affirmative resignation, shall be deemed to have resigned) all offices or other positions he shall hold with the Company and any affiliates. For the avoidance of doubt, the Employment Period shall terminate upon termination of Executive’s employment for any reason.</w:t>
      </w:r>
    </w:p>
    <w:p>
      <w:pPr>
        <w:spacing w:after="0" w:line="7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tab/>
        <w:t>BENEFITS UPON NON-VOLUNTARY TERMINATION OF EMPLOYMENT OR UPON EXPIRATION OF THE AGREEMENT.</w:t>
      </w:r>
    </w:p>
    <w:p>
      <w:pPr>
        <w:spacing w:after="0" w:line="117" w:lineRule="exact"/>
        <w:rPr>
          <w:sz w:val="20"/>
          <w:szCs w:val="20"/>
          <w:color w:val="auto"/>
        </w:rPr>
      </w:pPr>
    </w:p>
    <w:p>
      <w:pPr>
        <w:ind w:right="420" w:firstLine="464"/>
        <w:spacing w:after="0" w:line="264"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Certain Terminations Prior to the End Date</w:t>
      </w:r>
      <w:r>
        <w:rPr>
          <w:rFonts w:ascii="Arial" w:cs="Arial" w:eastAsia="Arial" w:hAnsi="Arial"/>
          <w:sz w:val="18"/>
          <w:szCs w:val="18"/>
          <w:color w:val="auto"/>
        </w:rPr>
        <w:t>. If the Employment Period shall have terminated prior to the End Date by reason of (I) death or Disability of Executive, (II) termination by the Company for any reason other than Cause or (III) a Constructive Termination, then all compensation and benefits for Executive shall be as follows:</w:t>
      </w:r>
    </w:p>
    <w:p>
      <w:pPr>
        <w:spacing w:after="0" w:line="73" w:lineRule="exact"/>
        <w:rPr>
          <w:rFonts w:ascii="Arial" w:cs="Arial" w:eastAsia="Arial" w:hAnsi="Arial"/>
          <w:sz w:val="18"/>
          <w:szCs w:val="18"/>
          <w:color w:val="auto"/>
        </w:rPr>
      </w:pPr>
    </w:p>
    <w:p>
      <w:pPr>
        <w:ind w:left="460" w:right="240" w:firstLine="443"/>
        <w:spacing w:after="0" w:line="277" w:lineRule="auto"/>
        <w:tabs>
          <w:tab w:leader="none" w:pos="11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a period of twenty-four (24) months after the Date of Termination (the “termination period”), the Company will pay to Executive or his legal representative,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6" w:name="page97"/>
    <w:bookmarkEnd w:id="9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reduction for compensation earned from other employment or self-employment, continued Base Salary at the rate in effect at termination of employment in accordance with its regular payroll practices for executive employees of the Company (but not less frequently than monthly);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Executive is a Specified Employee at the relevant time, the Base Salary that would otherwise be payable during the six-month period beginning on the Date of Termination shall instead be accumulated and paid, without interest, in a lump sum on the date that is six (6) months and one day after such date (or, if earlier, the date of Executive’s death); </w:t>
      </w:r>
      <w:r>
        <w:rPr>
          <w:rFonts w:ascii="Arial" w:cs="Arial" w:eastAsia="Arial" w:hAnsi="Arial"/>
          <w:sz w:val="18"/>
          <w:szCs w:val="18"/>
          <w:i w:val="1"/>
          <w:iCs w:val="1"/>
          <w:color w:val="auto"/>
        </w:rPr>
        <w:t>and further provided,</w:t>
      </w:r>
      <w:r>
        <w:rPr>
          <w:rFonts w:ascii="Arial" w:cs="Arial" w:eastAsia="Arial" w:hAnsi="Arial"/>
          <w:sz w:val="18"/>
          <w:szCs w:val="18"/>
          <w:color w:val="auto"/>
        </w:rPr>
        <w:t xml:space="preserve"> that if Executive is eligible for long-term disability compensation benefits under the Company’s long-term disability plan, the amount payable under this clause shall be paid at a rate equal to the excess of (a) the rate of Base Salary in effect at termination of employment, over (b) the long-term disability compensation benefits for which Executive is approved under such plan.</w:t>
      </w:r>
    </w:p>
    <w:p>
      <w:pPr>
        <w:spacing w:after="0" w:line="84" w:lineRule="exact"/>
        <w:rPr>
          <w:sz w:val="20"/>
          <w:szCs w:val="20"/>
          <w:color w:val="auto"/>
        </w:rPr>
      </w:pPr>
    </w:p>
    <w:p>
      <w:pPr>
        <w:ind w:right="40" w:firstLine="443"/>
        <w:spacing w:after="0" w:line="255" w:lineRule="auto"/>
        <w:tabs>
          <w:tab w:leader="none" w:pos="7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Executive elects so-called “COBRA” continuation of group health plan coverage provided pursuant to Part 6 of Subtitle B of Title I of the Employee Retirement Income Security Act of 1974, as amended, there shall be added to the amounts otherwise payable under Section 5(a)(i) above, during the continuation of such coverage but not beyond the end of the termination period, an amount (grossed up for federal and state income taxes) equal to the participant cost of such coverage, except to the extent that Executive shall obtain no less favorable coverage from another employer or from self-employment in which case such additional payments shall cease immediately. For the avoidance of doubt, Executive shall not be eligible for continuation of group health plan coverage from and after the Date of Termination except for any “COBRA” continuation as described in this Section 5(a)(ii).</w:t>
      </w:r>
    </w:p>
    <w:p>
      <w:pPr>
        <w:spacing w:after="0" w:line="81" w:lineRule="exact"/>
        <w:rPr>
          <w:rFonts w:ascii="Arial" w:cs="Arial" w:eastAsia="Arial" w:hAnsi="Arial"/>
          <w:sz w:val="18"/>
          <w:szCs w:val="18"/>
          <w:color w:val="auto"/>
        </w:rPr>
      </w:pPr>
    </w:p>
    <w:p>
      <w:pPr>
        <w:ind w:right="80" w:firstLine="443"/>
        <w:spacing w:after="0" w:line="279" w:lineRule="auto"/>
        <w:tabs>
          <w:tab w:leader="none" w:pos="75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The Company will pay to Executive or his legal representative, without offset for compensation earned from other employment or self-employment, (A) any unpaid amounts to which Executive is entitled under MIP for the fiscal year of the Company ended immediately prior to Executive’s termination of employment,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any unpaid amounts owing with respect to LRPIP cycles in which Executive participated and which were completed prior to termination. These amounts will be paid at the same time as other awards for such prior year or cycle are paid.</w:t>
      </w:r>
    </w:p>
    <w:p>
      <w:pPr>
        <w:spacing w:after="0" w:line="63" w:lineRule="exact"/>
        <w:rPr>
          <w:rFonts w:ascii="Arial" w:cs="Arial" w:eastAsia="Arial" w:hAnsi="Arial"/>
          <w:sz w:val="17"/>
          <w:szCs w:val="17"/>
          <w:color w:val="auto"/>
        </w:rPr>
      </w:pPr>
    </w:p>
    <w:p>
      <w:pPr>
        <w:ind w:right="20" w:firstLine="443"/>
        <w:spacing w:after="0" w:line="285" w:lineRule="auto"/>
        <w:tabs>
          <w:tab w:leader="none" w:pos="743"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any MIP performance period in which Executive participates that begins before and ends after the Date of Termination, and at the same time as other MIP awards for such performance period are paid, but in no event later than by the 15th day of the third month following the close of the fiscal year to which such MIP award relates, the Company will pay to Executive or his legal representative, without offset for compensation earned from other employment or self-employment, an amount equal to (A) the MIP award, if any, that Executive would have earned and been paid had he continued in office through the end of such fiscal year, determined without regard to any adjustment for individual performance factors, multiplied by</w:t>
      </w:r>
    </w:p>
    <w:p>
      <w:pPr>
        <w:spacing w:after="0" w:line="2" w:lineRule="exact"/>
        <w:rPr>
          <w:rFonts w:ascii="Arial" w:cs="Arial" w:eastAsia="Arial" w:hAnsi="Arial"/>
          <w:sz w:val="16"/>
          <w:szCs w:val="16"/>
          <w:color w:val="auto"/>
        </w:rPr>
      </w:pPr>
    </w:p>
    <w:p>
      <w:pPr>
        <w:ind w:firstLine="4"/>
        <w:spacing w:after="0" w:line="254" w:lineRule="auto"/>
        <w:tabs>
          <w:tab w:leader="none" w:pos="2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fraction, the numerator of which is three hundred and sixty-five (365) plus the number of days during such fiscal year prior to termination of employment, and the denominator of which is seven hundred and thirty (730);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Employment Period shall have terminated by reason of Executive’s death or Disability, this clause (iv) shall not apply and Executive instead shall be entitled to the MIP benefit described in Section 5(a)(viii) below.</w:t>
      </w:r>
    </w:p>
    <w:p>
      <w:pPr>
        <w:spacing w:after="0" w:line="12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700" w:top="274" w:right="339" w:bottom="1440" w:gutter="0" w:footer="0" w:header="0"/>
        </w:sectPr>
      </w:pPr>
    </w:p>
    <w:bookmarkStart w:id="97" w:name="page98"/>
    <w:bookmarkEnd w:id="97"/>
    <w:p>
      <w:pPr>
        <w:ind w:left="440" w:firstLine="443"/>
        <w:spacing w:after="0" w:line="255" w:lineRule="auto"/>
        <w:tabs>
          <w:tab w:leader="none" w:pos="1133"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LRPIP cycle in which Executive participates that begins before and ends after the Date of Termination, and at the same time as other LRPIP awards for such cycle are paid, but in no event later than by the 15th day of the third month following the close of the last of the Company’s fiscal years in such cycle, the Company will pay to Executive or his legal representative, without offset for compensation earned from other employment or self-employment, an amount equal to (A) the LRPIP award, if any, that Executive would have earned and been paid had he continued in office through the end of such cycle, determined without regard to any adjustment for individual performance factors, multiplied by (B) a fraction, the numerator of which is the number of full months in such cycle completed prior to termination of employment and the denominator of which is the number of full months in such cycle.</w:t>
      </w:r>
    </w:p>
    <w:p>
      <w:pPr>
        <w:spacing w:after="0" w:line="81" w:lineRule="exact"/>
        <w:rPr>
          <w:rFonts w:ascii="Arial" w:cs="Arial" w:eastAsia="Arial" w:hAnsi="Arial"/>
          <w:sz w:val="18"/>
          <w:szCs w:val="18"/>
          <w:color w:val="auto"/>
        </w:rPr>
      </w:pPr>
    </w:p>
    <w:p>
      <w:pPr>
        <w:ind w:left="440" w:right="20" w:firstLine="443"/>
        <w:spacing w:after="0" w:line="312" w:lineRule="auto"/>
        <w:tabs>
          <w:tab w:leader="none" w:pos="1183"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addition, Executive or his legal representative shall be entitled to the Stock Incentive Plan benefits described in Section 3(b) (Existing Awards) and Section 3(c) (New Stock Awards), and to payment of his vested benefits, if any, under the plans described in Section 3(f) (Qualified Plans; Other Deferred Compensation Plans), in each case, in accordance with and subject to the terms of the applicable plan, program or arrangement.</w:t>
      </w:r>
    </w:p>
    <w:p>
      <w:pPr>
        <w:spacing w:after="0" w:line="38" w:lineRule="exact"/>
        <w:rPr>
          <w:rFonts w:ascii="Arial" w:cs="Arial" w:eastAsia="Arial" w:hAnsi="Arial"/>
          <w:sz w:val="16"/>
          <w:szCs w:val="16"/>
          <w:color w:val="auto"/>
        </w:rPr>
      </w:pPr>
    </w:p>
    <w:p>
      <w:pPr>
        <w:ind w:left="440" w:firstLine="443"/>
        <w:spacing w:after="0" w:line="276" w:lineRule="auto"/>
        <w:tabs>
          <w:tab w:leader="none" w:pos="1233"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termination occurs by reason of Disability, Executive shall also be entitled to such compensation, if any, as is payable pursuant to the Company’s long-term disability plan. To avoid duplication of benefits, if for any period Executive receives long-term disability compensation payments under a long-term disability plan of the Company as well as payments under Section 5(a)(i) above, and if the sum of such payments for any period exceeds the payment for such period to which Executive is entitled under Section 5(a)(i) above (determined without regard to the second proviso set forth therein), he shall promptly pay such excess in reimbursement to the Company.</w:t>
      </w:r>
    </w:p>
    <w:p>
      <w:pPr>
        <w:spacing w:after="0" w:line="64" w:lineRule="exact"/>
        <w:rPr>
          <w:rFonts w:ascii="Arial" w:cs="Arial" w:eastAsia="Arial" w:hAnsi="Arial"/>
          <w:sz w:val="17"/>
          <w:szCs w:val="17"/>
          <w:color w:val="auto"/>
        </w:rPr>
      </w:pPr>
    </w:p>
    <w:p>
      <w:pPr>
        <w:ind w:left="440" w:right="80" w:firstLine="443"/>
        <w:spacing w:after="0" w:line="279" w:lineRule="auto"/>
        <w:tabs>
          <w:tab w:leader="none" w:pos="1283"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termination occurs by reason of death or Disability, Executive shall also be entitled to an amount equal to Executive’s MIP Target Award for the fiscal year in which the Date of Termination occurs (or if MIP Target Awards for such fiscal year have not yet been granted as of the Date of Termination, Executive’s MIP Target Award for the prior fiscal year), without proration and based on Executive’s Base Salary rate in effect at termination of employment. This amount will be paid at the same time as other MIP awards for such performance period are paid.</w:t>
      </w:r>
    </w:p>
    <w:p>
      <w:pPr>
        <w:spacing w:after="0" w:line="63" w:lineRule="exact"/>
        <w:rPr>
          <w:rFonts w:ascii="Arial" w:cs="Arial" w:eastAsia="Arial" w:hAnsi="Arial"/>
          <w:sz w:val="17"/>
          <w:szCs w:val="17"/>
          <w:color w:val="auto"/>
        </w:rPr>
      </w:pPr>
    </w:p>
    <w:p>
      <w:pPr>
        <w:ind w:left="440" w:right="240" w:firstLine="443"/>
        <w:spacing w:after="0" w:line="312" w:lineRule="auto"/>
        <w:tabs>
          <w:tab w:leader="none" w:pos="118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Except as expressly set forth above or as required by law, Executive shall not be entitled to continue participation during or following the termination period in any employee benefit or fringe benefit plans, except for continuation of any automobile allowance, which shall be added to the amounts otherwise payable under Section 5(a)(i) above during the continuation of such coverage but not beyond the end of the termination period.</w:t>
      </w:r>
    </w:p>
    <w:p>
      <w:pPr>
        <w:spacing w:after="0" w:line="38" w:lineRule="exact"/>
        <w:rPr>
          <w:rFonts w:ascii="Arial" w:cs="Arial" w:eastAsia="Arial" w:hAnsi="Arial"/>
          <w:sz w:val="16"/>
          <w:szCs w:val="16"/>
          <w:color w:val="auto"/>
        </w:rPr>
      </w:pPr>
    </w:p>
    <w:p>
      <w:pPr>
        <w:ind w:left="-20" w:right="620" w:firstLine="464"/>
        <w:spacing w:after="0" w:line="277" w:lineRule="auto"/>
        <w:tabs>
          <w:tab w:leader="none" w:pos="6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on the End Date</w:t>
      </w:r>
      <w:r>
        <w:rPr>
          <w:rFonts w:ascii="Arial" w:cs="Arial" w:eastAsia="Arial" w:hAnsi="Arial"/>
          <w:sz w:val="18"/>
          <w:szCs w:val="18"/>
          <w:color w:val="auto"/>
        </w:rPr>
        <w:t>. Unless earlier terminated or except as otherwise mutually agreed by Executive and the Company, Executive’s employment with the Company shall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98" w:name="page99"/>
    <w:bookmarkEnd w:id="9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on the End Date. Unless the Company in connection with such termination on the End Date shall offer to Executive continued service in a position on reasonable terms, Executive shall be treated as having been terminated under Section 5(a)(II) on the day immediately preceding the End Date and shall be entitled to the compensation and benefits described in Section 5(a) in respect of such a termination, subject, for the avoidance of doubt, to the other provisions of this Agreement including, without limitation, Section 8. If the Company in connection with such termination offers to Executive continued service in a position on reasonable terms, and Executive declines such service, he shall be treated for all purposes of this Agreement as having terminated his employment voluntarily on the End Date and he shall be entitled only to those benefits to which he would be entitled under Section 6(a) (“Voluntary Termination of Employment”). For purposes of the two preceding sentences, “service in a position on reasonable terms” shall mean service in a position comparable to the position in which Executive was serving immediately prior to the End Date, as reasonably determined by the Committee.</w:t>
      </w:r>
    </w:p>
    <w:p>
      <w:pPr>
        <w:spacing w:after="0" w:line="58"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6.</w:t>
        <w:tab/>
        <w:t>OTHER TERMINATION.</w:t>
      </w:r>
    </w:p>
    <w:p>
      <w:pPr>
        <w:spacing w:after="0" w:line="117" w:lineRule="exact"/>
        <w:rPr>
          <w:sz w:val="20"/>
          <w:szCs w:val="20"/>
          <w:color w:val="auto"/>
        </w:rPr>
      </w:pPr>
    </w:p>
    <w:p>
      <w:pPr>
        <w:ind w:right="200" w:firstLine="464"/>
        <w:spacing w:after="0" w:line="271" w:lineRule="auto"/>
        <w:tabs>
          <w:tab w:leader="none" w:pos="70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Voluntary Termination of Employment</w:t>
      </w:r>
      <w:r>
        <w:rPr>
          <w:rFonts w:ascii="Arial" w:cs="Arial" w:eastAsia="Arial" w:hAnsi="Arial"/>
          <w:sz w:val="17"/>
          <w:szCs w:val="17"/>
          <w:color w:val="auto"/>
        </w:rPr>
        <w:t>. If Executive terminates his employment voluntarily, Executive or his legal representative shall be entitled (in each case in accordance with and subject to the terms of the applicable arrangement) to any Stock Incentive Plan benefits described in Section 3(b) (Existing Awards) or Section 3(c) (New Stock Awards), including any benefits in connection with Special Service Retirement (as defined in the Stock Incentive Plan), and to any vested benefits under the plans described in Section 3(f) (Qualified Plans; Other Deferred Compensation Plans). In addition, the Company will pay to Executive or his legal representative any unpaid amounts to which Executive is entitled under MIP for the fiscal year of the Company ended immediately prior to termination of employment, plus any unpaid amounts owing with respect to LRPIP cycles in which Executive participated and which were completed prior to termination of employment, in each case at the same time as other awards for such prior year or cycle are paid. No other benefits shall be paid under this Agreement upon a voluntary termination of employment.</w:t>
      </w:r>
    </w:p>
    <w:p>
      <w:pPr>
        <w:spacing w:after="0" w:line="70" w:lineRule="exact"/>
        <w:rPr>
          <w:rFonts w:ascii="Arial" w:cs="Arial" w:eastAsia="Arial" w:hAnsi="Arial"/>
          <w:sz w:val="17"/>
          <w:szCs w:val="17"/>
          <w:color w:val="auto"/>
        </w:rPr>
      </w:pPr>
    </w:p>
    <w:p>
      <w:pPr>
        <w:ind w:right="80" w:firstLine="464"/>
        <w:spacing w:after="0" w:line="276" w:lineRule="auto"/>
        <w:tabs>
          <w:tab w:leader="none" w:pos="711"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Company should terminate Executive’s employment for Cause all compensation and benefits otherwise payable pursuant to this Agreement shall cease, other than (x) such vested amounts as are credited to Executive’s account (but not received) under the ESP; (y) any vested benefits to which Executive is entitled under the Company’s tax-qualified plans; and (z) Stock Incentive Plan benefits, if any, to which Executive may be entitled under Sections 3(b) (Existing Awards) and 3(c) (New Stock Awards); in each case, in accordance with and subject to the terms of the applicable plan, program or arrangement. The Company does not waive any rights it may have for damages or injunctive relief.</w:t>
      </w:r>
    </w:p>
    <w:p>
      <w:pPr>
        <w:spacing w:after="0" w:line="64" w:lineRule="exact"/>
        <w:rPr>
          <w:sz w:val="20"/>
          <w:szCs w:val="20"/>
          <w:color w:val="auto"/>
        </w:rPr>
      </w:pPr>
    </w:p>
    <w:p>
      <w:pPr>
        <w:ind w:right="100" w:firstLine="464"/>
        <w:spacing w:after="0" w:line="273" w:lineRule="auto"/>
        <w:tabs>
          <w:tab w:leader="none" w:pos="7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 OF CONTROL. Upon and following a Change of Control occurring during the Employment Period, (i) Executive’s employment under this Agreement shall continue indefinitely without regard to the End Date or Section 5(b), subject, however, to termination by either party or by reason of Executive’s death or Disability in accordance with the other provisions of this Agreement; and (ii) the provisions of Section 5 shall cease to apply in respect of any termination of employment described therein that occurs during the Standstill Period (but the provisions of Section C.1 of Exhibit C (including any reference to Section 5 therein) shall apply in respect of any such termination that qualifies as a Change of Control Termination). Additional provisions that may be relevant upon and following a Change of Control are found in Exhibit 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9" w:name="page100"/>
    <w:bookmarkEnd w:id="99"/>
    <w:p>
      <w:pPr>
        <w:ind w:left="46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w:t>
      </w:r>
      <w:r>
        <w:rPr>
          <w:sz w:val="20"/>
          <w:szCs w:val="20"/>
          <w:color w:val="auto"/>
        </w:rPr>
        <w:tab/>
      </w:r>
      <w:r>
        <w:rPr>
          <w:rFonts w:ascii="Arial" w:cs="Arial" w:eastAsia="Arial" w:hAnsi="Arial"/>
          <w:sz w:val="17"/>
          <w:szCs w:val="17"/>
          <w:color w:val="auto"/>
        </w:rPr>
        <w:t>AGREEMENT NOT TO SOLICIT OR COMPETE.</w:t>
      </w:r>
    </w:p>
    <w:p>
      <w:pPr>
        <w:spacing w:after="0" w:line="117" w:lineRule="exact"/>
        <w:rPr>
          <w:sz w:val="20"/>
          <w:szCs w:val="20"/>
          <w:color w:val="auto"/>
        </w:rPr>
      </w:pPr>
    </w:p>
    <w:p>
      <w:pPr>
        <w:ind w:right="80" w:firstLine="464"/>
        <w:spacing w:after="0" w:line="284" w:lineRule="auto"/>
        <w:tabs>
          <w:tab w:leader="none" w:pos="701" w:val="left"/>
        </w:tabs>
        <w:numPr>
          <w:ilvl w:val="1"/>
          <w:numId w:val="39"/>
        </w:numPr>
        <w:rPr>
          <w:rFonts w:ascii="Arial" w:cs="Arial" w:eastAsia="Arial" w:hAnsi="Arial"/>
          <w:sz w:val="16"/>
          <w:szCs w:val="16"/>
          <w:color w:val="auto"/>
        </w:rPr>
      </w:pPr>
      <w:r>
        <w:rPr>
          <w:rFonts w:ascii="Arial" w:cs="Arial" w:eastAsia="Arial" w:hAnsi="Arial"/>
          <w:sz w:val="16"/>
          <w:szCs w:val="16"/>
          <w:color w:val="auto"/>
        </w:rPr>
        <w:t>During the Employment Period and for a period of twenty-four (24) months thereafter (the “Nonsolicitation Period”), Executive shall not, and shall not direct any other individual or entity to, directly or indirectly (including as a partner, shareholder, joint venturer or other investor) (i) hire, offer to hire, attempt to hire or assist in the hiring of, any protected person as an employee, director, consultant, advisor or other service provider, (ii) recommend any protected person for employment or other engagement with any person or entity other than the Company and its Subsidiaries, (iii) solicit for employment or other engagement any protected person, or seek to persuade, induce or encourage any protected person to discontinue employment or engagement with the Company or its Subsidiaries, or recommend to any protected person any employment or engagement other than with the Company or its Subsidiaries,</w:t>
      </w:r>
    </w:p>
    <w:p>
      <w:pPr>
        <w:spacing w:after="0" w:line="4" w:lineRule="exact"/>
        <w:rPr>
          <w:rFonts w:ascii="Arial" w:cs="Arial" w:eastAsia="Arial" w:hAnsi="Arial"/>
          <w:sz w:val="16"/>
          <w:szCs w:val="16"/>
          <w:color w:val="auto"/>
        </w:rPr>
      </w:pPr>
    </w:p>
    <w:p>
      <w:pPr>
        <w:ind w:right="20" w:firstLine="8"/>
        <w:spacing w:after="0" w:line="281" w:lineRule="auto"/>
        <w:tabs>
          <w:tab w:leader="none" w:pos="3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accept services of any sort (whether for compensation or otherwise) from any protected person, or (v) participate with any other person or entity in any of the foregoing activities. Any individual or entity to which Executive provides services (as an employee, director, consultant, advisor or otherwise) or in which Executive is a shareholder, member, partner, joint venturer or investor, excluding interests in the common stock of any publicly traded corporation of one percent (1%) or less, and any individual or entity that is affiliated with any such individual or entity, shall, for purposes of the preceding sentence, be presumed to have acted at the direction of Executive with respect to any “protected person” who worked with Executive at any time during the six (6) months prior to termination of the Employment Period. A “protected person” is a person who at the time of termination of the Employment Period, or within six</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(6) months prior thereto, is or was employed by the Company or any of its Subsidiaries either in a position of Assistant Vice President or higher, or in a salaried position in any merchandising group. As to (I) each “protected person” to whom the foregoing applies, (II) each subcategory of “protected person,” as defined above, (III) each limitation on (A) employment or other engagement, (B) solicitation and (C) unsolicited acceptance of services, of each “protected person” and (IV) each month of the period during which the provisions of this subsection (a) apply to each of the foregoing, the provisions set forth in this subsection (a) shall be deemed to be separate and independent agreements. In the event of unenforceability of any one or more such agreement(s), such unenforceable agreement(s) shall be deemed automatically reformed in order to allow for the greatest degree of enforceability authorized by law or, if no such reformation is possible, deleted from the provisions hereof entirely, and such reformation or deletion shall not affect the enforceability of any other provision of this subsection (a) or any other term of this Agreement.</w:t>
      </w:r>
    </w:p>
    <w:p>
      <w:pPr>
        <w:spacing w:after="0" w:line="76" w:lineRule="exact"/>
        <w:rPr>
          <w:rFonts w:ascii="Arial" w:cs="Arial" w:eastAsia="Arial" w:hAnsi="Arial"/>
          <w:sz w:val="16"/>
          <w:szCs w:val="16"/>
          <w:color w:val="auto"/>
        </w:rPr>
      </w:pPr>
    </w:p>
    <w:p>
      <w:pPr>
        <w:ind w:right="40" w:firstLine="464"/>
        <w:spacing w:after="0" w:line="273" w:lineRule="auto"/>
        <w:tabs>
          <w:tab w:leader="none" w:pos="71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During the course of his employment, Executive will have learned vital trade secrets of the Company and its Subsidiaries and will have access to confidential and proprietary information and business plans of the Company and its Subsidiaries. Therefore, during the Employment Period and for a period of twenty-four (24) months thereafter (the “Noncompetition Period”), except as the Board or a committee thereof shall have approved, Executive will not, directly or indirectly, be a shareholder, member, partner, joint venturer or investor (disregarding in this connection passive ownership for investment purposes of common stock representing one percent (1%) or less of the voting power or value of any publicly traded corporation) in, serve as a director or manager of, be engaged in any employment, consulting, or fees-for-services relationship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0" w:name="page101"/>
    <w:bookmarkEnd w:id="100"/>
    <w:p>
      <w:pPr>
        <w:ind w:right="2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with, or advise with respect to the organization or conduct of, or any investment in, any “competitive business” as hereinafter defined or any Person that engages in any “competitive business” as hereinafter defined, nor shall Executive undertake any planning to engage in any such activities. The term “competitive business” (i) shall mean any business (however organized or conducted, including, without limitation, an on-line, “ecommerce” or other internet-based business) that competes with a business in which the Company or any of its Subsidiaries was engaged, or in which the Company or any Subsidiary was planning to engage, at any time during the 12-month period immediately preceding the date on which the Employment Period ends, and</w:t>
      </w:r>
    </w:p>
    <w:p>
      <w:pPr>
        <w:spacing w:after="0" w:line="2" w:lineRule="exact"/>
        <w:rPr>
          <w:sz w:val="20"/>
          <w:szCs w:val="20"/>
          <w:color w:val="auto"/>
        </w:rPr>
      </w:pPr>
    </w:p>
    <w:p>
      <w:pPr>
        <w:ind w:right="20" w:firstLine="8"/>
        <w:spacing w:after="0" w:line="286" w:lineRule="auto"/>
        <w:tabs>
          <w:tab w:leader="none" w:pos="2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shall conclusively be presumed to include, but shall not be limited to, (A) any business designated as a competitive business in the Committee Resolution, including, without limitation, an on-line, “ecommerce” or other internet-based business of any such business, and (B) any other off-price, promotional, or warehouse-club-type retail business, however organized or conducted (including, without limitation, an on-line, “ecommerce” or other internet-based business), that sells apparel, footwear, home fashions, home furnishings, jewelry, accessories, or any other category of merchandise sold by the Company or any of its Subsidiaries at the termination of the Employment Period. For purposes of this subsection (b), a “Person” means an individual, a corporation, a limited liability company, an association, a partnership, an estate, a trust and any other entity or organization, other than the Company or its Subsidiaries, and reference to any Person (the “first Person”) shall be deemed to include any other Person that controls, is controlled by or is under common control with the first Person. If, at any time, pursuant to action of any court, administrative, arbitral or governmental body or other tribunal, the operation of any part of this subsection shall be determined to be unlawful or otherwise unenforceable, then the coverage of this subsection shall be deemed to be reformed and restricted as to substantive reach, duration, geographic scope or otherwise, as the case may be, to the extent, and only to the extent, necessary to make this paragraph lawful and enforceable to the greatest extent possible in the particular jurisdiction in which such determination is made.</w:t>
      </w:r>
    </w:p>
    <w:p>
      <w:pPr>
        <w:spacing w:after="0" w:line="58" w:lineRule="exact"/>
        <w:rPr>
          <w:rFonts w:ascii="Arial" w:cs="Arial" w:eastAsia="Arial" w:hAnsi="Arial"/>
          <w:sz w:val="16"/>
          <w:szCs w:val="16"/>
          <w:color w:val="auto"/>
        </w:rPr>
      </w:pPr>
    </w:p>
    <w:p>
      <w:pPr>
        <w:ind w:firstLine="464"/>
        <w:spacing w:after="0" w:line="268" w:lineRule="auto"/>
        <w:tabs>
          <w:tab w:leader="none" w:pos="701" w:val="left"/>
        </w:tabs>
        <w:numPr>
          <w:ilvl w:val="1"/>
          <w:numId w:val="41"/>
        </w:numPr>
        <w:rPr>
          <w:rFonts w:ascii="Arial" w:cs="Arial" w:eastAsia="Arial" w:hAnsi="Arial"/>
          <w:sz w:val="17"/>
          <w:szCs w:val="17"/>
          <w:color w:val="auto"/>
        </w:rPr>
      </w:pPr>
      <w:r>
        <w:rPr>
          <w:rFonts w:ascii="Arial" w:cs="Arial" w:eastAsia="Arial" w:hAnsi="Arial"/>
          <w:sz w:val="17"/>
          <w:szCs w:val="17"/>
          <w:color w:val="auto"/>
        </w:rPr>
        <w:t>Executive shall never use or disclose any confidential or proprietary information of the Company or its Subsidiaries other than as required by applicable law or during the Employment Period for the proper performance of Executive’s duties and responsibilities to the Company and its Subsidiaries. This restriction shall continue to apply after Executive’s employment terminates, regardless of the reason for such termination. All documents, records and files, in any media, relating to the business, present or otherwise, of the Company and its Subsidiaries and any copies (“Documents”), whether or not prepared by Executive, are the exclusive property of the Company and its Subsidiaries. Executive must diligently safeguard all Documents, and must surrender to the Company at such time or times as the Company may specify all Documents then in Executive’s possession or control. In addition, upon termination of employment for any reason other than the death of Executive, Executive shall immediately return all Documents, and shall execute a certificate representing and warranting that he has returned all such Documents in Executive’s possession or under his control. Executive cannot be held criminally or civilly liable under any federal or state law (including trade secret laws) for disclosing a trade secret or confidential information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he unlawfully accesses trade secrets or confidential information by unauthorized means. Nothing in this Agreement (i) limits, restricts or in any other way affects Executive’s communicating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1" w:name="page102"/>
    <w:bookmarkEnd w:id="10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governmental agency or entity, or communicating with any official or staff person of a governmental agency or entity, concerning matters relevant to the governmental agency or entity or (ii) requires Executive to notify the Company about such communication.</w:t>
      </w:r>
    </w:p>
    <w:p>
      <w:pPr>
        <w:spacing w:after="0" w:line="62" w:lineRule="exact"/>
        <w:rPr>
          <w:sz w:val="20"/>
          <w:szCs w:val="20"/>
          <w:color w:val="auto"/>
        </w:rPr>
      </w:pPr>
    </w:p>
    <w:p>
      <w:pPr>
        <w:ind w:right="120" w:firstLine="464"/>
        <w:spacing w:after="0" w:line="286" w:lineRule="auto"/>
        <w:tabs>
          <w:tab w:leader="none" w:pos="711"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during the Employment Period or at any time following termination of the Employment Period, regardless of the reason for such termination, Executive breaches any provision of this Section 8, the Company’s obligation, if any, to pay benefits under Section 5 hereof shall forthwith cease and Executive shall immediately forfeit and disgorge to the Company, with interest at the prime rate in effect at Bank of America, or its successor, all of the following: (i) any benefits theretofore paid to Executive under Section 5; (ii) any unexercised stock options and stock appreciation rights held by Executive;</w:t>
      </w:r>
    </w:p>
    <w:p>
      <w:pPr>
        <w:spacing w:after="0" w:line="1" w:lineRule="exact"/>
        <w:rPr>
          <w:rFonts w:ascii="Arial" w:cs="Arial" w:eastAsia="Arial" w:hAnsi="Arial"/>
          <w:sz w:val="16"/>
          <w:szCs w:val="16"/>
          <w:color w:val="auto"/>
        </w:rPr>
      </w:pPr>
    </w:p>
    <w:p>
      <w:pPr>
        <w:ind w:firstLine="8"/>
        <w:spacing w:after="0" w:line="270" w:lineRule="auto"/>
        <w:tabs>
          <w:tab w:leader="none" w:pos="3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any other stock-based award vested in connection with or following termination of the Employment Period, or at any time subsequent to such breach, the value of such stock-based award at time of vesting plus any additional gain realized on a subsequent sale or disposition of the award or the underlying stock; and (iv) in respect of each stock option or stock appreciation right exercised by Executive within six (6) months prior to any such breach or subsequent thereto and prior to the forfeiture and disgorgement required by this Section 8(d), the excess over the exercise price (or base value, in the case of a stock appreciation right) of the greater of (A) the fair market value at time of exercise of the shares of stock subject to the award, or (B) the number of shares of stock subject to such award multiplied by the per-share proceeds of any sale of such stock by Executive.</w:t>
      </w:r>
    </w:p>
    <w:p>
      <w:pPr>
        <w:spacing w:after="0" w:line="70" w:lineRule="exact"/>
        <w:rPr>
          <w:rFonts w:ascii="Arial" w:cs="Arial" w:eastAsia="Arial" w:hAnsi="Arial"/>
          <w:sz w:val="17"/>
          <w:szCs w:val="17"/>
          <w:color w:val="auto"/>
        </w:rPr>
      </w:pPr>
    </w:p>
    <w:p>
      <w:pPr>
        <w:ind w:right="200" w:firstLine="464"/>
        <w:spacing w:after="0" w:line="264" w:lineRule="auto"/>
        <w:tabs>
          <w:tab w:leader="none" w:pos="7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shall notify the Company immediately upon securing employment or becoming self-employed at any time within the Noncompetition Period or the Nonsolicitation Period, and shall provide to the Company such details concerning such employment or self-employment as it may reasonably request in order to ensure compliance with the terms hereof.</w:t>
      </w:r>
    </w:p>
    <w:p>
      <w:pPr>
        <w:spacing w:after="0" w:line="73" w:lineRule="exact"/>
        <w:rPr>
          <w:rFonts w:ascii="Arial" w:cs="Arial" w:eastAsia="Arial" w:hAnsi="Arial"/>
          <w:sz w:val="18"/>
          <w:szCs w:val="18"/>
          <w:color w:val="auto"/>
        </w:rPr>
      </w:pPr>
    </w:p>
    <w:p>
      <w:pPr>
        <w:ind w:firstLine="464"/>
        <w:spacing w:after="0" w:line="268" w:lineRule="auto"/>
        <w:tabs>
          <w:tab w:leader="none" w:pos="68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Executive hereby advises the Company that Executive has carefully read and considered all the terms and conditions of this Agreement, including the restraints imposed on Executive under this Section 8, and agrees without reservation that each of the restraints contained herein is necessary for the reasonable and proper protection of the good will, confidential information and other legitimate business interests of the Company and its Subsidiaries, that each and every one of those restraints is reasonable in respect to subject matter, length of time and geographic area; and that these restraints will not prevent Executive from obtaining other suitable employment during the period in which Executive is bound by them. Executive agrees that Executive will never assert, or permit to be asserted on his behalf, in any forum, any position contrary to the foregoing. Executive also acknowledges and agrees that, were Executive to breach any of the provisions of this Section 8, the harm to the Company and its Subsidiaries would be irreparable. Executive therefore agrees that, in the event of such a breach or threatened breach, the Company shall, in addition to any other remedies available to it and notwithstanding Section 14, have the right to preliminary and permanent injunctive relief against any such breach or threatened breach without having to post bond, and will additionally be entitled to an award of attorney’s fees incurred in connection with enforcing its rights hereunder. Executive further agrees that, in the event that any provision of this Agreement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Finally, Executive agrees that the Noncompetition Period and the Nonsolicitation Period shall be tolled, and shall not run, during any period of time in which Executive is in violation of any of the terms of this Section 8, in order that the Company shall have the agreed-upon temporal protection recited herein.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02" w:name="page103"/>
    <w:bookmarkEnd w:id="102"/>
    <w:p>
      <w:pPr>
        <w:jc w:val="both"/>
        <w:ind w:left="-20" w:right="280" w:firstLine="464"/>
        <w:spacing w:after="0" w:line="279" w:lineRule="auto"/>
        <w:tabs>
          <w:tab w:leader="none" w:pos="691"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agrees that if any of the restrictions in this Section 8 is held to be void or ineffective for any reason but would be held to be valid and effective if part of its wording were deleted, that restriction shall apply with such deletions as may be necessary to make it valid and effective. Executive further agrees that the restrictions contained in each subsection of this Section 8 shall be construed as separate and individual restrictions and shall each be capable of being severed without prejudice to the other restrictions or to the remaining provisions.</w:t>
      </w:r>
    </w:p>
    <w:p>
      <w:pPr>
        <w:spacing w:after="0" w:line="63" w:lineRule="exact"/>
        <w:rPr>
          <w:rFonts w:ascii="Arial" w:cs="Arial" w:eastAsia="Arial" w:hAnsi="Arial"/>
          <w:sz w:val="17"/>
          <w:szCs w:val="17"/>
          <w:color w:val="auto"/>
        </w:rPr>
      </w:pPr>
    </w:p>
    <w:p>
      <w:pPr>
        <w:ind w:left="-20" w:right="480" w:firstLine="464"/>
        <w:spacing w:after="0" w:line="279" w:lineRule="auto"/>
        <w:tabs>
          <w:tab w:leader="none" w:pos="691"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Executive expressly consents to be bound by the provisions of this Agreement for the benefit of the Company and its Subsidiaries, and any successor or permitted assign to whose employ Executive may be transferred, without the necessity that this Agreement be re-signed at the time of such transfer. Executive further agrees that no changes in the nature or scope of his employment with the Company will operate to extinguish the terms and conditions set forth in Section 8, or otherwise require the parties to re-sign this Agreement.</w:t>
      </w:r>
    </w:p>
    <w:p>
      <w:pPr>
        <w:spacing w:after="0" w:line="63" w:lineRule="exact"/>
        <w:rPr>
          <w:rFonts w:ascii="Arial" w:cs="Arial" w:eastAsia="Arial" w:hAnsi="Arial"/>
          <w:sz w:val="17"/>
          <w:szCs w:val="17"/>
          <w:color w:val="auto"/>
        </w:rPr>
      </w:pPr>
    </w:p>
    <w:p>
      <w:pPr>
        <w:ind w:left="-20" w:right="320" w:firstLine="464"/>
        <w:spacing w:after="0" w:line="342" w:lineRule="auto"/>
        <w:tabs>
          <w:tab w:leader="none" w:pos="65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provisions of this Section 8 shall survive the termination of the Employment Period and the termination of this Agreement, regardless of the reason or reasons therefor, and shall be binding on Executive regardless of any breach by the Company of any other provision of this Agreement.</w:t>
      </w:r>
    </w:p>
    <w:p>
      <w:pPr>
        <w:spacing w:after="0" w:line="16" w:lineRule="exact"/>
        <w:rPr>
          <w:sz w:val="20"/>
          <w:szCs w:val="20"/>
          <w:color w:val="auto"/>
        </w:rPr>
      </w:pPr>
    </w:p>
    <w:p>
      <w:pPr>
        <w:ind w:left="-20" w:right="40" w:firstLine="464"/>
        <w:spacing w:after="0" w:line="264" w:lineRule="auto"/>
        <w:tabs>
          <w:tab w:leader="none" w:pos="7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ASSIGNMENT. The rights and obligations of the Company shall inure to the benefit of and shall be binding upon the successors and assigns of the Company. The rights and obligations of Executive are not assignable except only that stock issuable and awards and payments payable to him after his death shall be made to his estate except as otherwise provided by the applicable plan or award documentation, if any.</w:t>
      </w:r>
    </w:p>
    <w:p>
      <w:pPr>
        <w:spacing w:after="0" w:line="73" w:lineRule="exact"/>
        <w:rPr>
          <w:rFonts w:ascii="Arial" w:cs="Arial" w:eastAsia="Arial" w:hAnsi="Arial"/>
          <w:sz w:val="18"/>
          <w:szCs w:val="18"/>
          <w:color w:val="auto"/>
        </w:rPr>
      </w:pPr>
    </w:p>
    <w:p>
      <w:pPr>
        <w:ind w:left="-20" w:right="80" w:firstLine="464"/>
        <w:spacing w:after="0" w:line="297" w:lineRule="auto"/>
        <w:tabs>
          <w:tab w:leader="none" w:pos="8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NOTICES. All notices and other communications required hereunder shall be in writing and shall be given by mailing the same by certified or registered mail, return receipt requested, postage prepaid. If sent to the Company the same shall be mailed to the Company at 770 Cochituate Road, Framingham, Massachusetts 01701, Attention: Chairman of the Executive Compensation Committee, or other such address as the Company may hereafter designate by notice to Executive, with a copy to: TJX General Counsel at the same address; and if sent to Executive, the same shall be mailed to Executive at his address as set forth in the records of the Company or at such other address as Executive may hereafter designate by notice to the Company.</w:t>
      </w:r>
    </w:p>
    <w:p>
      <w:pPr>
        <w:spacing w:after="0" w:line="50" w:lineRule="exact"/>
        <w:rPr>
          <w:rFonts w:ascii="Arial" w:cs="Arial" w:eastAsia="Arial" w:hAnsi="Arial"/>
          <w:sz w:val="16"/>
          <w:szCs w:val="16"/>
          <w:color w:val="auto"/>
        </w:rPr>
      </w:pPr>
    </w:p>
    <w:p>
      <w:pPr>
        <w:ind w:left="-20" w:firstLine="464"/>
        <w:spacing w:after="0" w:line="255" w:lineRule="auto"/>
        <w:tabs>
          <w:tab w:leader="none" w:pos="8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WITHHOLDING; CERTAIN TAX MATTERS. Anything to the contrary notwithstanding, (a) all payments required to be made by the Company hereunder to Executive shall be subject to the withholding of such amounts, if any, relating to tax and other payroll deductions as the Company may reasonably determine it should withhold pursuant to any applicable law or regulation, and (b) to the extent any payment hereunder that is payable by reason of termination of Executive’s employment constitutes “nonqualified deferred compensation” subject to Section 409A and would otherwise have been required to be paid during the six (6)-month period following such termination of employment, it shall instead (unless at the relevant time Executive is no longer a Specified Employee) be delayed and paid, without interest, in a lump sum on the date that is six (6) months and one day after Executive’s termination (or, if earlier,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103" w:name="page104"/>
    <w:bookmarkEnd w:id="103"/>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Executive’s death). Executive acknowledges that he has reviewed the provisions of this Agreement with his advisors and agrees that except for the payments described in Section 5(a)(ii) of this Agreement, the Company shall not be liable to make Executive whole for any taxes that may become due or payable by reason of this Agreement or any payment, benefit or entitlement hereunder.</w:t>
      </w:r>
    </w:p>
    <w:p>
      <w:pPr>
        <w:spacing w:after="0" w:line="73" w:lineRule="exact"/>
        <w:rPr>
          <w:sz w:val="20"/>
          <w:szCs w:val="20"/>
          <w:color w:val="auto"/>
        </w:rPr>
      </w:pPr>
    </w:p>
    <w:p>
      <w:pPr>
        <w:ind w:right="40" w:firstLine="464"/>
        <w:spacing w:after="0" w:line="288" w:lineRule="auto"/>
        <w:tabs>
          <w:tab w:leader="none" w:pos="861"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RELEASE. Except for payment of any accrued and unpaid Base Salary and subject to such exceptions as the Company in its discretion may determine for the payment of other amounts accrued and vested prior to the Date of Termination, any obligation of the Company to provide compensation or benefits under Section 5, Section C.1 of Exhibit C of this Agreement, and (to the extent permitted by law) any vesting of unvested compensation or benefits in connection with or following Executive’s termination of employment, are expressly conditioned on Executive’s execution and delivery to the Company of an effective release of claims (in the form of release approved by the Committee on February 1, 2013) as to which all applicable rights of revocation, as determined by the Company, shall have expired prior to the sixtieth (60th) calendar day following the Date of Termination (any such timely and irrevocable release, the “Release of Claims”). Any compensation and benefits that are conditioned on the delivery of the Release of Claims under this Section 12 and that otherwise would have been payable prior to such sixtieth (60th) calendar day (determined, for the avoidance of doubt, after taking into account any other required delays in payment, including any six-month delay under Section 11) shall, if the Release of Claims is delivered, instead be paid on such sixtieth (60th) day, notwithstanding any provision of this Agreement regarding the time of such payments.</w:t>
      </w:r>
    </w:p>
    <w:p>
      <w:pPr>
        <w:spacing w:after="0" w:line="61" w:lineRule="exact"/>
        <w:rPr>
          <w:rFonts w:ascii="Arial" w:cs="Arial" w:eastAsia="Arial" w:hAnsi="Arial"/>
          <w:sz w:val="16"/>
          <w:szCs w:val="16"/>
          <w:color w:val="auto"/>
        </w:rPr>
      </w:pPr>
    </w:p>
    <w:p>
      <w:pPr>
        <w:ind w:right="20" w:firstLine="464"/>
        <w:spacing w:after="0" w:line="277" w:lineRule="auto"/>
        <w:tabs>
          <w:tab w:leader="none" w:pos="8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GOVERNING LAW. This Agreement and the rights and obligations of the parties hereunder shall be governed by the laws of the Commonwealth of Massachusetts.</w:t>
      </w:r>
    </w:p>
    <w:p>
      <w:pPr>
        <w:spacing w:after="0" w:line="62" w:lineRule="exact"/>
        <w:rPr>
          <w:rFonts w:ascii="Arial" w:cs="Arial" w:eastAsia="Arial" w:hAnsi="Arial"/>
          <w:sz w:val="18"/>
          <w:szCs w:val="18"/>
          <w:color w:val="auto"/>
        </w:rPr>
      </w:pPr>
    </w:p>
    <w:p>
      <w:pPr>
        <w:ind w:firstLine="464"/>
        <w:spacing w:after="0" w:line="288" w:lineRule="auto"/>
        <w:tabs>
          <w:tab w:leader="none" w:pos="8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ARBITRATION. In the event that there is any claim or dispute arising out of or relating to this Agreement, or the breach thereof, or otherwise arising out of or relating to Executive’s employment with, or compensation or benefits from, the Company or the termination thereof, including any claim for discrimination under any local, state, or federal employment discrimination law (including, but not limited to, M.G.L. c.151B), and the parties hereto shall not have resolved such claim or dispute within sixty (60) days after written notice from one party to the other setting forth the nature of such claim or dispute, then such claim or dispute shall (except as otherwise provided in Section 8(f)) be settled exclusively by binding arbitration in Boston, Massachusetts in accordance with the JAMS Employment Arbitration Rules &amp; Procedures applicable at the time of commencement of the arbitration by an arbitrator mutually agreed upon by the parties hereto or, in the absence of such agreement, by an arbitrator selected according to such Rules. Notwithstanding the foregoing, if either the Company or Executive shall request, such arbitration shall be conducted by a panel of three arbitrators, one selected by the Company, one selected by Executive and the third selected by agreement of the first two, or, in the absence of such agreement, in accordance with such Rules. Judgment upon any award rendered by such arbitrator(s) shall be entered in any court having jurisdiction thereof upon the application of either party.</w:t>
      </w:r>
    </w:p>
    <w:p>
      <w:pPr>
        <w:spacing w:after="0" w:line="61" w:lineRule="exact"/>
        <w:rPr>
          <w:rFonts w:ascii="Arial" w:cs="Arial" w:eastAsia="Arial" w:hAnsi="Arial"/>
          <w:sz w:val="16"/>
          <w:szCs w:val="16"/>
          <w:color w:val="auto"/>
        </w:rPr>
      </w:pPr>
    </w:p>
    <w:p>
      <w:pPr>
        <w:ind w:right="60" w:firstLine="464"/>
        <w:spacing w:after="0" w:line="308" w:lineRule="auto"/>
        <w:tabs>
          <w:tab w:leader="none" w:pos="85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TERMINATION OF EMPLOYMENT AND SEPARATION FROM SERVICE. All references in the Agreement to termination of employment, a termination of the Employment Period, or separation from service, and correlative terms, that result in the payment or vesting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04" w:name="page105"/>
    <w:bookmarkEnd w:id="10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amounts or benefits that constitute “nonqualified deferred compensation” within the meaning of Section 409A shall be construed to require a Separation from Service, and the Date of Termination in any such case shall be construed to mean the date of the Separation from Service.</w:t>
      </w:r>
    </w:p>
    <w:p>
      <w:pPr>
        <w:spacing w:after="0" w:line="38" w:lineRule="exact"/>
        <w:rPr>
          <w:sz w:val="20"/>
          <w:szCs w:val="20"/>
          <w:color w:val="auto"/>
        </w:rPr>
      </w:pPr>
    </w:p>
    <w:p>
      <w:pPr>
        <w:ind w:right="440" w:firstLine="464"/>
        <w:spacing w:after="0" w:line="277" w:lineRule="auto"/>
        <w:tabs>
          <w:tab w:leader="none" w:pos="8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WAIVER. The Board or a committee thereof may waive any obligation of Executive under or restriction imposed upon Executive by the Agreement, but no such waiver shall be construed as a waiver of any other provision of the Agreement.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274" w:right="379" w:bottom="1440" w:gutter="0" w:footer="0" w:header="0"/>
        </w:sectPr>
      </w:pPr>
    </w:p>
    <w:bookmarkStart w:id="105" w:name="page106"/>
    <w:bookmarkEnd w:id="105"/>
    <w:p>
      <w:pPr>
        <w:ind w:left="-180" w:firstLine="464"/>
        <w:spacing w:after="0" w:line="264" w:lineRule="auto"/>
        <w:tabs>
          <w:tab w:leader="none" w:pos="681"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This Agreement, including Exhibits (which are hereby incorporated by reference), represents the entire agreement between the parties relating to the terms of Executive’s employment by the Company and supersedes all prior written or oral agreements, including, without limitation, the Prior Agreement, between them.</w:t>
      </w:r>
    </w:p>
    <w:p>
      <w:pPr>
        <w:spacing w:after="0" w:line="200" w:lineRule="exact"/>
        <w:rPr>
          <w:sz w:val="20"/>
          <w:szCs w:val="20"/>
          <w:color w:val="auto"/>
        </w:rPr>
      </w:pPr>
    </w:p>
    <w:p>
      <w:pPr>
        <w:spacing w:after="0" w:line="2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Richard N. Sherr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-130810</wp:posOffset>
            </wp:positionV>
            <wp:extent cx="2718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  /s/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718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420" w:top="274" w:right="419" w:bottom="1440" w:gutter="0" w:footer="0" w:header="0"/>
        </w:sectPr>
      </w:pPr>
    </w:p>
    <w:bookmarkStart w:id="106" w:name="page107"/>
    <w:bookmarkEnd w:id="106"/>
    <w:p>
      <w:pPr>
        <w:jc w:val="center"/>
        <w:ind w:right="-5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692" w:hanging="236"/>
        <w:spacing w:after="0"/>
        <w:tabs>
          <w:tab w:leader="none" w:pos="6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 Salary” means, for any period, the amount described in Section 3(a).</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8" w:right="20" w:firstLine="464"/>
        <w:spacing w:after="0" w:line="257" w:lineRule="auto"/>
        <w:tabs>
          <w:tab w:leader="none" w:pos="6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“Cause” means dishonesty by Executive in the performance of his duties, conviction of a felony (other than a conviction arising solely under a statutory provision imposing criminal liability upon Executive on a </w:t>
      </w:r>
      <w:r>
        <w:rPr>
          <w:rFonts w:ascii="Arial" w:cs="Arial" w:eastAsia="Arial" w:hAnsi="Arial"/>
          <w:sz w:val="18"/>
          <w:szCs w:val="18"/>
          <w:i w:val="1"/>
          <w:iCs w:val="1"/>
          <w:color w:val="auto"/>
        </w:rPr>
        <w:t>per se</w:t>
      </w:r>
      <w:r>
        <w:rPr>
          <w:rFonts w:ascii="Arial" w:cs="Arial" w:eastAsia="Arial" w:hAnsi="Arial"/>
          <w:sz w:val="18"/>
          <w:szCs w:val="18"/>
          <w:color w:val="auto"/>
        </w:rPr>
        <w:t xml:space="preserve"> basis due to the Company offices held by Executive, so long as any act or omission of Executive with respect to such matter was not taken or omitted in contravention of any applicable policy or directive of the Board), gross neglect of duties (other than as a result of Disability), or conflict of interest which conflict shall continue for thirty (30) days after the Company gives written notice to Executive requesting the cessation of such conflict.</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respect of any termination during a Standstill Period, Executive shall not be deemed to have been terminated for Cause until the later to occur of</w:t>
      </w:r>
    </w:p>
    <w:p>
      <w:pPr>
        <w:spacing w:after="0" w:line="46" w:lineRule="exact"/>
        <w:rPr>
          <w:sz w:val="20"/>
          <w:szCs w:val="20"/>
          <w:color w:val="auto"/>
        </w:rPr>
      </w:pPr>
    </w:p>
    <w:p>
      <w:pPr>
        <w:ind w:left="-8" w:firstLine="8"/>
        <w:spacing w:after="0" w:line="285" w:lineRule="auto"/>
        <w:tabs>
          <w:tab w:leader="none" w:pos="20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30th day after notice of termination is given and (ii) the delivery to Executive of a copy of a resolution duly adopted by the affirmative vote of not less than a majority of the Board at a meeting called and held for that purpose (after reasonable notice to Executive), and at which Executive together with his counsel was given an opportunity to be heard, finding that Executive was guilty of conduct described in the definition of “Cause” above, and specifying the particulars thereof in detail;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suspend Executive and withhold payment of his Base Salary from the date that notice of termination is given until the earliest to occur of (A) termination of Executive for Cause effected in accordance with the foregoing procedures (in which case Executive shall not be entitled to his Base Salary for such period), (B) a determination by a majority of the Board that Executive was not guilty of the conduct described in the definition of “Cause” effected in accordance with the foregoing procedures (in which case Executive shall be reinstated and paid any of his previously unpaid Base Salary for such period), or (C) ninety (90) days after notice of termination is given (in which case Executive shall then be reinstated and paid any of his previously unpaid Base Salary for such period). If Base Salary is withheld and then paid pursuant to clause (B) or (C) of the preceding sentence, the amount thereof shall be accompanied by simple interest, calculated on a daily basis, at a rate per annum equal to the prime or base lending rate, as in effect at the time, of the Company’s principal commercial bank. The Company shall exercise its discretion under this paragraph consistent with the requirements of Section 409A or the requirements for exemption from Section 409A.</w:t>
      </w:r>
    </w:p>
    <w:p>
      <w:pPr>
        <w:spacing w:after="0" w:line="172" w:lineRule="exact"/>
        <w:rPr>
          <w:rFonts w:ascii="Arial" w:cs="Arial" w:eastAsia="Arial" w:hAnsi="Arial"/>
          <w:sz w:val="16"/>
          <w:szCs w:val="16"/>
          <w:color w:val="auto"/>
        </w:rPr>
      </w:pPr>
    </w:p>
    <w:p>
      <w:pPr>
        <w:ind w:left="-8" w:right="140" w:firstLine="464"/>
        <w:spacing w:after="0" w:line="277" w:lineRule="auto"/>
        <w:tabs>
          <w:tab w:leader="none" w:pos="703" w:val="left"/>
        </w:tabs>
        <w:numPr>
          <w:ilvl w:val="1"/>
          <w:numId w:val="50"/>
        </w:numPr>
        <w:rPr>
          <w:rFonts w:ascii="Arial" w:cs="Arial" w:eastAsia="Arial" w:hAnsi="Arial"/>
          <w:sz w:val="18"/>
          <w:szCs w:val="18"/>
          <w:color w:val="auto"/>
        </w:rPr>
      </w:pPr>
      <w:r>
        <w:rPr>
          <w:rFonts w:ascii="Arial" w:cs="Arial" w:eastAsia="Arial" w:hAnsi="Arial"/>
          <w:sz w:val="18"/>
          <w:szCs w:val="18"/>
          <w:color w:val="auto"/>
        </w:rPr>
        <w:t>“Change in Control Event” means a “change in control event” (as that term is defined in section 1.409A-3(i)(5) of the Treasury Regulations under Section 409A) with respect to the Company.</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50"/>
        </w:numPr>
        <w:rPr>
          <w:rFonts w:ascii="Arial" w:cs="Arial" w:eastAsia="Arial" w:hAnsi="Arial"/>
          <w:sz w:val="18"/>
          <w:szCs w:val="18"/>
          <w:color w:val="auto"/>
        </w:rPr>
      </w:pPr>
      <w:r>
        <w:rPr>
          <w:rFonts w:ascii="Arial" w:cs="Arial" w:eastAsia="Arial" w:hAnsi="Arial"/>
          <w:sz w:val="18"/>
          <w:szCs w:val="18"/>
          <w:color w:val="auto"/>
        </w:rPr>
        <w:t>“Change of Control” has the meaning given it in Exhibit B.</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72"/>
          </w:cols>
          <w:pgMar w:left="248" w:top="274" w:right="279" w:bottom="1440" w:gutter="0" w:footer="0" w:header="0"/>
        </w:sectPr>
      </w:pPr>
    </w:p>
    <w:bookmarkStart w:id="107" w:name="page108"/>
    <w:bookmarkEnd w:id="107"/>
    <w:p>
      <w:pPr>
        <w:ind w:right="200" w:firstLine="464"/>
        <w:spacing w:after="0" w:line="277" w:lineRule="auto"/>
        <w:tabs>
          <w:tab w:leader="none" w:pos="681"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Termination” means the termination of Executive’s employment during a Standstill Period (1) by the Company other than for Cause, or (2) by Executive for good reason, or (3) by reason of death or Disability.</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For purposes of this definition, termination for “good reason” shall mean the voluntary termination by Executive of his employment within one hundred and twenty (120) days after the occurrence without Executive’s express written consent of any one of the events described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gives notice to the Company within sixty (60) days of the first occurrence of any such event or condition, requesting that the pertinent event or condition described therein be remedied, and the situation remains unremedied upon expiration of the thirty (30)-day period commencing upon receipt by the Company of such notice:</w:t>
      </w:r>
    </w:p>
    <w:p>
      <w:pPr>
        <w:spacing w:after="0" w:line="94" w:lineRule="exact"/>
        <w:rPr>
          <w:sz w:val="20"/>
          <w:szCs w:val="20"/>
          <w:color w:val="auto"/>
        </w:rPr>
      </w:pPr>
    </w:p>
    <w:p>
      <w:pPr>
        <w:jc w:val="both"/>
        <w:ind w:left="1480" w:right="300" w:hanging="567"/>
        <w:spacing w:after="0" w:line="302" w:lineRule="auto"/>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assignment to him of any duties inconsistent with his positions, duties, responsibilities, and status with the Company immediately prior to the Change of Control, or any removal of Executive from or any failure to reelect him to such positions, except in connection with the termination of Executive’s employment by the Company for Cause or by Executive other than for good reason, or any other action by the Company which results in a diminishment in such position, authority, duties or responsibilities; or</w:t>
      </w:r>
    </w:p>
    <w:p>
      <w:pPr>
        <w:spacing w:after="0" w:line="60" w:lineRule="exact"/>
        <w:rPr>
          <w:sz w:val="20"/>
          <w:szCs w:val="20"/>
          <w:color w:val="auto"/>
        </w:rPr>
      </w:pPr>
    </w:p>
    <w:p>
      <w:pPr>
        <w:ind w:left="1480" w:hanging="567"/>
        <w:spacing w:after="0" w:line="259"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Executive’s rate of Base Salary for any fiscal year is less than 100% of the rate of Base Salary paid to Executive in the completed fiscal year immediately preceding the Change of Control or if Executive’s total cash compensation opportunities, including salary and incentives, for any fiscal year are less than 100% of the total cash compensation opportunities made available to Executive in the completed fiscal year immediately preceding the Change of Control; or</w:t>
      </w:r>
    </w:p>
    <w:p>
      <w:pPr>
        <w:spacing w:after="0" w:line="92" w:lineRule="exact"/>
        <w:rPr>
          <w:sz w:val="20"/>
          <w:szCs w:val="20"/>
          <w:color w:val="auto"/>
        </w:rPr>
      </w:pPr>
    </w:p>
    <w:p>
      <w:pPr>
        <w:ind w:left="1480" w:right="20" w:hanging="567"/>
        <w:spacing w:after="0" w:line="25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of the Company to continue in effect any benefits or perquisites, or any pension, life insurance, medical insurance or disability plan in which Executive was participating immediately prior to the Change of Control unless the Company provides Executive with a plan or plans that provide substantially similar benefits, or the taking of any action by the Company that would adversely affect Executive’s participation in or materially reduce Executive’s benefits under any of such plans or deprive Executive of any material fringe benefit enjoyed by Executive immediately prior to the Change of Control; or</w:t>
      </w:r>
    </w:p>
    <w:p>
      <w:pPr>
        <w:spacing w:after="0" w:line="94" w:lineRule="exact"/>
        <w:rPr>
          <w:sz w:val="20"/>
          <w:szCs w:val="20"/>
          <w:color w:val="auto"/>
        </w:rPr>
      </w:pPr>
    </w:p>
    <w:p>
      <w:pPr>
        <w:ind w:left="1480" w:right="420" w:hanging="559"/>
        <w:spacing w:after="0" w:line="277" w:lineRule="auto"/>
        <w:tabs>
          <w:tab w:leader="none" w:pos="14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any purported termination of Executive’s employment by the Company for Cause during a Standstill Period which is not effected in compliance with paragraph (c) above; or</w:t>
      </w:r>
    </w:p>
    <w:p>
      <w:pPr>
        <w:spacing w:after="0" w:line="76" w:lineRule="exact"/>
        <w:rPr>
          <w:sz w:val="20"/>
          <w:szCs w:val="20"/>
          <w:color w:val="auto"/>
        </w:rPr>
      </w:pPr>
    </w:p>
    <w:p>
      <w:pPr>
        <w:ind w:left="1480" w:right="500" w:hanging="567"/>
        <w:spacing w:after="0" w:line="277" w:lineRule="auto"/>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relocation of Executive of more than forty (40) miles from the place where Executive was located at the time of the Change of Control; or</w:t>
      </w:r>
    </w:p>
    <w:p>
      <w:pPr>
        <w:spacing w:after="0" w:line="7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any other breach by the Company of any provision of this Agreement; 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08" w:name="page109"/>
    <w:bookmarkEnd w:id="108"/>
    <w:p>
      <w:pPr>
        <w:ind w:left="1480" w:right="220" w:hanging="559"/>
        <w:spacing w:after="0" w:line="302" w:lineRule="auto"/>
        <w:tabs>
          <w:tab w:leader="none" w:pos="14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tab/>
        <w:t>the Company sells or otherwise disposes of, in one transaction or a series of related transactions, assets or earning power aggregating more than 30% of the assets (taken at asset value as stated on the books of the Company determined in accordance with generally accepted accounting principles consistently applied) or earning power of the Company (on an individual basis) or the Company and its Subsidiaries (on a consolidated basis) to any other Person or Persons (as those terms are defined in Exhibit B).</w:t>
      </w:r>
    </w:p>
    <w:p>
      <w:pPr>
        <w:spacing w:after="0" w:line="154"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“Committee” means the Executive Compensation Committee of the Board.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“Committee Resolution” means the designation of competitive businesses most recently adopted by the Committee at or prior to the date of</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execution of this Agreement for purposes of the restrictive covenants applicable to Executive, whether or not such designation also applies to other employees of the Company generally.</w:t>
      </w:r>
    </w:p>
    <w:p>
      <w:pPr>
        <w:spacing w:after="0" w:line="183" w:lineRule="exact"/>
        <w:rPr>
          <w:rFonts w:ascii="Arial" w:cs="Arial" w:eastAsia="Arial" w:hAnsi="Arial"/>
          <w:sz w:val="17"/>
          <w:szCs w:val="17"/>
          <w:color w:val="auto"/>
        </w:rPr>
      </w:pPr>
    </w:p>
    <w:p>
      <w:pPr>
        <w:ind w:right="20" w:firstLine="464"/>
        <w:spacing w:after="0" w:line="255"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“Constructive Termination” means a termination of employment by Executive occurring within one hundred twenty (120) days of a requirement by the Company that Executive relocate, without his prior written consent, more than forty (40) miles from the current corporate headquarters of the Company, but only if (i) Executive shall have given to the Company notice of intent to terminate within sixty (60) days following notice to Executive of such required relocation and (ii) the Company shall have failed, within thirty (30) days thereafter, to withdraw its notice requiring Executive to relocate. For purposes of the preceding sentence, the one hundred twenty (120) day period shall commence upon the end of the thirty (30)-day cure period, if the Company fails to cure within such period.</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“Date of Termination” means the date on which Executive’s employment terminates.</w:t>
      </w:r>
    </w:p>
    <w:p>
      <w:pPr>
        <w:spacing w:after="0" w:line="225" w:lineRule="exact"/>
        <w:rPr>
          <w:rFonts w:ascii="Arial" w:cs="Arial" w:eastAsia="Arial" w:hAnsi="Arial"/>
          <w:sz w:val="18"/>
          <w:szCs w:val="18"/>
          <w:color w:val="auto"/>
        </w:rPr>
      </w:pPr>
    </w:p>
    <w:p>
      <w:pPr>
        <w:jc w:val="both"/>
        <w:ind w:firstLine="464"/>
        <w:spacing w:after="0" w:line="264" w:lineRule="auto"/>
        <w:tabs>
          <w:tab w:leader="none" w:pos="6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“Disabled”/“Disability” means a medically determinable physical or mental impairment that (i) can be expected either to result in death or to last for a continuous period of not less than six months and (ii) causes Executive to be unable to perform the duties of his position of employment or any substantially similar position of employment to the reasonable satisfaction of the Committee.</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“End Date” has the meaning set forth in Section 1 of the Agreement.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“ESP” means the Company’s Executive Savings Plan,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“LRPIP”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109" w:name="page110"/>
    <w:bookmarkEnd w:id="109"/>
    <w:p>
      <w:pPr>
        <w:ind w:right="20" w:firstLine="464"/>
        <w:spacing w:after="0" w:line="276" w:lineRule="auto"/>
        <w:tabs>
          <w:tab w:leader="none" w:pos="681" w:val="left"/>
        </w:tabs>
        <w:numPr>
          <w:ilvl w:val="0"/>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from Service” shall mean a “separation from service” (as that term is defined at Section 1.409A-1(h) of the Treasury Regulations under Section 409A) from the Company and from all other corporations and trades or businesses, if any, that would be treated as a single “service recipient” with the Company under Section 1.409A-1(h)(3) of such Treasury Regulations. The Committee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part of the Agreement.</w:t>
      </w:r>
    </w:p>
    <w:p>
      <w:pPr>
        <w:spacing w:after="0" w:line="172" w:lineRule="exact"/>
        <w:rPr>
          <w:rFonts w:ascii="Arial" w:cs="Arial" w:eastAsia="Arial" w:hAnsi="Arial"/>
          <w:sz w:val="17"/>
          <w:szCs w:val="17"/>
          <w:color w:val="auto"/>
        </w:rPr>
      </w:pPr>
    </w:p>
    <w:p>
      <w:pPr>
        <w:ind w:left="700" w:hanging="23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“Specified Employee” shall mean an individual determined by the Committee or its delegate to be a specified employee as defined in subsection (a)</w:t>
      </w:r>
    </w:p>
    <w:p>
      <w:pPr>
        <w:spacing w:after="0" w:line="46"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(2)(B)(i) of Section 409A. The Committee may, but need not, elect in writing, subject to the applicable limitations under Section 409A, any of the special elective rules prescribed in Section 1.409A-1(i) of the Treasury Regulations for purposes of determining “specified employee” status. Any such written election shall be deemed part of the Agreement.</w:t>
      </w:r>
    </w:p>
    <w:p>
      <w:pPr>
        <w:spacing w:after="0" w:line="190" w:lineRule="exact"/>
        <w:rPr>
          <w:rFonts w:ascii="Arial" w:cs="Arial" w:eastAsia="Arial" w:hAnsi="Arial"/>
          <w:sz w:val="16"/>
          <w:szCs w:val="16"/>
          <w:color w:val="auto"/>
        </w:rPr>
      </w:pPr>
    </w:p>
    <w:p>
      <w:pPr>
        <w:ind w:right="60" w:firstLine="464"/>
        <w:spacing w:after="0" w:line="277" w:lineRule="auto"/>
        <w:tabs>
          <w:tab w:leader="none" w:pos="6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“Standstill Period” means the period commencing on the date of a Change of Control and continuing until the close of business on the last business day of the 24th calendar month following such Change of Control.</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Incentive Plan” has the meaning set forth in Section 3(b) of the Agreement.</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“Subsidiary” means any corporation in which the Company owns, directly or indirectly, 50% or more of the total combined voting power of all classes of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74"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Definition of “Change of Control”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shall mean the occurrence of any one of the following events:</w:t>
      </w:r>
    </w:p>
    <w:p>
      <w:pPr>
        <w:spacing w:after="0" w:line="117" w:lineRule="exact"/>
        <w:rPr>
          <w:sz w:val="20"/>
          <w:szCs w:val="20"/>
          <w:color w:val="auto"/>
        </w:rPr>
      </w:pPr>
    </w:p>
    <w:p>
      <w:pPr>
        <w:ind w:right="80" w:firstLine="464"/>
        <w:spacing w:after="0" w:line="297" w:lineRule="auto"/>
        <w:tabs>
          <w:tab w:leader="none" w:pos="701"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there occurs a change of control of the Company of a nature that would be required to be reported in response to Item 5.01 of the Current Report on Form 8-K (as amended in 2004) pursuant to Section 13 or 15(d) of the Securities Exchange Act of 1934 (the “Exchange Act”) or in any other filing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transaction shall be deemed to be a Change of Control (i) if the person or each member of a group of persons acquiring control is excluded from the definition of the term “Person” hereunder or (ii) unless the Committee shall otherwise determine prior to such occurrence, if Executive or an Executive Related Party is the Person or a member of a group constituting the Person acquiring control; or</w:t>
      </w:r>
    </w:p>
    <w:p>
      <w:pPr>
        <w:spacing w:after="0" w:line="50" w:lineRule="exact"/>
        <w:rPr>
          <w:rFonts w:ascii="Arial" w:cs="Arial" w:eastAsia="Arial" w:hAnsi="Arial"/>
          <w:sz w:val="16"/>
          <w:szCs w:val="16"/>
          <w:color w:val="auto"/>
        </w:rPr>
      </w:pPr>
    </w:p>
    <w:p>
      <w:pPr>
        <w:ind w:right="80" w:firstLine="464"/>
        <w:spacing w:after="0" w:line="255" w:lineRule="auto"/>
        <w:tabs>
          <w:tab w:leader="none" w:pos="7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Person other than the Company, any wholly-owned subsidiary of the Company, or any employee benefit plan of the Company or such a subsidiary becomes the owner of 20% or more of the Common Stock and thereafter individuals who were not directors of the Company prior to the date such Person became a 20% owner are elected as directors pursuant to an arrangement or understanding with, or upon the request of or nomination by, such Person and constitute a majority of the Board; provided, however, that unless the Committee shall otherwise determine prior to the acquisition of such 20% ownership, such acquisition of ownership shall not constitute a Change of Control if Executive or an Executive Related Party is the Person or a member of a group constituting the Person acquiring such ownership; or</w:t>
      </w:r>
    </w:p>
    <w:p>
      <w:pPr>
        <w:spacing w:after="0" w:line="85" w:lineRule="exact"/>
        <w:rPr>
          <w:rFonts w:ascii="Arial" w:cs="Arial" w:eastAsia="Arial" w:hAnsi="Arial"/>
          <w:sz w:val="18"/>
          <w:szCs w:val="18"/>
          <w:color w:val="auto"/>
        </w:rPr>
      </w:pPr>
    </w:p>
    <w:p>
      <w:pPr>
        <w:ind w:firstLine="464"/>
        <w:spacing w:after="0" w:line="286" w:lineRule="auto"/>
        <w:tabs>
          <w:tab w:leader="none" w:pos="701"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there occurs any solicitation or series of solicitations of proxies by or on behalf of any Person other than the Board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 majority of the Board; or</w:t>
      </w:r>
    </w:p>
    <w:p>
      <w:pPr>
        <w:spacing w:after="0" w:line="57" w:lineRule="exact"/>
        <w:rPr>
          <w:rFonts w:ascii="Arial" w:cs="Arial" w:eastAsia="Arial" w:hAnsi="Arial"/>
          <w:sz w:val="17"/>
          <w:szCs w:val="17"/>
          <w:color w:val="auto"/>
        </w:rPr>
      </w:pPr>
    </w:p>
    <w:p>
      <w:pPr>
        <w:ind w:right="180" w:firstLine="464"/>
        <w:spacing w:after="0" w:line="291" w:lineRule="auto"/>
        <w:tabs>
          <w:tab w:leader="none" w:pos="71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Company executes an agreement of acquisition, merger or consolidation which contemplates that (i) after the effective date provided for in the agreement, all or substantially all of the business and/or assets of the Company shall be owned, leased or otherwise controlled by another Person and</w:t>
      </w:r>
    </w:p>
    <w:p>
      <w:pPr>
        <w:ind w:firstLine="8"/>
        <w:spacing w:after="0" w:line="287" w:lineRule="auto"/>
        <w:tabs>
          <w:tab w:leader="none" w:pos="2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individuals who are directors of the Company when such agreement is executed shall not constitute a majority of the board of directors of the survivor or successor entity immediately after the effective date provided for in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unless otherwise determined by the Committee, no transaction shall constitute a Change of Control if, immediately after such transaction, Executive or any Executive Related Party shall own equity securities of any surviving corporation (“Surviving Entity”) having a fair value as a percentage of the fair value of the equity securities of such Surviving Entity greater than 125% of the fair value of the equity securities of the Company owned by Executive and any Executive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this paragraph (d), a Change of Control shall not be deemed to have taken place unless and until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11" w:name="page112"/>
    <w:bookmarkEnd w:id="111"/>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or consolidation contemplated by such agreement is consummated (but immediately prior to the consummation of such acquisition, merger, or consolidation, a Change of Control shall be deemed to have occurred on the date of execution of such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this Exhibit B the following terms have the meanings set forth below:</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shall expressly so determine in any future transaction or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Person shall be deemed to be the “owner” of any Common Stock:</w:t>
      </w:r>
    </w:p>
    <w:p>
      <w:pPr>
        <w:spacing w:after="0" w:line="117" w:lineRule="exact"/>
        <w:rPr>
          <w:sz w:val="20"/>
          <w:szCs w:val="20"/>
          <w:color w:val="auto"/>
        </w:rPr>
      </w:pPr>
    </w:p>
    <w:p>
      <w:pPr>
        <w:ind w:left="460" w:right="240" w:firstLine="443"/>
        <w:spacing w:after="0" w:line="277" w:lineRule="auto"/>
        <w:tabs>
          <w:tab w:leader="none" w:pos="11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as such term is defined in Rule 13d-3 promulgated by the Securities and Exchange Commission (the “Commission”) under the Exchange Act, as in effect on March 1, 1989; or</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for purposes of Section 16 of the Exchange Act and the rules of the Commission promulgated thereunder, as in effect on March 1, 1989; or</w:t>
      </w:r>
    </w:p>
    <w:p>
      <w:pPr>
        <w:spacing w:after="0" w:line="62" w:lineRule="exact"/>
        <w:rPr>
          <w:rFonts w:ascii="Arial" w:cs="Arial" w:eastAsia="Arial" w:hAnsi="Arial"/>
          <w:sz w:val="18"/>
          <w:szCs w:val="18"/>
          <w:color w:val="auto"/>
        </w:rPr>
      </w:pPr>
    </w:p>
    <w:p>
      <w:pPr>
        <w:ind w:left="460" w:firstLine="443"/>
        <w:spacing w:after="0" w:line="312" w:lineRule="auto"/>
        <w:tabs>
          <w:tab w:leader="none" w:pos="1213"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shall have the meaning used in Section 13(d) of the Exchange Act, as in effect on March 1, 1989.</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 “Executive Related Party” shall mean any affiliate or associate of Executive other than the Company or a majority-owned subsidiary of the Company. The terms “affiliate” and “associate” shall have the meanings ascribed thereto in Rule 12b-2 under the Exchange Act (the term “registrant” in the definition of “associate” meaning, in this case, the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74" w:right="3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of Control Benefits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Benefits Upon a Change of Control Termination</w:t>
      </w:r>
      <w:r>
        <w:rPr>
          <w:rFonts w:ascii="Arial" w:cs="Arial" w:eastAsia="Arial" w:hAnsi="Arial"/>
          <w:sz w:val="18"/>
          <w:szCs w:val="18"/>
          <w:color w:val="auto"/>
        </w:rPr>
        <w:t>. Executive shall be entitled to the payments and benefits described in this Section C.1 in the event of a Change of Control Termination.</w:t>
      </w:r>
    </w:p>
    <w:p>
      <w:pPr>
        <w:spacing w:after="0" w:line="170" w:lineRule="exact"/>
        <w:rPr>
          <w:sz w:val="20"/>
          <w:szCs w:val="20"/>
          <w:color w:val="auto"/>
        </w:rPr>
      </w:pPr>
    </w:p>
    <w:p>
      <w:pPr>
        <w:ind w:right="20" w:firstLine="464"/>
        <w:spacing w:after="0" w:line="285" w:lineRule="auto"/>
        <w:tabs>
          <w:tab w:leader="none" w:pos="7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shall pay to Executive (1) as hereinafter provided, an amount equal to the sum of (A) two times his Base Salary for one year at the rate in effect immediately prior to the Date of Termination or the Change of Control, whichever is higher, plus (B) two times the target award opportunity most recently granted to Executive prior to the Change of Control under MIP, which opportunity (if expressed as a percentage of Base Salary) shall be determined by reference to Executive’s Base Salary for one year at the rate in effect immediately prior to the Date of Termination or the Change of Control, whichever is higher; plus (2) within thirty (30) days following the Change of Control Termination, the accrued and unpaid portion of his Base Salary through the Date of Termination, subject to the following. If Executive is eligible for long-term disability compensation benefits under the Company’s long-term disability plan, the amount payable under (1)(A) above shall be reduced by the annual long-term disability compensation benefit for which Executive is eligible under such plan for the two-year period over which the amount payable under (1)(A) above is measured. To avoid duplication of benefits, if for any period Executive receives long-term disability compensation payments under a long-term disability plan of the Company as well as payments under the first sentence of this subsection (a), and if the sum of such payments for any period exceeds the payment for such period to which Executive is entitled under the first sentence of this subsection (a) (determined without regard to the second sentence of this subsection (a)), Executive shall promptly pay such excess in reimbursement to the Company. If the Change of Control Termination occurs in connection with a Change of Control that is also a Change in Control Event, the amount described under (1) above shall be paid in a lump sum on the date that is six (6) months and one day following the date of the Change of Control Termination (or, if earlier, the date of Executive’s death), unless Executive is not a Specified Employee on the relevant date, in which case the amount described under (1) above shall instead be paid thirty (30) days following the date of the Change of Control Termination. If the Change of Control Termination occurs more than two years after a Change in Control Event or in connection with a Change of Control that is not a Change in Control Event, the amount described under (1) above shall be paid, except as otherwise required by Section 11 of the Agreement, in the same manner as Base Salary continuation would have been paid in the case of a termination by the Company other than for Cause under Section 5(a).</w:t>
      </w:r>
    </w:p>
    <w:p>
      <w:pPr>
        <w:spacing w:after="0" w:line="172" w:lineRule="exact"/>
        <w:rPr>
          <w:rFonts w:ascii="Arial" w:cs="Arial" w:eastAsia="Arial" w:hAnsi="Arial"/>
          <w:sz w:val="16"/>
          <w:szCs w:val="16"/>
          <w:color w:val="auto"/>
        </w:rPr>
      </w:pPr>
    </w:p>
    <w:p>
      <w:pPr>
        <w:ind w:firstLine="464"/>
        <w:spacing w:after="0" w:line="276" w:lineRule="auto"/>
        <w:tabs>
          <w:tab w:leader="none" w:pos="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Until the second anniversary of the Date of Termination, the Company shall maintain in full force and effect for the continued benefit of Executive and his family all life insurance and medical insurance plans and programs in which Executive was entitled to participate immediately prior to the Change of Control; provided, that Executive’s continued participation is possible under the general terms and provisions of such plans and programs. In the event that Executive is ineligible to participate in such plans or programs, or if the Company in its discretion determines that continued participation on such basis could give rise to a tax or penalty, the Company shall provide for a comparable alternative arrangement (which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113" w:name="page114"/>
    <w:bookmarkEnd w:id="11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consist of a cash payment) in lieu of continued coverage. Notwithstanding the foregoing, the Company’s obligations hereunder with respect to life or medical coverage or benefits shall be deemed satisfied to the extent (but only to the extent) of any such coverage or benefits provided by another employer.</w:t>
      </w:r>
    </w:p>
    <w:p>
      <w:pPr>
        <w:spacing w:after="0" w:line="124" w:lineRule="exact"/>
        <w:rPr>
          <w:sz w:val="20"/>
          <w:szCs w:val="20"/>
          <w:color w:val="auto"/>
        </w:rPr>
      </w:pPr>
    </w:p>
    <w:p>
      <w:pPr>
        <w:ind w:right="60" w:firstLine="464"/>
        <w:spacing w:after="0" w:line="272" w:lineRule="auto"/>
        <w:tabs>
          <w:tab w:leader="none" w:pos="701"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On the date that is six (6) months and one day following the date of the Change of Control Termination (or, if earlier, the date of Executive’s death), the Company shall pay to Executive or his estate, in lieu of any automobile allowance, the present value of the automobile allowance (at the rate in effect prior to the Change of Control) it would have paid for the two years following the Change of Control Termination (or until the earlier date of Executive’s death, if Executive dies prior to the date of the payment under this Section C.1(c));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Change of Control is not a Change of Control Event, such amount shall instead be paid in the same manner as Executive’s automobile allowance would have been paid in the case of a termination by the Company other than for Cause under Section 5(a); </w:t>
      </w:r>
      <w:r>
        <w:rPr>
          <w:rFonts w:ascii="Arial" w:cs="Arial" w:eastAsia="Arial" w:hAnsi="Arial"/>
          <w:sz w:val="17"/>
          <w:szCs w:val="17"/>
          <w:i w:val="1"/>
          <w:iCs w:val="1"/>
          <w:color w:val="auto"/>
        </w:rPr>
        <w:t>and further provided</w:t>
      </w:r>
      <w:r>
        <w:rPr>
          <w:rFonts w:ascii="Arial" w:cs="Arial" w:eastAsia="Arial" w:hAnsi="Arial"/>
          <w:sz w:val="17"/>
          <w:szCs w:val="17"/>
          <w:color w:val="auto"/>
        </w:rPr>
        <w:t>, that if Executive is not a Specified Employee on the relevant date, any lump sum payable under this Section C.1(c) shall instead by paid within thirty (30) days following the Change of Control Termination.</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C.2. </w:t>
      </w:r>
      <w:r>
        <w:rPr>
          <w:rFonts w:ascii="Arial" w:cs="Arial" w:eastAsia="Arial" w:hAnsi="Arial"/>
          <w:sz w:val="16"/>
          <w:szCs w:val="16"/>
          <w:u w:val="single" w:color="auto"/>
          <w:color w:val="auto"/>
        </w:rPr>
        <w:t>Payment Adjustment</w:t>
      </w:r>
      <w:r>
        <w:rPr>
          <w:rFonts w:ascii="Arial" w:cs="Arial" w:eastAsia="Arial" w:hAnsi="Arial"/>
          <w:sz w:val="16"/>
          <w:szCs w:val="16"/>
          <w:color w:val="auto"/>
        </w:rPr>
        <w:t xml:space="preserve">. Payments under this Exhibit C shall be made without regard to whether the deductibility of such payments (or any other payments or benefits to or for the benefit of Executive) would be limited or precluded by Section 280G of the Code (“Section 280G”) and without regard to whether such payments (or any other payments or benefits) would subject Executive to the federal excise tax levied on certain “excess parachute payments” under Section 4999 of the Code (the “Excise Tax”); </w:t>
      </w:r>
      <w:r>
        <w:rPr>
          <w:rFonts w:ascii="Arial" w:cs="Arial" w:eastAsia="Arial" w:hAnsi="Arial"/>
          <w:sz w:val="16"/>
          <w:szCs w:val="16"/>
          <w:i w:val="1"/>
          <w:iCs w:val="1"/>
          <w:color w:val="auto"/>
        </w:rPr>
        <w:t>provided</w:t>
      </w:r>
      <w:r>
        <w:rPr>
          <w:rFonts w:ascii="Arial" w:cs="Arial" w:eastAsia="Arial" w:hAnsi="Arial"/>
          <w:sz w:val="16"/>
          <w:szCs w:val="16"/>
          <w:color w:val="auto"/>
        </w:rPr>
        <w:t>, that if the total of all payments to or for the benefit of Executive, after reduction for all federal taxes (including the excise tax under Section 4999 of the Code) with respect to such payments (“Executive’s total after-tax payments”), would be increased by the limitation or elimination of any payment under Section C.1 or Section C.3 of this Exhibit, or by an adjustment to the vesting of any equity-based or other awards that would otherwise vest on an accelerated basis in connection with the Change of Control, amounts payable under Section C.1 and Section C.3 of this Exhibit shall be reduced and the vesting of equity-based and other awards shall be adjusted to the extent, and only to the extent, necessary to maximize Executive’s total after-tax payments. Any reduction in payments or adjustment of vesting required by the preceding sentence shall be applied, first, against any benefits payable under Section C.1(a)(1) of this Exhibit, then against any benefits payable under Section C.3 of this Exhibit, then against the vesting of any performance-based restricted stock awards that would otherwise have vested in connection with the Change of Control, then against the vesting of any other equity-based awards, if any, that would otherwise have vested in connection with the Change of Control, and finally against all other payments, if any. The determination as to whether Executive’s payments and benefits include “excess parachute payments” and, if so, the amount and ordering of any reductions in payment required by the provisions of this Section C.2 shall be made at the Company’s expense by PricewaterhouseCoopers LLP or by such other certified public accounting firm as the Committee may designate prior to a Change of Control (the “accounting firm”). In the event of any underpayment or overpayment hereunder, as determined by the accounting firm, the amount of such underpayment or overpayment shall forthwith and in all events within thirty (30) days of such determination be paid to Executive or refunded to the Company, as the case may be, with interest at the applicable Federal rate provided for in Section 7872(f)(2) of the Code.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14" w:name="page115"/>
    <w:bookmarkEnd w:id="114"/>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C.3. </w:t>
      </w:r>
      <w:r>
        <w:rPr>
          <w:rFonts w:ascii="Arial" w:cs="Arial" w:eastAsia="Arial" w:hAnsi="Arial"/>
          <w:sz w:val="17"/>
          <w:szCs w:val="17"/>
          <w:u w:val="single" w:color="auto"/>
          <w:color w:val="auto"/>
        </w:rPr>
        <w:t>Settlement of MIP and LRPIP</w:t>
      </w:r>
      <w:r>
        <w:rPr>
          <w:rFonts w:ascii="Arial" w:cs="Arial" w:eastAsia="Arial" w:hAnsi="Arial"/>
          <w:sz w:val="17"/>
          <w:szCs w:val="17"/>
          <w:color w:val="auto"/>
        </w:rPr>
        <w:t>. Upon the occurrence of a Change of Control, Executive’s interest in MIP and LRPIP shall be settled automatically by the payment to Executive, in a lump sum within thirty (30) days following the Change of Control, of an amount equal to the sum of Executive’s target award opportunities with respect to each award granted to Executive under MIP and LRPIP for the fiscal year (in the case of MIP), and any performance cycle (in the case of LRPIP), that begins before and ends after the date of the Change of Control; provided, that for purposes of this Section C.3, unless Executive has been granted new award opportunities under MIP for such fiscal year and under LRPIP for the performance cycle commencing with such fiscal year, Executive’s most recent target award opportunities under MIP and LRPIP shall be deemed to have been granted to Executive under MIP and LRPIP with respect to such fiscal year and such performance cycle, respectively.</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Other Benefits</w:t>
      </w:r>
      <w:r>
        <w:rPr>
          <w:rFonts w:ascii="Arial" w:cs="Arial" w:eastAsia="Arial" w:hAnsi="Arial"/>
          <w:sz w:val="18"/>
          <w:szCs w:val="18"/>
          <w:color w:val="auto"/>
        </w:rPr>
        <w:t>. In addition to the amounts that may be payable under Sections C.1 or C.3 (but without duplication of any payments or benefits to which Executive may be entitled under any provision of this Agreement, and subject to Section C.2), upon and following a Change of Control Executive or his legal representative shall be entitled to: (i) his Stock Incentive Plan benefits, if any, under Section 3(b) (Existing Awards) and Section 3(c) (New Stock Awards); and (ii) any unpaid amounts to which Executive is entitled under MIP with respect to any fiscal year completed prior to the Change of Control, or under LRPIP with respect to any performance cycle completed prior to the Change of Control; and (iii) the payment of his vested benefits under the plans described in Section 3(f) (Qualified Plans; Other Deferred Compensation Plans), in each case, in accordance with and subject to the terms of the applicable plan, program or arrangement.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C.5. </w:t>
      </w:r>
      <w:r>
        <w:rPr>
          <w:rFonts w:ascii="Arial" w:cs="Arial" w:eastAsia="Arial" w:hAnsi="Arial"/>
          <w:sz w:val="18"/>
          <w:szCs w:val="18"/>
          <w:u w:val="single" w:color="auto"/>
          <w:color w:val="auto"/>
        </w:rPr>
        <w:t>Noncompetition; No Mitigation of Damages; etc</w:t>
      </w:r>
      <w:r>
        <w:rPr>
          <w:rFonts w:ascii="Arial" w:cs="Arial" w:eastAsia="Arial" w:hAnsi="Arial"/>
          <w:sz w:val="18"/>
          <w:szCs w:val="18"/>
          <w:color w:val="auto"/>
        </w:rPr>
        <w:t>.</w:t>
      </w:r>
    </w:p>
    <w:p>
      <w:pPr>
        <w:spacing w:after="0" w:line="225" w:lineRule="exact"/>
        <w:rPr>
          <w:sz w:val="20"/>
          <w:szCs w:val="20"/>
          <w:color w:val="auto"/>
        </w:rPr>
      </w:pPr>
    </w:p>
    <w:p>
      <w:pPr>
        <w:ind w:right="620" w:firstLine="464"/>
        <w:spacing w:after="0" w:line="308" w:lineRule="auto"/>
        <w:tabs>
          <w:tab w:leader="none" w:pos="70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Upon a Change of Control, any agreement by Executive not to engage in competition with the Company subsequent to the termination of his employment, whether contained in an employment agreement or other agreement, shall no longer be effective.</w:t>
      </w:r>
    </w:p>
    <w:p>
      <w:pPr>
        <w:spacing w:after="0" w:line="146"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Executive’s benefits under this Exhibit C shall be considered severance pay in consideration of his past service and his continued service from the date of this Agreement, and his entitlement thereto shall neither be governed by any duty to mitigate his damages by seeking further employment nor offset by any compensation which he may receive from future employment.</w:t>
      </w:r>
    </w:p>
    <w:p>
      <w:pPr>
        <w:spacing w:after="0" w:line="181" w:lineRule="exact"/>
        <w:rPr>
          <w:rFonts w:ascii="Arial" w:cs="Arial" w:eastAsia="Arial" w:hAnsi="Arial"/>
          <w:sz w:val="18"/>
          <w:szCs w:val="18"/>
          <w:color w:val="auto"/>
        </w:rPr>
      </w:pPr>
    </w:p>
    <w:p>
      <w:pPr>
        <w:ind w:firstLine="464"/>
        <w:spacing w:after="0" w:line="255" w:lineRule="auto"/>
        <w:tabs>
          <w:tab w:leader="none" w:pos="70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Company shall pay all legal fees and expenses, including but not limited to counsel fees, reasonably incurred by Executive in contesting or disputing that the termination of his employment during a Standstill Period is for Cause or other than for good reason (as defined in the definition of Change of Control Termination) or obtaining any right or benefit to which Executive is entitled under this Agreement following a Change of Control. Any amount payable under this Agreement that is not paid when due shall accrue interest at the prime rate as from time to time in effect at Bank of America, or its successor, until paid in full. All payments and reimbursements under this Section shall be made consistent with the applicable requirements of Section 409A.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115" w:name="page116"/>
    <w:bookmarkEnd w:id="115"/>
    <w:p>
      <w:pPr>
        <w:ind w:left="-120" w:firstLine="464"/>
        <w:spacing w:after="0" w:line="277" w:lineRule="auto"/>
        <w:tabs>
          <w:tab w:leader="none" w:pos="59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w:t>
      </w:r>
      <w:r>
        <w:rPr>
          <w:rFonts w:ascii="Arial" w:cs="Arial" w:eastAsia="Arial" w:hAnsi="Arial"/>
          <w:sz w:val="18"/>
          <w:szCs w:val="18"/>
          <w:color w:val="auto"/>
        </w:rPr>
        <w:t>. During a Standstill Period, Executive’s employment may be terminated by the Company only upon thirty (30) days’ written notice to Executive.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00"/>
          </w:cols>
          <w:pgMar w:left="360" w:top="27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FEBRUARY 2, 2018</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BETWEEN SCOTT GOLDENBERG AND THE TJX COMPANIES, INC.</w:t>
      </w:r>
    </w:p>
    <w:p>
      <w:pPr>
        <w:sectPr>
          <w:pgSz w:w="11900" w:h="16838" w:orient="portrait"/>
          <w:cols w:equalWidth="0" w:num="1">
            <w:col w:w="10220"/>
          </w:cols>
          <w:pgMar w:left="1440" w:top="121"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INDEX</w:t>
            </w:r>
          </w:p>
        </w:tc>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660" w:type="dxa"/>
            <w:vAlign w:val="bottom"/>
            <w:gridSpan w:val="3"/>
            <w:vMerge w:val="restart"/>
          </w:tcPr>
          <w:p>
            <w:pPr>
              <w:ind w:left="100"/>
              <w:spacing w:after="0"/>
              <w:rPr>
                <w:sz w:val="20"/>
                <w:szCs w:val="20"/>
                <w:color w:val="auto"/>
              </w:rPr>
            </w:pPr>
            <w:r>
              <w:rPr>
                <w:rFonts w:ascii="Arial" w:cs="Arial" w:eastAsia="Arial" w:hAnsi="Arial"/>
                <w:sz w:val="18"/>
                <w:szCs w:val="18"/>
                <w:color w:val="auto"/>
              </w:rPr>
              <w:t>EFFECTIVE DATE; TERM OF AGREEMENT.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0660" w:type="dxa"/>
            <w:vAlign w:val="bottom"/>
            <w:gridSpan w:val="3"/>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SCOPE OF EMPLOYMENT.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COMPENSATION AND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IN GENERAL.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BENEFITS UPON NON-VOLUNTARY TERMINATION OF EMPLOYMENT OR UPON EXPIRATION OF THE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OTHER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AGREEMENT NOT TO SOLICIT OR COMPETE.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ASSIGNMENT.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WITHHOLDING; CERTAIN TAX MATTERS.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RELEASE.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ARBITRATION.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AND SEPARATION FROM SERVICE.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WAIVER.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45"/>
        </w:trPr>
        <w:tc>
          <w:tcPr>
            <w:tcW w:w="11000" w:type="dxa"/>
            <w:vAlign w:val="bottom"/>
            <w:gridSpan w:val="4"/>
          </w:tcPr>
          <w:p>
            <w:pPr>
              <w:spacing w:after="0"/>
              <w:rPr>
                <w:sz w:val="20"/>
                <w:szCs w:val="20"/>
                <w:color w:val="auto"/>
              </w:rPr>
            </w:pPr>
            <w:r>
              <w:rPr>
                <w:rFonts w:ascii="Arial" w:cs="Arial" w:eastAsia="Arial" w:hAnsi="Arial"/>
                <w:sz w:val="18"/>
                <w:szCs w:val="18"/>
                <w:color w:val="auto"/>
              </w:rPr>
              <w:t>EXHIBIT A Certain 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1000" w:type="dxa"/>
            <w:vAlign w:val="bottom"/>
            <w:gridSpan w:val="4"/>
          </w:tcPr>
          <w:p>
            <w:pPr>
              <w:spacing w:after="0"/>
              <w:rPr>
                <w:sz w:val="20"/>
                <w:szCs w:val="20"/>
                <w:color w:val="auto"/>
              </w:rPr>
            </w:pPr>
            <w:r>
              <w:rPr>
                <w:rFonts w:ascii="Arial" w:cs="Arial" w:eastAsia="Arial" w:hAnsi="Arial"/>
                <w:sz w:val="18"/>
                <w:szCs w:val="18"/>
                <w:color w:val="auto"/>
              </w:rPr>
              <w:t>EXHIBIT B Definition of “Change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30"/>
        </w:trPr>
        <w:tc>
          <w:tcPr>
            <w:tcW w:w="11000" w:type="dxa"/>
            <w:vAlign w:val="bottom"/>
            <w:gridSpan w:val="4"/>
          </w:tcPr>
          <w:p>
            <w:pPr>
              <w:spacing w:after="0"/>
              <w:rPr>
                <w:sz w:val="20"/>
                <w:szCs w:val="20"/>
                <w:color w:val="auto"/>
              </w:rPr>
            </w:pPr>
            <w:r>
              <w:rPr>
                <w:rFonts w:ascii="Arial" w:cs="Arial" w:eastAsia="Arial" w:hAnsi="Arial"/>
                <w:sz w:val="18"/>
                <w:szCs w:val="18"/>
                <w:color w:val="auto"/>
              </w:rPr>
              <w:t>EXHIBIT C Change of Control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SCOTT GOLDENBERG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AGREEMENT dated February 2, 2018 between Scott Goldenberg (“Executive”) and The TJX Companies, Inc., a Delaware corporation whose principal office is in Framingham, Massachusetts 01701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and Executive intend that Executive shall be employed by the Company on the terms set forth below and, to that end, deem it desirable and appropriate to enter into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in consideration of the mutual agreements hereinafter contained, agree as follows:</w:t>
      </w:r>
    </w:p>
    <w:p>
      <w:pPr>
        <w:spacing w:after="0" w:line="117" w:lineRule="exact"/>
        <w:rPr>
          <w:sz w:val="20"/>
          <w:szCs w:val="20"/>
          <w:color w:val="auto"/>
        </w:rPr>
      </w:pPr>
    </w:p>
    <w:p>
      <w:pPr>
        <w:ind w:right="40" w:firstLine="464"/>
        <w:spacing w:after="0" w:line="271" w:lineRule="auto"/>
        <w:tabs>
          <w:tab w:leader="none" w:pos="771" w:val="left"/>
        </w:tabs>
        <w:numPr>
          <w:ilvl w:val="0"/>
          <w:numId w:val="65"/>
        </w:numPr>
        <w:rPr>
          <w:rFonts w:ascii="Arial" w:cs="Arial" w:eastAsia="Arial" w:hAnsi="Arial"/>
          <w:sz w:val="17"/>
          <w:szCs w:val="17"/>
          <w:color w:val="auto"/>
        </w:rPr>
      </w:pPr>
      <w:r>
        <w:rPr>
          <w:rFonts w:ascii="Arial" w:cs="Arial" w:eastAsia="Arial" w:hAnsi="Arial"/>
          <w:sz w:val="17"/>
          <w:szCs w:val="17"/>
          <w:color w:val="auto"/>
        </w:rPr>
        <w:t>EFFECTIVE DATE; TERM OF AGREEMENT. This Agreement shall become effective on February 4, 2018 (the “Effective Date”). Upon effectiveness of this Agreement on the Effective Date, the Employment Agreement between the Company and Executive dated January 30, 2015 (the “Prior Agreement”) shall terminate and be of no further force and effect. Prior to the Effective Date, the Prior Agreement shall remain in full force and effect, except that execution of this Agreement shall constitute, for purposes of the first sentence of Section 5(b) of the Prior Agreement, a mutual agreement by the parties to continue Executive’s employment beyond February 3, 2018. Subject to earlier termination as provided herein, Executive’s employment hereunder shall continue on the terms provided herein until January 30, 2021 (the “End Date”). The period of Executive’s employment by the Company from and after the Effective Date, whether under this Agreement or otherwise, is referred to in this Agreement as the “Employment Period.” This Agreement is intended to comply with the applicable requirements of Section 409A and shall be construed accordingly.</w:t>
      </w:r>
    </w:p>
    <w:p>
      <w:pPr>
        <w:spacing w:after="0" w:line="70" w:lineRule="exact"/>
        <w:rPr>
          <w:rFonts w:ascii="Arial" w:cs="Arial" w:eastAsia="Arial" w:hAnsi="Arial"/>
          <w:sz w:val="17"/>
          <w:szCs w:val="17"/>
          <w:color w:val="auto"/>
        </w:rPr>
      </w:pPr>
    </w:p>
    <w:p>
      <w:pPr>
        <w:ind w:left="780" w:hanging="31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SCOPE OF EMPLOYMENT.</w:t>
      </w:r>
    </w:p>
    <w:p>
      <w:pPr>
        <w:spacing w:after="0" w:line="117" w:lineRule="exact"/>
        <w:rPr>
          <w:sz w:val="20"/>
          <w:szCs w:val="20"/>
          <w:color w:val="auto"/>
        </w:rPr>
      </w:pPr>
    </w:p>
    <w:p>
      <w:pPr>
        <w:ind w:right="28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Nature of Services</w:t>
      </w:r>
      <w:r>
        <w:rPr>
          <w:rFonts w:ascii="Arial" w:cs="Arial" w:eastAsia="Arial" w:hAnsi="Arial"/>
          <w:sz w:val="18"/>
          <w:szCs w:val="18"/>
          <w:color w:val="auto"/>
        </w:rPr>
        <w:t>. Executive shall diligently perform such duties and assume such responsibilities as shall from time to time be specified by the Company.</w:t>
      </w:r>
    </w:p>
    <w:p>
      <w:pPr>
        <w:spacing w:after="0" w:line="62" w:lineRule="exact"/>
        <w:rPr>
          <w:rFonts w:ascii="Arial" w:cs="Arial" w:eastAsia="Arial" w:hAnsi="Arial"/>
          <w:sz w:val="18"/>
          <w:szCs w:val="18"/>
          <w:color w:val="auto"/>
        </w:rPr>
      </w:pPr>
    </w:p>
    <w:p>
      <w:pPr>
        <w:ind w:right="100" w:firstLine="464"/>
        <w:spacing w:after="0" w:line="297"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Extent of Services</w:t>
      </w:r>
      <w:r>
        <w:rPr>
          <w:rFonts w:ascii="Arial" w:cs="Arial" w:eastAsia="Arial" w:hAnsi="Arial"/>
          <w:sz w:val="16"/>
          <w:szCs w:val="16"/>
          <w:color w:val="auto"/>
        </w:rPr>
        <w:t>. Except for illnesses and vacation periods, Executive shall devote substantially all his working time and attention and his best efforts to the performance of his duties and responsibilities under this Agreement. However, Executive may (i) make any passive investments where he is not obligated or required to, and shall not in fact, devote any managerial efforts, (ii) subject to approval by the Board or a committee thereof (which approval shall not be unreasonably withheld or withdrawn), participate in charitable or community activities or in trade or professional organizations, (iii) subject to approval by the Board or a committee thereof (which approval shall not be unreasonably withheld or withdrawn), hold directorships in other companies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19" w:name="page120"/>
    <w:bookmarkEnd w:id="119"/>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enterprises, or (iv) engage in such other activities, not listed in (i), (ii) or (iii) above, as the Board or a committee thereof may approve; </w:t>
      </w:r>
      <w:r>
        <w:rPr>
          <w:rFonts w:ascii="Arial" w:cs="Arial" w:eastAsia="Arial" w:hAnsi="Arial"/>
          <w:sz w:val="18"/>
          <w:szCs w:val="18"/>
          <w:i w:val="1"/>
          <w:iCs w:val="1"/>
          <w:color w:val="auto"/>
        </w:rPr>
        <w:t>provided</w:t>
      </w:r>
      <w:r>
        <w:rPr>
          <w:rFonts w:ascii="Arial" w:cs="Arial" w:eastAsia="Arial" w:hAnsi="Arial"/>
          <w:sz w:val="18"/>
          <w:szCs w:val="18"/>
          <w:color w:val="auto"/>
        </w:rPr>
        <w:t>, that the Board or such committee shall have the right to limit such services as a director or such participation in charitable or community activities or in trade or professional organizations, or other activities approved pursuant to clause (iv), whenever the Board or such committee shall believe that the time spent on such activities infringes in any material respect upon the time required by Executive for the performance of his duties under this Agreement or is otherwise incompatible with those duties.</w:t>
      </w:r>
    </w:p>
    <w:p>
      <w:pPr>
        <w:spacing w:after="0" w:line="8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tab/>
        <w:t>COMPENSATION AND BENEFITS.</w:t>
      </w:r>
    </w:p>
    <w:p>
      <w:pPr>
        <w:spacing w:after="0" w:line="117" w:lineRule="exact"/>
        <w:rPr>
          <w:sz w:val="20"/>
          <w:szCs w:val="20"/>
          <w:color w:val="auto"/>
        </w:rPr>
      </w:pPr>
    </w:p>
    <w:p>
      <w:pPr>
        <w:ind w:right="60" w:firstLine="464"/>
        <w:spacing w:after="0" w:line="312" w:lineRule="auto"/>
        <w:tabs>
          <w:tab w:leader="none" w:pos="7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Executive shall be paid a base salary at the rate hereinafter specified, such Base Salary to be paid in the same manner and at the same times as the Company shall pay base salary to other executive employees. The rate at which Executive’s Base Salary shall be paid shall be $900,000 per year or such other rate (not less than $900,000 per year) as the Committee may determine after Committee review not less frequently than annually.</w:t>
      </w:r>
    </w:p>
    <w:p>
      <w:pPr>
        <w:spacing w:after="0" w:line="38"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Existing Awards</w:t>
      </w:r>
      <w:r>
        <w:rPr>
          <w:rFonts w:ascii="Arial" w:cs="Arial" w:eastAsia="Arial" w:hAnsi="Arial"/>
          <w:sz w:val="18"/>
          <w:szCs w:val="18"/>
          <w:color w:val="auto"/>
        </w:rPr>
        <w:t>. Reference is made to outstanding awards to Executive of stock options and of performance-based restricted stock made prior to the Effective Date under the Company’s Stock Incentive Plan (as it may be amended and including any successor, the “Stock Incentive Plan”), to the award opportunity granted to Executive for FYE 2018 under the Company’s Management Incentive Plan (“MIP”), and to award opportunities granted to Executive under the Company’s Long Range Performance Incentive Plan (“LRPIP”) for cycles beginning before the Effective Date. Each of such awards outstanding immediately prior to the Effective Date shall continue for such period or periods and in accordance with such terms as are set out in the applicable grant, award certificate, award agreement and other governing documents relating to such awards and shall not be affected by the terms of this Agreement except as otherwise expressly provided herein.</w:t>
      </w:r>
    </w:p>
    <w:p>
      <w:pPr>
        <w:spacing w:after="0" w:line="81" w:lineRule="exact"/>
        <w:rPr>
          <w:rFonts w:ascii="Arial" w:cs="Arial" w:eastAsia="Arial" w:hAnsi="Arial"/>
          <w:sz w:val="18"/>
          <w:szCs w:val="18"/>
          <w:color w:val="auto"/>
        </w:rPr>
      </w:pPr>
    </w:p>
    <w:p>
      <w:pPr>
        <w:ind w:firstLine="464"/>
        <w:spacing w:after="0" w:line="293" w:lineRule="auto"/>
        <w:tabs>
          <w:tab w:leader="none" w:pos="70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New Stock Awards</w:t>
      </w:r>
      <w:r>
        <w:rPr>
          <w:rFonts w:ascii="Arial" w:cs="Arial" w:eastAsia="Arial" w:hAnsi="Arial"/>
          <w:sz w:val="16"/>
          <w:szCs w:val="16"/>
          <w:color w:val="auto"/>
        </w:rPr>
        <w:t>. Consistent with the terms of the Stock Incentive Plan, during the Employment Period, Executive will be entitled to stock-based awards under the Stock Incentive Plan at levels commensurate with his position and responsibilities and subject to such terms as shall be established by the Committee. With respect to Stock Incentive Plan awards described in Section 3(b) (Existing Awards) and this Section 3(c) (New Stock Awards), Executive will be entitled to tender shares of Company common stock not then subject to restrictions under any Company plan, or to have shares of stock deliverable under the awards held back to satisfy tax withholding in connection with such awards, subject to such rules and limitations as the Company may prescribe but not in excess of the maximum amount of withholding consistent with treating the awards as subject to equity award accounting.</w:t>
      </w:r>
    </w:p>
    <w:p>
      <w:pPr>
        <w:spacing w:after="0" w:line="56" w:lineRule="exact"/>
        <w:rPr>
          <w:rFonts w:ascii="Arial" w:cs="Arial" w:eastAsia="Arial" w:hAnsi="Arial"/>
          <w:sz w:val="16"/>
          <w:szCs w:val="16"/>
          <w:color w:val="auto"/>
        </w:rPr>
      </w:pPr>
    </w:p>
    <w:p>
      <w:pPr>
        <w:ind w:right="300" w:firstLine="464"/>
        <w:spacing w:after="0" w:line="277"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LRPIP</w:t>
      </w:r>
      <w:r>
        <w:rPr>
          <w:rFonts w:ascii="Arial" w:cs="Arial" w:eastAsia="Arial" w:hAnsi="Arial"/>
          <w:sz w:val="18"/>
          <w:szCs w:val="18"/>
          <w:color w:val="auto"/>
        </w:rPr>
        <w:t>. During the Employment Period, Executive will be eligible to participate in annual grants under LRPIP at a level commensurate with his position and responsibilities and subject to such terms as shall be established by the Committee.</w:t>
      </w:r>
    </w:p>
    <w:p>
      <w:pPr>
        <w:spacing w:after="0" w:line="62" w:lineRule="exact"/>
        <w:rPr>
          <w:rFonts w:ascii="Arial" w:cs="Arial" w:eastAsia="Arial" w:hAnsi="Arial"/>
          <w:sz w:val="18"/>
          <w:szCs w:val="18"/>
          <w:color w:val="auto"/>
        </w:rPr>
      </w:pPr>
    </w:p>
    <w:p>
      <w:pPr>
        <w:ind w:right="580" w:firstLine="464"/>
        <w:spacing w:after="0" w:line="277"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MIP</w:t>
      </w:r>
      <w:r>
        <w:rPr>
          <w:rFonts w:ascii="Arial" w:cs="Arial" w:eastAsia="Arial" w:hAnsi="Arial"/>
          <w:sz w:val="18"/>
          <w:szCs w:val="18"/>
          <w:color w:val="auto"/>
        </w:rPr>
        <w:t>. During the Employment Period, Executive will be eligible to participate in annual awards under MIP at a level commensurate with his position and responsibilities and subject to such terms as shall be established by the Committee.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0" w:name="page121"/>
    <w:bookmarkEnd w:id="12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u w:val="single" w:color="auto"/>
          <w:color w:val="auto"/>
        </w:rPr>
        <w:t>Qualified Plans; Other Deferred Compensation Plans</w:t>
      </w:r>
      <w:r>
        <w:rPr>
          <w:rFonts w:ascii="Arial" w:cs="Arial" w:eastAsia="Arial" w:hAnsi="Arial"/>
          <w:sz w:val="18"/>
          <w:szCs w:val="18"/>
          <w:color w:val="auto"/>
        </w:rPr>
        <w:t>. Executive shall be entitled during the Employment Period to participate in the Company’s tax-qualified retirement and profit-sharing plans, and in the ESP, in each case in accordance with the terms of the applicable plan (including, for the avoidance of doubt and without limitation, the amendment and termination provisions thereof).</w:t>
      </w:r>
    </w:p>
    <w:p>
      <w:pPr>
        <w:spacing w:after="0" w:line="73" w:lineRule="exact"/>
        <w:rPr>
          <w:sz w:val="20"/>
          <w:szCs w:val="20"/>
          <w:color w:val="auto"/>
        </w:rPr>
      </w:pPr>
    </w:p>
    <w:p>
      <w:pPr>
        <w:ind w:right="200" w:firstLine="464"/>
        <w:spacing w:after="0" w:line="264" w:lineRule="auto"/>
        <w:tabs>
          <w:tab w:leader="none" w:pos="71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Policies and Fringe Benefits</w:t>
      </w:r>
      <w:r>
        <w:rPr>
          <w:rFonts w:ascii="Arial" w:cs="Arial" w:eastAsia="Arial" w:hAnsi="Arial"/>
          <w:sz w:val="18"/>
          <w:szCs w:val="18"/>
          <w:color w:val="auto"/>
        </w:rPr>
        <w:t>. Executive shall be subject to Company policies applicable to its executives generally and shall be entitled to receive all such fringe benefits as the Company shall from time to time make available to other executives generally (subject to the terms of any applicable fringe benefit plan).</w:t>
      </w:r>
    </w:p>
    <w:p>
      <w:pPr>
        <w:spacing w:after="0" w:line="73" w:lineRule="exact"/>
        <w:rPr>
          <w:rFonts w:ascii="Arial" w:cs="Arial" w:eastAsia="Arial" w:hAnsi="Arial"/>
          <w:sz w:val="18"/>
          <w:szCs w:val="18"/>
          <w:color w:val="auto"/>
        </w:rPr>
      </w:pPr>
    </w:p>
    <w:p>
      <w:pPr>
        <w:ind w:firstLine="464"/>
        <w:spacing w:after="0" w:line="279" w:lineRule="auto"/>
        <w:tabs>
          <w:tab w:leader="none" w:pos="71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Company is entitled to terminate Executive’s employment notwithstanding the fact that Executive may lose entitlement to benefits under the arrangements described above. Upon termination of his employment, Executive shall have no claim against the Company for loss arising out of ineligibility to exercise any stock options granted to him or otherwise in relation to any of the stock options or other stock-based awards granted to Executive, and the rights of Executive shall be determined solely by the rules of the relevant award document and plan.</w:t>
      </w:r>
    </w:p>
    <w:p>
      <w:pPr>
        <w:spacing w:after="0" w:line="6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tab/>
        <w:t>TERMINATION OF EMPLOYMENT; IN GENERAL.</w:t>
      </w:r>
    </w:p>
    <w:p>
      <w:pPr>
        <w:spacing w:after="0" w:line="117" w:lineRule="exact"/>
        <w:rPr>
          <w:sz w:val="20"/>
          <w:szCs w:val="20"/>
          <w:color w:val="auto"/>
        </w:rPr>
      </w:pPr>
    </w:p>
    <w:p>
      <w:pPr>
        <w:ind w:right="220" w:firstLine="464"/>
        <w:spacing w:after="0" w:line="277"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have the right to end Executive’s employment at any time and for any reason, with or without Cause. Executive shall provide written notice to the Company of his decision to retire or otherwise terminate employment with the Company.</w:t>
      </w:r>
    </w:p>
    <w:p>
      <w:pPr>
        <w:spacing w:after="0" w:line="62"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Executive’s employment shall terminate upon written notice by the Company to Executive (or, if earlier, to the extent consistent with the requirements of Section 409A, to the extent applicable, upon the expiration of the twenty-nine (29)-month period commencing upon Executive’s absence from work) if, by reason of Disability, Executive is unable to perform his duties for at least six continuous months. Any termination of employment pursuant to this Section 4(b) shall be treated for purposes of Section 5 and the definition of “Change of Control Termination” at subsection (f) of Exhibit A as a termination of employment by reason of Disability.</w:t>
      </w:r>
    </w:p>
    <w:p>
      <w:pPr>
        <w:spacing w:after="0" w:line="80"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Whenever his employment shall terminate, Executive shall resign (or, in the absence of an affirmative resignation, shall be deemed to have resigned) all offices or other positions he shall hold with the Company and any affiliates. For the avoidance of doubt, the Employment Period shall terminate upon termination of Executive’s employment for any reason.</w:t>
      </w:r>
    </w:p>
    <w:p>
      <w:pPr>
        <w:spacing w:after="0" w:line="7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tab/>
        <w:t>BENEFITS UPON NON-VOLUNTARY TERMINATION OF EMPLOYMENT OR UPON EXPIRATION OF THE AGREEMENT.</w:t>
      </w:r>
    </w:p>
    <w:p>
      <w:pPr>
        <w:spacing w:after="0" w:line="117" w:lineRule="exact"/>
        <w:rPr>
          <w:sz w:val="20"/>
          <w:szCs w:val="20"/>
          <w:color w:val="auto"/>
        </w:rPr>
      </w:pPr>
    </w:p>
    <w:p>
      <w:pPr>
        <w:ind w:right="420" w:firstLine="464"/>
        <w:spacing w:after="0" w:line="264" w:lineRule="auto"/>
        <w:tabs>
          <w:tab w:leader="none" w:pos="70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Certain Terminations Prior to the End Date</w:t>
      </w:r>
      <w:r>
        <w:rPr>
          <w:rFonts w:ascii="Arial" w:cs="Arial" w:eastAsia="Arial" w:hAnsi="Arial"/>
          <w:sz w:val="18"/>
          <w:szCs w:val="18"/>
          <w:color w:val="auto"/>
        </w:rPr>
        <w:t>. If the Employment Period shall have terminated prior to the End Date by reason of (I) death or Disability of Executive, (II) termination by the Company for any reason other than Cause or (III) a Constructive Termination, then all compensation and benefits for Executive shall be as follows:</w:t>
      </w:r>
    </w:p>
    <w:p>
      <w:pPr>
        <w:spacing w:after="0" w:line="73" w:lineRule="exact"/>
        <w:rPr>
          <w:rFonts w:ascii="Arial" w:cs="Arial" w:eastAsia="Arial" w:hAnsi="Arial"/>
          <w:sz w:val="18"/>
          <w:szCs w:val="18"/>
          <w:color w:val="auto"/>
        </w:rPr>
      </w:pPr>
    </w:p>
    <w:p>
      <w:pPr>
        <w:ind w:left="460" w:right="240" w:firstLine="443"/>
        <w:spacing w:after="0" w:line="277" w:lineRule="auto"/>
        <w:tabs>
          <w:tab w:leader="none" w:pos="11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period of twenty-four (24) months after the Date of Termination (the “termination period”), the Company will pay to Executive or his legal representative,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1" w:name="page122"/>
    <w:bookmarkEnd w:id="12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reduction for compensation earned from other employment or self-employment, continued Base Salary at the rate in effect at termination of employment in accordance with its regular payroll practices for executive employees of the Company (but not less frequently than monthly);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Executive is a Specified Employee at the relevant time, the Base Salary that would otherwise be payable during the six-month period beginning on the Date of Termination shall instead be accumulated and paid, without interest, in a lump sum on the date that is six (6) months and one day after such date (or, if earlier, the date of Executive’s death); </w:t>
      </w:r>
      <w:r>
        <w:rPr>
          <w:rFonts w:ascii="Arial" w:cs="Arial" w:eastAsia="Arial" w:hAnsi="Arial"/>
          <w:sz w:val="18"/>
          <w:szCs w:val="18"/>
          <w:i w:val="1"/>
          <w:iCs w:val="1"/>
          <w:color w:val="auto"/>
        </w:rPr>
        <w:t>and further provided,</w:t>
      </w:r>
      <w:r>
        <w:rPr>
          <w:rFonts w:ascii="Arial" w:cs="Arial" w:eastAsia="Arial" w:hAnsi="Arial"/>
          <w:sz w:val="18"/>
          <w:szCs w:val="18"/>
          <w:color w:val="auto"/>
        </w:rPr>
        <w:t xml:space="preserve"> that if Executive is eligible for long-term disability compensation benefits under the Company’s long-term disability plan, the amount payable under this clause shall be paid at a rate equal to the excess of (a) the rate of Base Salary in effect at termination of employment, over (b) the long-term disability compensation benefits for which Executive is approved under such plan.</w:t>
      </w:r>
    </w:p>
    <w:p>
      <w:pPr>
        <w:spacing w:after="0" w:line="84" w:lineRule="exact"/>
        <w:rPr>
          <w:sz w:val="20"/>
          <w:szCs w:val="20"/>
          <w:color w:val="auto"/>
        </w:rPr>
      </w:pPr>
    </w:p>
    <w:p>
      <w:pPr>
        <w:ind w:right="40" w:firstLine="443"/>
        <w:spacing w:after="0" w:line="255" w:lineRule="auto"/>
        <w:tabs>
          <w:tab w:leader="none" w:pos="7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Executive elects so-called “COBRA” continuation of group health plan coverage provided pursuant to Part 6 of Subtitle B of Title I of the Employee Retirement Income Security Act of 1974, as amended, there shall be added to the amounts otherwise payable under Section 5(a)(i) above, during the continuation of such coverage but not beyond the end of the termination period, an amount (grossed up for federal and state income taxes) equal to the participant cost of such coverage, except to the extent that Executive shall obtain no less favorable coverage from another employer or from self-employment in which case such additional payments shall cease immediately. For the avoidance of doubt, Executive shall not be eligible for continuation of group health plan coverage from and after the Date of Termination except for any “COBRA” continuation as described in this Section 5(a)(ii).</w:t>
      </w:r>
    </w:p>
    <w:p>
      <w:pPr>
        <w:spacing w:after="0" w:line="81" w:lineRule="exact"/>
        <w:rPr>
          <w:rFonts w:ascii="Arial" w:cs="Arial" w:eastAsia="Arial" w:hAnsi="Arial"/>
          <w:sz w:val="18"/>
          <w:szCs w:val="18"/>
          <w:color w:val="auto"/>
        </w:rPr>
      </w:pPr>
    </w:p>
    <w:p>
      <w:pPr>
        <w:ind w:right="80" w:firstLine="443"/>
        <w:spacing w:after="0" w:line="279" w:lineRule="auto"/>
        <w:tabs>
          <w:tab w:leader="none" w:pos="753"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Company will pay to Executive or his legal representative, without offset for compensation earned from other employment or self-employment, (A) any unpaid amounts to which Executive is entitled under MIP for the fiscal year of the Company ended immediately prior to Executive’s termination of employment,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any unpaid amounts owing with respect to LRPIP cycles in which Executive participated and which were completed prior to termination. These amounts will be paid at the same time as other awards for such prior year or cycle are paid.</w:t>
      </w:r>
    </w:p>
    <w:p>
      <w:pPr>
        <w:spacing w:after="0" w:line="63" w:lineRule="exact"/>
        <w:rPr>
          <w:rFonts w:ascii="Arial" w:cs="Arial" w:eastAsia="Arial" w:hAnsi="Arial"/>
          <w:sz w:val="17"/>
          <w:szCs w:val="17"/>
          <w:color w:val="auto"/>
        </w:rPr>
      </w:pPr>
    </w:p>
    <w:p>
      <w:pPr>
        <w:ind w:right="20" w:firstLine="443"/>
        <w:spacing w:after="0" w:line="285" w:lineRule="auto"/>
        <w:tabs>
          <w:tab w:leader="none" w:pos="743"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any MIP performance period in which Executive participates that begins before and ends after the Date of Termination, and at the same time as other MIP awards for such performance period are paid, but in no event later than by the 15th day of the third month following the close of the fiscal year to which such MIP award relates, the Company will pay to Executive or his legal representative, without offset for compensation earned from other employment or self-employment, an amount equal to (A) the MIP award, if any, that Executive would have earned and been paid had he continued in office through the end of such fiscal year, determined without regard to any adjustment for individual performance factors, multiplied by</w:t>
      </w:r>
    </w:p>
    <w:p>
      <w:pPr>
        <w:spacing w:after="0" w:line="2" w:lineRule="exact"/>
        <w:rPr>
          <w:rFonts w:ascii="Arial" w:cs="Arial" w:eastAsia="Arial" w:hAnsi="Arial"/>
          <w:sz w:val="16"/>
          <w:szCs w:val="16"/>
          <w:color w:val="auto"/>
        </w:rPr>
      </w:pPr>
    </w:p>
    <w:p>
      <w:pPr>
        <w:ind w:firstLine="4"/>
        <w:spacing w:after="0" w:line="254" w:lineRule="auto"/>
        <w:tabs>
          <w:tab w:leader="none" w:pos="2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fraction, the numerator of which is three hundred and sixty-five (365) plus the number of days during such fiscal year prior to termination of employment, and the denominator of which is seven hundred and thirty (730);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Employment Period shall have terminated by reason of Executive’s death or Disability, this clause (iv) shall not apply and Executive instead shall be entitled to the MIP benefit described in Section 5(a)(viii) below.</w:t>
      </w:r>
    </w:p>
    <w:p>
      <w:pPr>
        <w:spacing w:after="0" w:line="12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700" w:top="274" w:right="339" w:bottom="1440" w:gutter="0" w:footer="0" w:header="0"/>
        </w:sectPr>
      </w:pPr>
    </w:p>
    <w:bookmarkStart w:id="122" w:name="page123"/>
    <w:bookmarkEnd w:id="122"/>
    <w:p>
      <w:pPr>
        <w:ind w:left="440" w:firstLine="443"/>
        <w:spacing w:after="0" w:line="255" w:lineRule="auto"/>
        <w:tabs>
          <w:tab w:leader="none" w:pos="1133"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LRPIP cycle in which Executive participates that begins before and ends after the Date of Termination, and at the same time as other LRPIP awards for such cycle are paid, but in no event later than by the 15th day of the third month following the close of the last of the Company’s fiscal years in such cycle, the Company will pay to Executive or his legal representative, without offset for compensation earned from other employment or self-employment, an amount equal to (A) the LRPIP award, if any, that Executive would have earned and been paid had he continued in office through the end of such cycle, determined without regard to any adjustment for individual performance factors, multiplied by (B) a fraction, the numerator of which is the number of full months in such cycle completed prior to termination of employment and the denominator of which is the number of full months in such cycle.</w:t>
      </w:r>
    </w:p>
    <w:p>
      <w:pPr>
        <w:spacing w:after="0" w:line="81" w:lineRule="exact"/>
        <w:rPr>
          <w:rFonts w:ascii="Arial" w:cs="Arial" w:eastAsia="Arial" w:hAnsi="Arial"/>
          <w:sz w:val="18"/>
          <w:szCs w:val="18"/>
          <w:color w:val="auto"/>
        </w:rPr>
      </w:pPr>
    </w:p>
    <w:p>
      <w:pPr>
        <w:ind w:left="440" w:right="20" w:firstLine="443"/>
        <w:spacing w:after="0" w:line="312" w:lineRule="auto"/>
        <w:tabs>
          <w:tab w:leader="none" w:pos="1183"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addition, Executive or his legal representative shall be entitled to the Stock Incentive Plan benefits described in Section 3(b) (Existing Awards) and Section 3(c) (New Stock Awards), and to payment of his vested benefits, if any, under the plans described in Section 3(f) (Qualified Plans; Other Deferred Compensation Plans), in each case, in accordance with and subject to the terms of the applicable plan, program or arrangement.</w:t>
      </w:r>
    </w:p>
    <w:p>
      <w:pPr>
        <w:spacing w:after="0" w:line="38" w:lineRule="exact"/>
        <w:rPr>
          <w:rFonts w:ascii="Arial" w:cs="Arial" w:eastAsia="Arial" w:hAnsi="Arial"/>
          <w:sz w:val="16"/>
          <w:szCs w:val="16"/>
          <w:color w:val="auto"/>
        </w:rPr>
      </w:pPr>
    </w:p>
    <w:p>
      <w:pPr>
        <w:ind w:left="440" w:firstLine="443"/>
        <w:spacing w:after="0" w:line="276" w:lineRule="auto"/>
        <w:tabs>
          <w:tab w:leader="none" w:pos="1233"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termination occurs by reason of Disability, Executive shall also be entitled to such compensation, if any, as is payable pursuant to the Company’s long-term disability plan. To avoid duplication of benefits, if for any period Executive receives long-term disability compensation payments under a long-term disability plan of the Company as well as payments under Section 5(a)(i) above, and if the sum of such payments for any period exceeds the payment for such period to which Executive is entitled under Section 5(a)(i) above (determined without regard to the second proviso set forth therein), he shall promptly pay such excess in reimbursement to the Company.</w:t>
      </w:r>
    </w:p>
    <w:p>
      <w:pPr>
        <w:spacing w:after="0" w:line="64" w:lineRule="exact"/>
        <w:rPr>
          <w:rFonts w:ascii="Arial" w:cs="Arial" w:eastAsia="Arial" w:hAnsi="Arial"/>
          <w:sz w:val="17"/>
          <w:szCs w:val="17"/>
          <w:color w:val="auto"/>
        </w:rPr>
      </w:pPr>
    </w:p>
    <w:p>
      <w:pPr>
        <w:ind w:left="440" w:right="80" w:firstLine="443"/>
        <w:spacing w:after="0" w:line="279" w:lineRule="auto"/>
        <w:tabs>
          <w:tab w:leader="none" w:pos="1283" w:val="left"/>
        </w:tabs>
        <w:numPr>
          <w:ilvl w:val="1"/>
          <w:numId w:val="73"/>
        </w:numPr>
        <w:rPr>
          <w:rFonts w:ascii="Arial" w:cs="Arial" w:eastAsia="Arial" w:hAnsi="Arial"/>
          <w:sz w:val="17"/>
          <w:szCs w:val="17"/>
          <w:color w:val="auto"/>
        </w:rPr>
      </w:pPr>
      <w:r>
        <w:rPr>
          <w:rFonts w:ascii="Arial" w:cs="Arial" w:eastAsia="Arial" w:hAnsi="Arial"/>
          <w:sz w:val="17"/>
          <w:szCs w:val="17"/>
          <w:color w:val="auto"/>
        </w:rPr>
        <w:t>If termination occurs by reason of death or Disability, Executive shall also be entitled to an amount equal to Executive’s MIP Target Award for the fiscal year in which the Date of Termination occurs (or if MIP Target Awards for such fiscal year have not yet been granted as of the Date of Termination, Executive’s MIP Target Award for the prior fiscal year), without proration and based on Executive’s Base Salary rate in effect at termination of employment. This amount will be paid at the same time as other MIP awards for such performance period are paid.</w:t>
      </w:r>
    </w:p>
    <w:p>
      <w:pPr>
        <w:spacing w:after="0" w:line="63" w:lineRule="exact"/>
        <w:rPr>
          <w:rFonts w:ascii="Arial" w:cs="Arial" w:eastAsia="Arial" w:hAnsi="Arial"/>
          <w:sz w:val="17"/>
          <w:szCs w:val="17"/>
          <w:color w:val="auto"/>
        </w:rPr>
      </w:pPr>
    </w:p>
    <w:p>
      <w:pPr>
        <w:ind w:left="440" w:right="240" w:firstLine="443"/>
        <w:spacing w:after="0" w:line="312" w:lineRule="auto"/>
        <w:tabs>
          <w:tab w:leader="none" w:pos="1183" w:val="left"/>
        </w:tabs>
        <w:numPr>
          <w:ilvl w:val="1"/>
          <w:numId w:val="73"/>
        </w:numPr>
        <w:rPr>
          <w:rFonts w:ascii="Arial" w:cs="Arial" w:eastAsia="Arial" w:hAnsi="Arial"/>
          <w:sz w:val="16"/>
          <w:szCs w:val="16"/>
          <w:color w:val="auto"/>
        </w:rPr>
      </w:pPr>
      <w:r>
        <w:rPr>
          <w:rFonts w:ascii="Arial" w:cs="Arial" w:eastAsia="Arial" w:hAnsi="Arial"/>
          <w:sz w:val="16"/>
          <w:szCs w:val="16"/>
          <w:color w:val="auto"/>
        </w:rPr>
        <w:t>Except as expressly set forth above or as required by law, Executive shall not be entitled to continue participation during or following the termination period in any employee benefit or fringe benefit plans, except for continuation of any automobile allowance, which shall be added to the amounts otherwise payable under Section 5(a)(i) above during the continuation of such coverage but not beyond the end of the termination period.</w:t>
      </w:r>
    </w:p>
    <w:p>
      <w:pPr>
        <w:spacing w:after="0" w:line="38" w:lineRule="exact"/>
        <w:rPr>
          <w:rFonts w:ascii="Arial" w:cs="Arial" w:eastAsia="Arial" w:hAnsi="Arial"/>
          <w:sz w:val="16"/>
          <w:szCs w:val="16"/>
          <w:color w:val="auto"/>
        </w:rPr>
      </w:pPr>
    </w:p>
    <w:p>
      <w:pPr>
        <w:ind w:left="-20" w:right="620" w:firstLine="464"/>
        <w:spacing w:after="0" w:line="277" w:lineRule="auto"/>
        <w:tabs>
          <w:tab w:leader="none" w:pos="69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on the End Date</w:t>
      </w:r>
      <w:r>
        <w:rPr>
          <w:rFonts w:ascii="Arial" w:cs="Arial" w:eastAsia="Arial" w:hAnsi="Arial"/>
          <w:sz w:val="18"/>
          <w:szCs w:val="18"/>
          <w:color w:val="auto"/>
        </w:rPr>
        <w:t>. Unless earlier terminated or except as otherwise mutually agreed by Executive and the Company, Executive’s employment with the Company shall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23" w:name="page124"/>
    <w:bookmarkEnd w:id="12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on the End Date. Unless the Company in connection with such termination on the End Date shall offer to Executive continued service in a position on reasonable terms, Executive shall be treated as having been terminated under Section 5(a)(II) on the day immediately preceding the End Date and shall be entitled to the compensation and benefits described in Section 5(a) in respect of such a termination, subject, for the avoidance of doubt, to the other provisions of this Agreement including, without limitation, Section 8. If the Company in connection with such termination offers to Executive continued service in a position on reasonable terms, and Executive declines such service, he shall be treated for all purposes of this Agreement as having terminated his employment voluntarily on the End Date and he shall be entitled only to those benefits to which he would be entitled under Section 6(a) (“Voluntary Termination of Employment”). For purposes of the two preceding sentences, “service in a position on reasonable terms” shall mean service in a position comparable to the position in which Executive was serving immediately prior to the End Date, as reasonably determined by the Committee.</w:t>
      </w:r>
    </w:p>
    <w:p>
      <w:pPr>
        <w:spacing w:after="0" w:line="58"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6.</w:t>
        <w:tab/>
        <w:t>OTHER TERMINATION.</w:t>
      </w:r>
    </w:p>
    <w:p>
      <w:pPr>
        <w:spacing w:after="0" w:line="117" w:lineRule="exact"/>
        <w:rPr>
          <w:sz w:val="20"/>
          <w:szCs w:val="20"/>
          <w:color w:val="auto"/>
        </w:rPr>
      </w:pPr>
    </w:p>
    <w:p>
      <w:pPr>
        <w:ind w:right="200" w:firstLine="464"/>
        <w:spacing w:after="0" w:line="271" w:lineRule="auto"/>
        <w:tabs>
          <w:tab w:leader="none" w:pos="70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Voluntary Termination of Employment</w:t>
      </w:r>
      <w:r>
        <w:rPr>
          <w:rFonts w:ascii="Arial" w:cs="Arial" w:eastAsia="Arial" w:hAnsi="Arial"/>
          <w:sz w:val="17"/>
          <w:szCs w:val="17"/>
          <w:color w:val="auto"/>
        </w:rPr>
        <w:t>. If Executive terminates his employment voluntarily, Executive or his legal representative shall be entitled (in each case in accordance with and subject to the terms of the applicable arrangement) to any Stock Incentive Plan benefits described in Section 3(b) (Existing Awards) or Section 3(c) (New Stock Awards), including any benefits in connection with Special Service Retirement (as defined in the Stock Incentive Plan), and to any vested benefits under the plans described in Section 3(f) (Qualified Plans; Other Deferred Compensation Plans). In addition, the Company will pay to Executive or his legal representative any unpaid amounts to which Executive is entitled under MIP for the fiscal year of the Company ended immediately prior to termination of employment, plus any unpaid amounts owing with respect to LRPIP cycles in which Executive participated and which were completed prior to termination of employment, in each case at the same time as other awards for such prior year or cycle are paid. No other benefits shall be paid under this Agreement upon a voluntary termination of employment.</w:t>
      </w:r>
    </w:p>
    <w:p>
      <w:pPr>
        <w:spacing w:after="0" w:line="70" w:lineRule="exact"/>
        <w:rPr>
          <w:rFonts w:ascii="Arial" w:cs="Arial" w:eastAsia="Arial" w:hAnsi="Arial"/>
          <w:sz w:val="17"/>
          <w:szCs w:val="17"/>
          <w:color w:val="auto"/>
        </w:rPr>
      </w:pPr>
    </w:p>
    <w:p>
      <w:pPr>
        <w:ind w:right="80" w:firstLine="464"/>
        <w:spacing w:after="0" w:line="276" w:lineRule="auto"/>
        <w:tabs>
          <w:tab w:leader="none" w:pos="71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Company should terminate Executive’s employment for Cause all compensation and benefits otherwise payable pursuant to this Agreement shall cease, other than (x) such vested amounts as are credited to Executive’s account (but not received) under the ESP; (y) any vested benefits to which Executive is entitled under the Company’s tax-qualified plans; and (z) Stock Incentive Plan benefits, if any, to which Executive may be entitled under Sections 3(b) (Existing Awards) and 3(c) (New Stock Awards); in each case, in accordance with and subject to the terms of the applicable plan, program or arrangement. The Company does not waive any rights it may have for damages or injunctive relief.</w:t>
      </w:r>
    </w:p>
    <w:p>
      <w:pPr>
        <w:spacing w:after="0" w:line="64" w:lineRule="exact"/>
        <w:rPr>
          <w:sz w:val="20"/>
          <w:szCs w:val="20"/>
          <w:color w:val="auto"/>
        </w:rPr>
      </w:pPr>
    </w:p>
    <w:p>
      <w:pPr>
        <w:ind w:right="100" w:firstLine="464"/>
        <w:spacing w:after="0" w:line="273" w:lineRule="auto"/>
        <w:tabs>
          <w:tab w:leader="none" w:pos="7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CHANGE OF CONTROL. Upon and following a Change of Control occurring during the Employment Period, (i) Executive’s employment under this Agreement shall continue indefinitely without regard to the End Date or Section 5(b), subject, however, to termination by either party or by reason of Executive’s death or Disability in accordance with the other provisions of this Agreement; and (ii) the provisions of Section 5 shall cease to apply in respect of any termination of employment described therein that occurs during the Standstill Period (but the provisions of Section C.1 of Exhibit C (including any reference to Section 5 therein) shall apply in respect of any such termination that qualifies as a Change of Control Termination). Additional provisions that may be relevant upon and following a Change of Control are found in Exhibit 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4" w:name="page125"/>
    <w:bookmarkEnd w:id="124"/>
    <w:p>
      <w:pPr>
        <w:ind w:left="46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w:t>
      </w:r>
      <w:r>
        <w:rPr>
          <w:sz w:val="20"/>
          <w:szCs w:val="20"/>
          <w:color w:val="auto"/>
        </w:rPr>
        <w:tab/>
      </w:r>
      <w:r>
        <w:rPr>
          <w:rFonts w:ascii="Arial" w:cs="Arial" w:eastAsia="Arial" w:hAnsi="Arial"/>
          <w:sz w:val="17"/>
          <w:szCs w:val="17"/>
          <w:color w:val="auto"/>
        </w:rPr>
        <w:t>AGREEMENT NOT TO SOLICIT OR COMPETE.</w:t>
      </w:r>
    </w:p>
    <w:p>
      <w:pPr>
        <w:spacing w:after="0" w:line="117" w:lineRule="exact"/>
        <w:rPr>
          <w:sz w:val="20"/>
          <w:szCs w:val="20"/>
          <w:color w:val="auto"/>
        </w:rPr>
      </w:pPr>
    </w:p>
    <w:p>
      <w:pPr>
        <w:ind w:right="80" w:firstLine="464"/>
        <w:spacing w:after="0" w:line="284" w:lineRule="auto"/>
        <w:tabs>
          <w:tab w:leader="none" w:pos="701" w:val="left"/>
        </w:tabs>
        <w:numPr>
          <w:ilvl w:val="1"/>
          <w:numId w:val="77"/>
        </w:numPr>
        <w:rPr>
          <w:rFonts w:ascii="Arial" w:cs="Arial" w:eastAsia="Arial" w:hAnsi="Arial"/>
          <w:sz w:val="16"/>
          <w:szCs w:val="16"/>
          <w:color w:val="auto"/>
        </w:rPr>
      </w:pPr>
      <w:r>
        <w:rPr>
          <w:rFonts w:ascii="Arial" w:cs="Arial" w:eastAsia="Arial" w:hAnsi="Arial"/>
          <w:sz w:val="16"/>
          <w:szCs w:val="16"/>
          <w:color w:val="auto"/>
        </w:rPr>
        <w:t>During the Employment Period and for a period of twenty-four (24) months thereafter (the “Nonsolicitation Period”), Executive shall not, and shall not direct any other individual or entity to, directly or indirectly (including as a partner, shareholder, joint venturer or other investor) (i) hire, offer to hire, attempt to hire or assist in the hiring of, any protected person as an employee, director, consultant, advisor or other service provider, (ii) recommend any protected person for employment or other engagement with any person or entity other than the Company and its Subsidiaries, (iii) solicit for employment or other engagement any protected person, or seek to persuade, induce or encourage any protected person to discontinue employment or engagement with the Company or its Subsidiaries, or recommend to any protected person any employment or engagement other than with the Company or its Subsidiaries,</w:t>
      </w:r>
    </w:p>
    <w:p>
      <w:pPr>
        <w:spacing w:after="0" w:line="4" w:lineRule="exact"/>
        <w:rPr>
          <w:rFonts w:ascii="Arial" w:cs="Arial" w:eastAsia="Arial" w:hAnsi="Arial"/>
          <w:sz w:val="16"/>
          <w:szCs w:val="16"/>
          <w:color w:val="auto"/>
        </w:rPr>
      </w:pPr>
    </w:p>
    <w:p>
      <w:pPr>
        <w:ind w:right="20" w:firstLine="8"/>
        <w:spacing w:after="0" w:line="281" w:lineRule="auto"/>
        <w:tabs>
          <w:tab w:leader="none" w:pos="3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accept services of any sort (whether for compensation or otherwise) from any protected person, or (v) participate with any other person or entity in any of the foregoing activities. Any individual or entity to which Executive provides services (as an employee, director, consultant, advisor or otherwise) or in which Executive is a shareholder, member, partner, joint venturer or investor, excluding interests in the common stock of any publicly traded corporation of one percent (1%) or less, and any individual or entity that is affiliated with any such individual or entity, shall, for purposes of the preceding sentence, be presumed to have acted at the direction of Executive with respect to any “protected person” who worked with Executive at any time during the six (6) months prior to termination of the Employment Period. A “protected person” is a person who at the time of termination of the Employment Period, or within six</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(6) months prior thereto, is or was employed by the Company or any of its Subsidiaries either in a position of Assistant Vice President or higher, or in a salaried position in any merchandising group. As to (I) each “protected person” to whom the foregoing applies, (II) each subcategory of “protected person,” as defined above, (III) each limitation on (A) employment or other engagement, (B) solicitation and (C) unsolicited acceptance of services, of each “protected person” and (IV) each month of the period during which the provisions of this subsection (a) apply to each of the foregoing, the provisions set forth in this subsection (a) shall be deemed to be separate and independent agreements. In the event of unenforceability of any one or more such agreement(s), such unenforceable agreement(s) shall be deemed automatically reformed in order to allow for the greatest degree of enforceability authorized by law or, if no such reformation is possible, deleted from the provisions hereof entirely, and such reformation or deletion shall not affect the enforceability of any other provision of this subsection (a) or any other term of this Agreement.</w:t>
      </w:r>
    </w:p>
    <w:p>
      <w:pPr>
        <w:spacing w:after="0" w:line="76" w:lineRule="exact"/>
        <w:rPr>
          <w:rFonts w:ascii="Arial" w:cs="Arial" w:eastAsia="Arial" w:hAnsi="Arial"/>
          <w:sz w:val="16"/>
          <w:szCs w:val="16"/>
          <w:color w:val="auto"/>
        </w:rPr>
      </w:pPr>
    </w:p>
    <w:p>
      <w:pPr>
        <w:ind w:right="40" w:firstLine="464"/>
        <w:spacing w:after="0" w:line="273" w:lineRule="auto"/>
        <w:tabs>
          <w:tab w:leader="none" w:pos="711" w:val="left"/>
        </w:tabs>
        <w:numPr>
          <w:ilvl w:val="1"/>
          <w:numId w:val="78"/>
        </w:numPr>
        <w:rPr>
          <w:rFonts w:ascii="Arial" w:cs="Arial" w:eastAsia="Arial" w:hAnsi="Arial"/>
          <w:sz w:val="17"/>
          <w:szCs w:val="17"/>
          <w:color w:val="auto"/>
        </w:rPr>
      </w:pPr>
      <w:r>
        <w:rPr>
          <w:rFonts w:ascii="Arial" w:cs="Arial" w:eastAsia="Arial" w:hAnsi="Arial"/>
          <w:sz w:val="17"/>
          <w:szCs w:val="17"/>
          <w:color w:val="auto"/>
        </w:rPr>
        <w:t>During the course of his employment, Executive will have learned vital trade secrets of the Company and its Subsidiaries and will have access to confidential and proprietary information and business plans of the Company and its Subsidiaries. Therefore, during the Employment Period and for a period of twenty-four (24) months thereafter (the “Noncompetition Period”), except as the Board or a committee thereof shall have approved, Executive will not, directly or indirectly, be a shareholder, member, partner, joint venturer or investor (disregarding in this connection passive ownership for investment purposes of common stock representing one percent (1%) or less of the voting power or value of any publicly traded corporation) in, serve as a director or manager of, be engaged in any employment, consulting, or fees-for-services relationship 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25" w:name="page126"/>
    <w:bookmarkEnd w:id="125"/>
    <w:p>
      <w:pPr>
        <w:ind w:right="2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arrangement with, or advise with respect to the organization or conduct of, or any investment in, any “competitive business” as hereinafter defined or any Person that engages in any “competitive business” as hereinafter defined, nor shall Executive undertake any planning to engage in any such activities. The term “competitive business” (i) shall mean any business (however organized or conducted, including, without limitation, an on-line, “ecommerce” or other internet-based business) that competes with a business in which the Company or any of its Subsidiaries was engaged, or in which the Company or any Subsidiary was planning to engage, at any time during the 12-month period immediately preceding the date on which the Employment Period ends, and</w:t>
      </w:r>
    </w:p>
    <w:p>
      <w:pPr>
        <w:spacing w:after="0" w:line="2" w:lineRule="exact"/>
        <w:rPr>
          <w:sz w:val="20"/>
          <w:szCs w:val="20"/>
          <w:color w:val="auto"/>
        </w:rPr>
      </w:pPr>
    </w:p>
    <w:p>
      <w:pPr>
        <w:ind w:right="20" w:firstLine="8"/>
        <w:spacing w:after="0" w:line="286" w:lineRule="auto"/>
        <w:tabs>
          <w:tab w:leader="none" w:pos="2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shall conclusively be presumed to include, but shall not be limited to, (A) any business designated as a competitive business in the Committee Resolution, including, without limitation, an on-line, “ecommerce” or other internet-based business of any such business, and (B) any other off-price, promotional, or warehouse-club-type retail business, however organized or conducted (including, without limitation, an on-line, “ecommerce” or other internet-based business), that sells apparel, footwear, home fashions, home furnishings, jewelry, accessories, or any other category of merchandise sold by the Company or any of its Subsidiaries at the termination of the Employment Period. For purposes of this subsection (b), a “Person” means an individual, a corporation, a limited liability company, an association, a partnership, an estate, a trust and any other entity or organization, other than the Company or its Subsidiaries, and reference to any Person (the “first Person”) shall be deemed to include any other Person that controls, is controlled by or is under common control with the first Person. If, at any time, pursuant to action of any court, administrative, arbitral or governmental body or other tribunal, the operation of any part of this subsection shall be determined to be unlawful or otherwise unenforceable, then the coverage of this subsection shall be deemed to be reformed and restricted as to substantive reach, duration, geographic scope or otherwise, as the case may be, to the extent, and only to the extent, necessary to make this paragraph lawful and enforceable to the greatest extent possible in the particular jurisdiction in which such determination is made.</w:t>
      </w:r>
    </w:p>
    <w:p>
      <w:pPr>
        <w:spacing w:after="0" w:line="58" w:lineRule="exact"/>
        <w:rPr>
          <w:rFonts w:ascii="Arial" w:cs="Arial" w:eastAsia="Arial" w:hAnsi="Arial"/>
          <w:sz w:val="16"/>
          <w:szCs w:val="16"/>
          <w:color w:val="auto"/>
        </w:rPr>
      </w:pPr>
    </w:p>
    <w:p>
      <w:pPr>
        <w:ind w:firstLine="464"/>
        <w:spacing w:after="0" w:line="268" w:lineRule="auto"/>
        <w:tabs>
          <w:tab w:leader="none" w:pos="701" w:val="left"/>
        </w:tabs>
        <w:numPr>
          <w:ilvl w:val="1"/>
          <w:numId w:val="79"/>
        </w:numPr>
        <w:rPr>
          <w:rFonts w:ascii="Arial" w:cs="Arial" w:eastAsia="Arial" w:hAnsi="Arial"/>
          <w:sz w:val="17"/>
          <w:szCs w:val="17"/>
          <w:color w:val="auto"/>
        </w:rPr>
      </w:pPr>
      <w:r>
        <w:rPr>
          <w:rFonts w:ascii="Arial" w:cs="Arial" w:eastAsia="Arial" w:hAnsi="Arial"/>
          <w:sz w:val="17"/>
          <w:szCs w:val="17"/>
          <w:color w:val="auto"/>
        </w:rPr>
        <w:t>Executive shall never use or disclose any confidential or proprietary information of the Company or its Subsidiaries other than as required by applicable law or during the Employment Period for the proper performance of Executive’s duties and responsibilities to the Company and its Subsidiaries. This restriction shall continue to apply after Executive’s employment terminates, regardless of the reason for such termination. All documents, records and files, in any media, relating to the business, present or otherwise, of the Company and its Subsidiaries and any copies (“Documents”), whether or not prepared by Executive, are the exclusive property of the Company and its Subsidiaries. Executive must diligently safeguard all Documents, and must surrender to the Company at such time or times as the Company may specify all Documents then in Executive’s possession or control. In addition, upon termination of employment for any reason other than the death of Executive, Executive shall immediately return all Documents, and shall execute a certificate representing and warranting that he has returned all such Documents in Executive’s possession or under his control. Executive cannot be held criminally or civilly liable under any federal or state law (including trade secret laws) for disclosing a trade secret or confidential information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he unlawfully accesses trade secrets or confidential information by unauthorized means. Nothing in this Agreement (i) limits, restricts or in any other way affects Executive’s communicating with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6" w:name="page127"/>
    <w:bookmarkEnd w:id="12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governmental agency or entity, or communicating with any official or staff person of a governmental agency or entity, concerning matters relevant to the governmental agency or entity or (ii) requires Executive to notify the Company about such communication.</w:t>
      </w:r>
    </w:p>
    <w:p>
      <w:pPr>
        <w:spacing w:after="0" w:line="62" w:lineRule="exact"/>
        <w:rPr>
          <w:sz w:val="20"/>
          <w:szCs w:val="20"/>
          <w:color w:val="auto"/>
        </w:rPr>
      </w:pPr>
    </w:p>
    <w:p>
      <w:pPr>
        <w:ind w:right="120" w:firstLine="464"/>
        <w:spacing w:after="0" w:line="286" w:lineRule="auto"/>
        <w:tabs>
          <w:tab w:leader="none" w:pos="711"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during the Employment Period or at any time following termination of the Employment Period, regardless of the reason for such termination, Executive breaches any provision of this Section 8, the Company’s obligation, if any, to pay benefits under Section 5 hereof shall forthwith cease and Executive shall immediately forfeit and disgorge to the Company, with interest at the prime rate in effect at Bank of America, or its successor, all of the following: (i) any benefits theretofore paid to Executive under Section 5; (ii) any unexercised stock options and stock appreciation rights held by Executive;</w:t>
      </w:r>
    </w:p>
    <w:p>
      <w:pPr>
        <w:spacing w:after="0" w:line="1" w:lineRule="exact"/>
        <w:rPr>
          <w:rFonts w:ascii="Arial" w:cs="Arial" w:eastAsia="Arial" w:hAnsi="Arial"/>
          <w:sz w:val="16"/>
          <w:szCs w:val="16"/>
          <w:color w:val="auto"/>
        </w:rPr>
      </w:pPr>
    </w:p>
    <w:p>
      <w:pPr>
        <w:ind w:firstLine="8"/>
        <w:spacing w:after="0" w:line="270" w:lineRule="auto"/>
        <w:tabs>
          <w:tab w:leader="none" w:pos="31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any other stock-based award vested in connection with or following termination of the Employment Period, or at any time subsequent to such breach, the value of such stock-based award at time of vesting plus any additional gain realized on a subsequent sale or disposition of the award or the underlying stock; and (iv) in respect of each stock option or stock appreciation right exercised by Executive within six (6) months prior to any such breach or subsequent thereto and prior to the forfeiture and disgorgement required by this Section 8(d), the excess over the exercise price (or base value, in the case of a stock appreciation right) of the greater of (A) the fair market value at time of exercise of the shares of stock subject to the award, or (B) the number of shares of stock subject to such award multiplied by the per-share proceeds of any sale of such stock by Executive.</w:t>
      </w:r>
    </w:p>
    <w:p>
      <w:pPr>
        <w:spacing w:after="0" w:line="70" w:lineRule="exact"/>
        <w:rPr>
          <w:rFonts w:ascii="Arial" w:cs="Arial" w:eastAsia="Arial" w:hAnsi="Arial"/>
          <w:sz w:val="17"/>
          <w:szCs w:val="17"/>
          <w:color w:val="auto"/>
        </w:rPr>
      </w:pPr>
    </w:p>
    <w:p>
      <w:pPr>
        <w:ind w:right="200" w:firstLine="464"/>
        <w:spacing w:after="0" w:line="264" w:lineRule="auto"/>
        <w:tabs>
          <w:tab w:leader="none" w:pos="7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Executive shall notify the Company immediately upon securing employment or becoming self-employed at any time within the Noncompetition Period or the Nonsolicitation Period, and shall provide to the Company such details concerning such employment or self-employment as it may reasonably request in order to ensure compliance with the terms hereof.</w:t>
      </w:r>
    </w:p>
    <w:p>
      <w:pPr>
        <w:spacing w:after="0" w:line="73" w:lineRule="exact"/>
        <w:rPr>
          <w:rFonts w:ascii="Arial" w:cs="Arial" w:eastAsia="Arial" w:hAnsi="Arial"/>
          <w:sz w:val="18"/>
          <w:szCs w:val="18"/>
          <w:color w:val="auto"/>
        </w:rPr>
      </w:pPr>
    </w:p>
    <w:p>
      <w:pPr>
        <w:ind w:firstLine="464"/>
        <w:spacing w:after="0" w:line="268" w:lineRule="auto"/>
        <w:tabs>
          <w:tab w:leader="none" w:pos="681" w:val="left"/>
        </w:tabs>
        <w:numPr>
          <w:ilvl w:val="1"/>
          <w:numId w:val="81"/>
        </w:numPr>
        <w:rPr>
          <w:rFonts w:ascii="Arial" w:cs="Arial" w:eastAsia="Arial" w:hAnsi="Arial"/>
          <w:sz w:val="17"/>
          <w:szCs w:val="17"/>
          <w:color w:val="auto"/>
        </w:rPr>
      </w:pPr>
      <w:r>
        <w:rPr>
          <w:rFonts w:ascii="Arial" w:cs="Arial" w:eastAsia="Arial" w:hAnsi="Arial"/>
          <w:sz w:val="17"/>
          <w:szCs w:val="17"/>
          <w:color w:val="auto"/>
        </w:rPr>
        <w:t>Executive hereby advises the Company that Executive has carefully read and considered all the terms and conditions of this Agreement, including the restraints imposed on Executive under this Section 8, and agrees without reservation that each of the restraints contained herein is necessary for the reasonable and proper protection of the good will, confidential information and other legitimate business interests of the Company and its Subsidiaries, that each and every one of those restraints is reasonable in respect to subject matter, length of time and geographic area; and that these restraints will not prevent Executive from obtaining other suitable employment during the period in which Executive is bound by them. Executive agrees that Executive will never assert, or permit to be asserted on his behalf, in any forum, any position contrary to the foregoing. Executive also acknowledges and agrees that, were Executive to breach any of the provisions of this Section 8, the harm to the Company and its Subsidiaries would be irreparable. Executive therefore agrees that, in the event of such a breach or threatened breach, the Company shall, in addition to any other remedies available to it and notwithstanding Section 14, have the right to preliminary and permanent injunctive relief against any such breach or threatened breach without having to post bond, and will additionally be entitled to an award of attorney’s fees incurred in connection with enforcing its rights hereunder. Executive further agrees that, in the event that any provision of this Agreement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Finally, Executive agrees that the Noncompetition Period and the Nonsolicitation Period shall be tolled, and shall not run, during any period of time in which Executive is in violation of any of the terms of this Section 8, in order that the Company shall have the agreed-upon temporal protection recited herein.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7" w:name="page128"/>
    <w:bookmarkEnd w:id="127"/>
    <w:p>
      <w:pPr>
        <w:jc w:val="both"/>
        <w:ind w:left="-20" w:right="280" w:firstLine="464"/>
        <w:spacing w:after="0" w:line="279" w:lineRule="auto"/>
        <w:tabs>
          <w:tab w:leader="none" w:pos="691"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agrees that if any of the restrictions in this Section 8 is held to be void or ineffective for any reason but would be held to be valid and effective if part of its wording were deleted, that restriction shall apply with such deletions as may be necessary to make it valid and effective. Executive further agrees that the restrictions contained in each subsection of this Section 8 shall be construed as separate and individual restrictions and shall each be capable of being severed without prejudice to the other restrictions or to the remaining provisions.</w:t>
      </w:r>
    </w:p>
    <w:p>
      <w:pPr>
        <w:spacing w:after="0" w:line="63" w:lineRule="exact"/>
        <w:rPr>
          <w:rFonts w:ascii="Arial" w:cs="Arial" w:eastAsia="Arial" w:hAnsi="Arial"/>
          <w:sz w:val="17"/>
          <w:szCs w:val="17"/>
          <w:color w:val="auto"/>
        </w:rPr>
      </w:pPr>
    </w:p>
    <w:p>
      <w:pPr>
        <w:ind w:left="-20" w:right="480" w:firstLine="464"/>
        <w:spacing w:after="0" w:line="279" w:lineRule="auto"/>
        <w:tabs>
          <w:tab w:leader="none" w:pos="691"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Executive expressly consents to be bound by the provisions of this Agreement for the benefit of the Company and its Subsidiaries, and any successor or permitted assign to whose employ Executive may be transferred, without the necessity that this Agreement be re-signed at the time of such transfer. Executive further agrees that no changes in the nature or scope of his employment with the Company will operate to extinguish the terms and conditions set forth in Section 8, or otherwise require the parties to re-sign this Agreement.</w:t>
      </w:r>
    </w:p>
    <w:p>
      <w:pPr>
        <w:spacing w:after="0" w:line="63" w:lineRule="exact"/>
        <w:rPr>
          <w:rFonts w:ascii="Arial" w:cs="Arial" w:eastAsia="Arial" w:hAnsi="Arial"/>
          <w:sz w:val="17"/>
          <w:szCs w:val="17"/>
          <w:color w:val="auto"/>
        </w:rPr>
      </w:pPr>
    </w:p>
    <w:p>
      <w:pPr>
        <w:ind w:left="-20" w:right="320" w:firstLine="464"/>
        <w:spacing w:after="0" w:line="342" w:lineRule="auto"/>
        <w:tabs>
          <w:tab w:leader="none" w:pos="6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provisions of this Section 8 shall survive the termination of the Employment Period and the termination of this Agreement, regardless of the reason or reasons therefor, and shall be binding on Executive regardless of any breach by the Company of any other provision of this Agreement.</w:t>
      </w:r>
    </w:p>
    <w:p>
      <w:pPr>
        <w:spacing w:after="0" w:line="16" w:lineRule="exact"/>
        <w:rPr>
          <w:sz w:val="20"/>
          <w:szCs w:val="20"/>
          <w:color w:val="auto"/>
        </w:rPr>
      </w:pPr>
    </w:p>
    <w:p>
      <w:pPr>
        <w:ind w:left="-20" w:right="40" w:firstLine="464"/>
        <w:spacing w:after="0" w:line="264" w:lineRule="auto"/>
        <w:tabs>
          <w:tab w:leader="none" w:pos="7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ASSIGNMENT. The rights and obligations of the Company shall inure to the benefit of and shall be binding upon the successors and assigns of the Company. The rights and obligations of Executive are not assignable except only that stock issuable and awards and payments payable to him after his death shall be made to his estate except as otherwise provided by the applicable plan or award documentation, if any.</w:t>
      </w:r>
    </w:p>
    <w:p>
      <w:pPr>
        <w:spacing w:after="0" w:line="73" w:lineRule="exact"/>
        <w:rPr>
          <w:rFonts w:ascii="Arial" w:cs="Arial" w:eastAsia="Arial" w:hAnsi="Arial"/>
          <w:sz w:val="18"/>
          <w:szCs w:val="18"/>
          <w:color w:val="auto"/>
        </w:rPr>
      </w:pPr>
    </w:p>
    <w:p>
      <w:pPr>
        <w:ind w:left="-20" w:right="80" w:firstLine="464"/>
        <w:spacing w:after="0" w:line="297" w:lineRule="auto"/>
        <w:tabs>
          <w:tab w:leader="none" w:pos="841"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NOTICES. All notices and other communications required hereunder shall be in writing and shall be given by mailing the same by certified or registered mail, return receipt requested, postage prepaid. If sent to the Company the same shall be mailed to the Company at 770 Cochituate Road, Framingham, Massachusetts 01701, Attention: Chairman of the Executive Compensation Committee, or other such address as the Company may hereafter designate by notice to Executive, with a copy to: TJX General Counsel at the same address; and if sent to Executive, the same shall be mailed to Executive at his address as set forth in the records of the Company or at such other address as Executive may hereafter designate by notice to the Company.</w:t>
      </w:r>
    </w:p>
    <w:p>
      <w:pPr>
        <w:spacing w:after="0" w:line="50" w:lineRule="exact"/>
        <w:rPr>
          <w:rFonts w:ascii="Arial" w:cs="Arial" w:eastAsia="Arial" w:hAnsi="Arial"/>
          <w:sz w:val="16"/>
          <w:szCs w:val="16"/>
          <w:color w:val="auto"/>
        </w:rPr>
      </w:pPr>
    </w:p>
    <w:p>
      <w:pPr>
        <w:ind w:left="-20" w:firstLine="464"/>
        <w:spacing w:after="0" w:line="255" w:lineRule="auto"/>
        <w:tabs>
          <w:tab w:leader="none" w:pos="8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WITHHOLDING; CERTAIN TAX MATTERS. Anything to the contrary notwithstanding, (a) all payments required to be made by the Company hereunder to Executive shall be subject to the withholding of such amounts, if any, relating to tax and other payroll deductions as the Company may reasonably determine it should withhold pursuant to any applicable law or regulation, and (b) to the extent any payment hereunder that is payable by reason of termination of Executive’s employment constitutes “nonqualified deferred compensation” subject to Section 409A and would otherwise have been required to be paid during the six (6)-month period following such termination of employment, it shall instead (unless at the relevant time Executive is no longer a Specified Employee) be delayed and paid, without interest, in a lump sum on the date that is six (6) months and one day after Executive’s termination (or, if earlier,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128" w:name="page129"/>
    <w:bookmarkEnd w:id="128"/>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Executive’s death). Executive acknowledges that he has reviewed the provisions of this Agreement with his advisors and agrees that except for the payments described in Section 5(a)(ii) of this Agreement, the Company shall not be liable to make Executive whole for any taxes that may become due or payable by reason of this Agreement or any payment, benefit or entitlement hereunder.</w:t>
      </w:r>
    </w:p>
    <w:p>
      <w:pPr>
        <w:spacing w:after="0" w:line="73" w:lineRule="exact"/>
        <w:rPr>
          <w:sz w:val="20"/>
          <w:szCs w:val="20"/>
          <w:color w:val="auto"/>
        </w:rPr>
      </w:pPr>
    </w:p>
    <w:p>
      <w:pPr>
        <w:ind w:right="40" w:firstLine="464"/>
        <w:spacing w:after="0" w:line="288" w:lineRule="auto"/>
        <w:tabs>
          <w:tab w:leader="none" w:pos="861"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RELEASE. Except for payment of any accrued and unpaid Base Salary and subject to such exceptions as the Company in its discretion may determine for the payment of other amounts accrued and vested prior to the Date of Termination, any obligation of the Company to provide compensation or benefits under Section 5, Section C.1 of Exhibit C of this Agreement, and (to the extent permitted by law) any vesting of unvested compensation or benefits in connection with or following Executive’s termination of employment, are expressly conditioned on Executive’s execution and delivery to the Company of an effective release of claims (in the form of release approved by the Committee on February 1, 2013) as to which all applicable rights of revocation, as determined by the Company, shall have expired prior to the sixtieth (60th) calendar day following the Date of Termination (any such timely and irrevocable release, the “Release of Claims”). Any compensation and benefits that are conditioned on the delivery of the Release of Claims under this Section 12 and that otherwise would have been payable prior to such sixtieth (60th) calendar day (determined, for the avoidance of doubt, after taking into account any other required delays in payment, including any six-month delay under Section 11) shall, if the Release of Claims is delivered, instead be paid on such sixtieth (60th) day, notwithstanding any provision of this Agreement regarding the time of such payments.</w:t>
      </w:r>
    </w:p>
    <w:p>
      <w:pPr>
        <w:spacing w:after="0" w:line="61" w:lineRule="exact"/>
        <w:rPr>
          <w:rFonts w:ascii="Arial" w:cs="Arial" w:eastAsia="Arial" w:hAnsi="Arial"/>
          <w:sz w:val="16"/>
          <w:szCs w:val="16"/>
          <w:color w:val="auto"/>
        </w:rPr>
      </w:pPr>
    </w:p>
    <w:p>
      <w:pPr>
        <w:ind w:right="20" w:firstLine="464"/>
        <w:spacing w:after="0" w:line="277" w:lineRule="auto"/>
        <w:tabs>
          <w:tab w:leader="none" w:pos="8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GOVERNING LAW. This Agreement and the rights and obligations of the parties hereunder shall be governed by the laws of the Commonwealth of Massachusetts.</w:t>
      </w:r>
    </w:p>
    <w:p>
      <w:pPr>
        <w:spacing w:after="0" w:line="62" w:lineRule="exact"/>
        <w:rPr>
          <w:rFonts w:ascii="Arial" w:cs="Arial" w:eastAsia="Arial" w:hAnsi="Arial"/>
          <w:sz w:val="18"/>
          <w:szCs w:val="18"/>
          <w:color w:val="auto"/>
        </w:rPr>
      </w:pPr>
    </w:p>
    <w:p>
      <w:pPr>
        <w:ind w:firstLine="464"/>
        <w:spacing w:after="0" w:line="288" w:lineRule="auto"/>
        <w:tabs>
          <w:tab w:leader="none" w:pos="8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ARBITRATION. In the event that there is any claim or dispute arising out of or relating to this Agreement, or the breach thereof, or otherwise arising out of or relating to Executive’s employment with, or compensation or benefits from, the Company or the termination thereof, including any claim for discrimination under any local, state, or federal employment discrimination law (including, but not limited to, M.G.L. c.151B), and the parties hereto shall not have resolved such claim or dispute within sixty (60) days after written notice from one party to the other setting forth the nature of such claim or dispute, then such claim or dispute shall (except as otherwise provided in Section 8(f)) be settled exclusively by binding arbitration in Boston, Massachusetts in accordance with the JAMS Employment Arbitration Rules &amp; Procedures applicable at the time of commencement of the arbitration by an arbitrator mutually agreed upon by the parties hereto or, in the absence of such agreement, by an arbitrator selected according to such Rules. Notwithstanding the foregoing, if either the Company or Executive shall request, such arbitration shall be conducted by a panel of three arbitrators, one selected by the Company, one selected by Executive and the third selected by agreement of the first two, or, in the absence of such agreement, in accordance with such Rules. Judgment upon any award rendered by such arbitrator(s) shall be entered in any court having jurisdiction thereof upon the application of either party.</w:t>
      </w:r>
    </w:p>
    <w:p>
      <w:pPr>
        <w:spacing w:after="0" w:line="61" w:lineRule="exact"/>
        <w:rPr>
          <w:rFonts w:ascii="Arial" w:cs="Arial" w:eastAsia="Arial" w:hAnsi="Arial"/>
          <w:sz w:val="16"/>
          <w:szCs w:val="16"/>
          <w:color w:val="auto"/>
        </w:rPr>
      </w:pPr>
    </w:p>
    <w:p>
      <w:pPr>
        <w:ind w:right="60" w:firstLine="464"/>
        <w:spacing w:after="0" w:line="308" w:lineRule="auto"/>
        <w:tabs>
          <w:tab w:leader="none" w:pos="8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TERMINATION OF EMPLOYMENT AND SEPARATION FROM SERVICE. All references in the Agreement to termination of employment, a termination of the Employment Period, or separation from service, and correlative terms, that result in the payment or vesting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9" w:name="page130"/>
    <w:bookmarkEnd w:id="129"/>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amounts or benefits that constitute “nonqualified deferred compensation” within the meaning of Section 409A shall be construed to require a Separation from Service, and the Date of Termination in any such case shall be construed to mean the date of the Separation from Service.</w:t>
      </w:r>
    </w:p>
    <w:p>
      <w:pPr>
        <w:spacing w:after="0" w:line="38" w:lineRule="exact"/>
        <w:rPr>
          <w:sz w:val="20"/>
          <w:szCs w:val="20"/>
          <w:color w:val="auto"/>
        </w:rPr>
      </w:pPr>
    </w:p>
    <w:p>
      <w:pPr>
        <w:ind w:right="440" w:firstLine="464"/>
        <w:spacing w:after="0" w:line="277" w:lineRule="auto"/>
        <w:tabs>
          <w:tab w:leader="none" w:pos="8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WAIVER. The Board or a committee thereof may waive any obligation of Executive under or restriction imposed upon Executive by the Agreement, but no such waiver shall be construed as a waiver of any other provision of the Agreement.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274" w:right="379" w:bottom="1440" w:gutter="0" w:footer="0" w:header="0"/>
        </w:sectPr>
      </w:pPr>
    </w:p>
    <w:bookmarkStart w:id="130" w:name="page131"/>
    <w:bookmarkEnd w:id="130"/>
    <w:p>
      <w:pPr>
        <w:ind w:left="-180" w:firstLine="464"/>
        <w:spacing w:after="0" w:line="264" w:lineRule="auto"/>
        <w:tabs>
          <w:tab w:leader="none" w:pos="681"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This Agreement, including Exhibits (which are hereby incorporated by reference), represents the entire agreement between the parties relating to the terms of Executive’s employment by the Company and supersedes all prior written or oral agreements, including, without limitation, the Prior Agreement, between them.</w:t>
      </w:r>
    </w:p>
    <w:p>
      <w:pPr>
        <w:spacing w:after="0" w:line="20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Scott Goldenberg</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-130810</wp:posOffset>
            </wp:positionV>
            <wp:extent cx="2718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  /s/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718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420" w:top="274" w:right="419" w:bottom="1440" w:gutter="0" w:footer="0" w:header="0"/>
        </w:sectPr>
      </w:pPr>
    </w:p>
    <w:bookmarkStart w:id="131" w:name="page132"/>
    <w:bookmarkEnd w:id="131"/>
    <w:p>
      <w:pPr>
        <w:jc w:val="center"/>
        <w:ind w:right="-5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692" w:hanging="236"/>
        <w:spacing w:after="0"/>
        <w:tabs>
          <w:tab w:leader="none" w:pos="6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 Salary” means, for any period, the amount described in Section 3(a).</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8" w:right="20" w:firstLine="464"/>
        <w:spacing w:after="0" w:line="25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“Cause” means dishonesty by Executive in the performance of his duties, conviction of a felony (other than a conviction arising solely under a statutory provision imposing criminal liability upon Executive on a </w:t>
      </w:r>
      <w:r>
        <w:rPr>
          <w:rFonts w:ascii="Arial" w:cs="Arial" w:eastAsia="Arial" w:hAnsi="Arial"/>
          <w:sz w:val="18"/>
          <w:szCs w:val="18"/>
          <w:i w:val="1"/>
          <w:iCs w:val="1"/>
          <w:color w:val="auto"/>
        </w:rPr>
        <w:t>per se</w:t>
      </w:r>
      <w:r>
        <w:rPr>
          <w:rFonts w:ascii="Arial" w:cs="Arial" w:eastAsia="Arial" w:hAnsi="Arial"/>
          <w:sz w:val="18"/>
          <w:szCs w:val="18"/>
          <w:color w:val="auto"/>
        </w:rPr>
        <w:t xml:space="preserve"> basis due to the Company offices held by Executive, so long as any act or omission of Executive with respect to such matter was not taken or omitted in contravention of any applicable policy or directive of the Board), gross neglect of duties (other than as a result of Disability), or conflict of interest which conflict shall continue for thirty (30) days after the Company gives written notice to Executive requesting the cessation of such conflict.</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respect of any termination during a Standstill Period, Executive shall not be deemed to have been terminated for Cause until the later to occur of</w:t>
      </w:r>
    </w:p>
    <w:p>
      <w:pPr>
        <w:spacing w:after="0" w:line="46" w:lineRule="exact"/>
        <w:rPr>
          <w:sz w:val="20"/>
          <w:szCs w:val="20"/>
          <w:color w:val="auto"/>
        </w:rPr>
      </w:pPr>
    </w:p>
    <w:p>
      <w:pPr>
        <w:ind w:left="-8" w:firstLine="8"/>
        <w:spacing w:after="0" w:line="285" w:lineRule="auto"/>
        <w:tabs>
          <w:tab w:leader="none" w:pos="2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30th day after notice of termination is given and (ii) the delivery to Executive of a copy of a resolution duly adopted by the affirmative vote of not less than a majority of the Board at a meeting called and held for that purpose (after reasonable notice to Executive), and at which Executive together with his counsel was given an opportunity to be heard, finding that Executive was guilty of conduct described in the definition of “Cause” above, and specifying the particulars thereof in detail;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suspend Executive and withhold payment of his Base Salary from the date that notice of termination is given until the earliest to occur of (A) termination of Executive for Cause effected in accordance with the foregoing procedures (in which case Executive shall not be entitled to his Base Salary for such period), (B) a determination by a majority of the Board that Executive was not guilty of the conduct described in the definition of “Cause” effected in accordance with the foregoing procedures (in which case Executive shall be reinstated and paid any of his previously unpaid Base Salary for such period), or (C) ninety (90) days after notice of termination is given (in which case Executive shall then be reinstated and paid any of his previously unpaid Base Salary for such period). If Base Salary is withheld and then paid pursuant to clause (B) or (C) of the preceding sentence, the amount thereof shall be accompanied by simple interest, calculated on a daily basis, at a rate per annum equal to the prime or base lending rate, as in effect at the time, of the Company’s principal commercial bank. The Company shall exercise its discretion under this paragraph consistent with the requirements of Section 409A or the requirements for exemption from Section 409A.</w:t>
      </w:r>
    </w:p>
    <w:p>
      <w:pPr>
        <w:spacing w:after="0" w:line="172" w:lineRule="exact"/>
        <w:rPr>
          <w:rFonts w:ascii="Arial" w:cs="Arial" w:eastAsia="Arial" w:hAnsi="Arial"/>
          <w:sz w:val="16"/>
          <w:szCs w:val="16"/>
          <w:color w:val="auto"/>
        </w:rPr>
      </w:pPr>
    </w:p>
    <w:p>
      <w:pPr>
        <w:ind w:left="-8" w:right="140" w:firstLine="464"/>
        <w:spacing w:after="0" w:line="277" w:lineRule="auto"/>
        <w:tabs>
          <w:tab w:leader="none" w:pos="703"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“Change in Control Event” means a “change in control event” (as that term is defined in section 1.409A-3(i)(5) of the Treasury Regulations under Section 409A) with respect to the Company.</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“Change of Control” has the meaning given it in Exhibit B.</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72"/>
          </w:cols>
          <w:pgMar w:left="248" w:top="274" w:right="279" w:bottom="1440" w:gutter="0" w:footer="0" w:header="0"/>
        </w:sectPr>
      </w:pPr>
    </w:p>
    <w:bookmarkStart w:id="132" w:name="page133"/>
    <w:bookmarkEnd w:id="132"/>
    <w:p>
      <w:pPr>
        <w:ind w:right="200" w:firstLine="464"/>
        <w:spacing w:after="0" w:line="277" w:lineRule="auto"/>
        <w:tabs>
          <w:tab w:leader="none" w:pos="681"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Termination” means the termination of Executive’s employment during a Standstill Period (1) by the Company other than for Cause, or (2) by Executive for good reason, or (3) by reason of death or Disability.</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For purposes of this definition, termination for “good reason” shall mean the voluntary termination by Executive of his employment within one hundred and twenty (120) days after the occurrence without Executive’s express written consent of any one of the events described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gives notice to the Company within sixty (60) days of the first occurrence of any such event or condition, requesting that the pertinent event or condition described therein be remedied, and the situation remains unremedied upon expiration of the thirty (30)-day period commencing upon receipt by the Company of such notice:</w:t>
      </w:r>
    </w:p>
    <w:p>
      <w:pPr>
        <w:spacing w:after="0" w:line="94" w:lineRule="exact"/>
        <w:rPr>
          <w:sz w:val="20"/>
          <w:szCs w:val="20"/>
          <w:color w:val="auto"/>
        </w:rPr>
      </w:pPr>
    </w:p>
    <w:p>
      <w:pPr>
        <w:jc w:val="both"/>
        <w:ind w:left="1480" w:right="300" w:hanging="567"/>
        <w:spacing w:after="0" w:line="302" w:lineRule="auto"/>
        <w:tabs>
          <w:tab w:leader="none" w:pos="14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assignment to him of any duties inconsistent with his positions, duties, responsibilities, and status with the Company immediately prior to the Change of Control, or any removal of Executive from or any failure to reelect him to such positions, except in connection with the termination of Executive’s employment by the Company for Cause or by Executive other than for good reason, or any other action by the Company which results in a diminishment in such position, authority, duties or responsibilities; or</w:t>
      </w:r>
    </w:p>
    <w:p>
      <w:pPr>
        <w:spacing w:after="0" w:line="60" w:lineRule="exact"/>
        <w:rPr>
          <w:sz w:val="20"/>
          <w:szCs w:val="20"/>
          <w:color w:val="auto"/>
        </w:rPr>
      </w:pPr>
    </w:p>
    <w:p>
      <w:pPr>
        <w:ind w:left="1480" w:hanging="567"/>
        <w:spacing w:after="0" w:line="259" w:lineRule="auto"/>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Executive’s rate of Base Salary for any fiscal year is less than 100% of the rate of Base Salary paid to Executive in the completed fiscal year immediately preceding the Change of Control or if Executive’s total cash compensation opportunities, including salary and incentives, for any fiscal year are less than 100% of the total cash compensation opportunities made available to Executive in the completed fiscal year immediately preceding the Change of Control; or</w:t>
      </w:r>
    </w:p>
    <w:p>
      <w:pPr>
        <w:spacing w:after="0" w:line="92" w:lineRule="exact"/>
        <w:rPr>
          <w:sz w:val="20"/>
          <w:szCs w:val="20"/>
          <w:color w:val="auto"/>
        </w:rPr>
      </w:pPr>
    </w:p>
    <w:p>
      <w:pPr>
        <w:ind w:left="1480" w:right="20" w:hanging="567"/>
        <w:spacing w:after="0" w:line="257"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failure of the Company to continue in effect any benefits or perquisites, or any pension, life insurance, medical insurance or disability plan in which Executive was participating immediately prior to the Change of Control unless the Company provides Executive with a plan or plans that provide substantially similar benefits, or the taking of any action by the Company that would adversely affect Executive’s participation in or materially reduce Executive’s benefits under any of such plans or deprive Executive of any material fringe benefit enjoyed by Executive immediately prior to the Change of Control; or</w:t>
      </w:r>
    </w:p>
    <w:p>
      <w:pPr>
        <w:spacing w:after="0" w:line="94" w:lineRule="exact"/>
        <w:rPr>
          <w:sz w:val="20"/>
          <w:szCs w:val="20"/>
          <w:color w:val="auto"/>
        </w:rPr>
      </w:pPr>
    </w:p>
    <w:p>
      <w:pPr>
        <w:ind w:left="1480" w:right="420" w:hanging="559"/>
        <w:spacing w:after="0" w:line="277" w:lineRule="auto"/>
        <w:tabs>
          <w:tab w:leader="none" w:pos="14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any purported termination of Executive’s employment by the Company for Cause during a Standstill Period which is not effected in compliance with paragraph (c) above; or</w:t>
      </w:r>
    </w:p>
    <w:p>
      <w:pPr>
        <w:spacing w:after="0" w:line="76" w:lineRule="exact"/>
        <w:rPr>
          <w:sz w:val="20"/>
          <w:szCs w:val="20"/>
          <w:color w:val="auto"/>
        </w:rPr>
      </w:pPr>
    </w:p>
    <w:p>
      <w:pPr>
        <w:ind w:left="1480" w:right="500" w:hanging="567"/>
        <w:spacing w:after="0" w:line="277"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relocation of Executive of more than forty (40) miles from the place where Executive was located at the time of the Change of Control; or</w:t>
      </w:r>
    </w:p>
    <w:p>
      <w:pPr>
        <w:spacing w:after="0" w:line="7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any other breach by the Company of any provision of this Agreement; 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33" w:name="page134"/>
    <w:bookmarkEnd w:id="133"/>
    <w:p>
      <w:pPr>
        <w:ind w:left="1480" w:right="220" w:hanging="559"/>
        <w:spacing w:after="0" w:line="302" w:lineRule="auto"/>
        <w:tabs>
          <w:tab w:leader="none" w:pos="14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w:t>
        <w:tab/>
        <w:t>the Company sells or otherwise disposes of, in one transaction or a series of related transactions, assets or earning power aggregating more than 30% of the assets (taken at asset value as stated on the books of the Company determined in accordance with generally accepted accounting principles consistently applied) or earning power of the Company (on an individual basis) or the Company and its Subsidiaries (on a consolidated basis) to any other Person or Persons (as those terms are defined in Exhibit B).</w:t>
      </w:r>
    </w:p>
    <w:p>
      <w:pPr>
        <w:spacing w:after="0" w:line="154" w:lineRule="exact"/>
        <w:rPr>
          <w:sz w:val="20"/>
          <w:szCs w:val="20"/>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“Committee” means the Executive Compensation Committee of the Board.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“Committee Resolution” means the designation of competitive businesses most recently adopted by the Committee at or prior to the date of</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execution of this Agreement for purposes of the restrictive covenants applicable to Executive, whether or not such designation also applies to other employees of the Company generally.</w:t>
      </w:r>
    </w:p>
    <w:p>
      <w:pPr>
        <w:spacing w:after="0" w:line="183" w:lineRule="exact"/>
        <w:rPr>
          <w:rFonts w:ascii="Arial" w:cs="Arial" w:eastAsia="Arial" w:hAnsi="Arial"/>
          <w:sz w:val="17"/>
          <w:szCs w:val="17"/>
          <w:color w:val="auto"/>
        </w:rPr>
      </w:pPr>
    </w:p>
    <w:p>
      <w:pPr>
        <w:ind w:right="20" w:firstLine="464"/>
        <w:spacing w:after="0" w:line="255" w:lineRule="auto"/>
        <w:tabs>
          <w:tab w:leader="none" w:pos="6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“Constructive Termination” means a termination of employment by Executive occurring within one hundred twenty (120) days of a requirement by the Company that Executive relocate, without his prior written consent, more than forty (40) miles from the current corporate headquarters of the Company, but only if (i) Executive shall have given to the Company notice of intent to terminate within sixty (60) days following notice to Executive of such required relocation and (ii) the Company shall have failed, within thirty (30) days thereafter, to withdraw its notice requiring Executive to relocate. For purposes of the preceding sentence, the one hundred twenty (120) day period shall commence upon the end of the thirty (30)-day cure period, if the Company fails to cure within such period.</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“Date of Termination” means the date on which Executive’s employment terminates.</w:t>
      </w:r>
    </w:p>
    <w:p>
      <w:pPr>
        <w:spacing w:after="0" w:line="225" w:lineRule="exact"/>
        <w:rPr>
          <w:rFonts w:ascii="Arial" w:cs="Arial" w:eastAsia="Arial" w:hAnsi="Arial"/>
          <w:sz w:val="18"/>
          <w:szCs w:val="18"/>
          <w:color w:val="auto"/>
        </w:rPr>
      </w:pPr>
    </w:p>
    <w:p>
      <w:pPr>
        <w:jc w:val="both"/>
        <w:ind w:firstLine="464"/>
        <w:spacing w:after="0" w:line="264" w:lineRule="auto"/>
        <w:tabs>
          <w:tab w:leader="none" w:pos="6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“Disabled”/“Disability” means a medically determinable physical or mental impairment that (i) can be expected either to result in death or to last for a continuous period of not less than six months and (ii) causes Executive to be unable to perform the duties of his position of employment or any substantially similar position of employment to the reasonable satisfaction of the Committee.</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“End Date” has the meaning set forth in Section 1 of the Agreement.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“ESP” means the Company’s Executive Savings Plan, as it may be amended and including any successor.</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“LRPIP”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134" w:name="page135"/>
    <w:bookmarkEnd w:id="134"/>
    <w:p>
      <w:pPr>
        <w:ind w:right="20" w:firstLine="464"/>
        <w:spacing w:after="0" w:line="276" w:lineRule="auto"/>
        <w:tabs>
          <w:tab w:leader="none" w:pos="681"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from Service” shall mean a “separation from service” (as that term is defined at Section 1.409A-1(h) of the Treasury Regulations under Section 409A) from the Company and from all other corporations and trades or businesses, if any, that would be treated as a single “service recipient” with the Company under Section 1.409A-1(h)(3) of such Treasury Regulations. The Committee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part of the Agreement.</w:t>
      </w:r>
    </w:p>
    <w:p>
      <w:pPr>
        <w:spacing w:after="0" w:line="172" w:lineRule="exact"/>
        <w:rPr>
          <w:rFonts w:ascii="Arial" w:cs="Arial" w:eastAsia="Arial" w:hAnsi="Arial"/>
          <w:sz w:val="17"/>
          <w:szCs w:val="17"/>
          <w:color w:val="auto"/>
        </w:rPr>
      </w:pPr>
    </w:p>
    <w:p>
      <w:pPr>
        <w:ind w:left="700" w:hanging="236"/>
        <w:spacing w:after="0"/>
        <w:tabs>
          <w:tab w:leader="none" w:pos="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“Specified Employee” shall mean an individual determined by the Committee or its delegate to be a specified employee as defined in subsection (a)</w:t>
      </w:r>
    </w:p>
    <w:p>
      <w:pPr>
        <w:spacing w:after="0" w:line="46"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(2)(B)(i) of Section 409A. The Committee may, but need not, elect in writing, subject to the applicable limitations under Section 409A, any of the special elective rules prescribed in Section 1.409A-1(i) of the Treasury Regulations for purposes of determining “specified employee” status. Any such written election shall be deemed part of the Agreement.</w:t>
      </w:r>
    </w:p>
    <w:p>
      <w:pPr>
        <w:spacing w:after="0" w:line="190" w:lineRule="exact"/>
        <w:rPr>
          <w:rFonts w:ascii="Arial" w:cs="Arial" w:eastAsia="Arial" w:hAnsi="Arial"/>
          <w:sz w:val="16"/>
          <w:szCs w:val="16"/>
          <w:color w:val="auto"/>
        </w:rPr>
      </w:pPr>
    </w:p>
    <w:p>
      <w:pPr>
        <w:ind w:right="60" w:firstLine="464"/>
        <w:spacing w:after="0" w:line="277" w:lineRule="auto"/>
        <w:tabs>
          <w:tab w:leader="none" w:pos="6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“Standstill Period” means the period commencing on the date of a Change of Control and continuing until the close of business on the last business day of the 24th calendar month following such Change of Control.</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“Stock Incentive Plan” has the meaning set forth in Section 3(b) of the Agreement.</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“Subsidiary” means any corporation in which the Company owns, directly or indirectly, 50% or more of the total combined voting power of all classes of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74"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Definition of “Change of Control”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shall mean the occurrence of any one of the following events:</w:t>
      </w:r>
    </w:p>
    <w:p>
      <w:pPr>
        <w:spacing w:after="0" w:line="117" w:lineRule="exact"/>
        <w:rPr>
          <w:sz w:val="20"/>
          <w:szCs w:val="20"/>
          <w:color w:val="auto"/>
        </w:rPr>
      </w:pPr>
    </w:p>
    <w:p>
      <w:pPr>
        <w:ind w:right="80" w:firstLine="464"/>
        <w:spacing w:after="0" w:line="297" w:lineRule="auto"/>
        <w:tabs>
          <w:tab w:leader="none" w:pos="701"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there occurs a change of control of the Company of a nature that would be required to be reported in response to Item 5.01 of the Current Report on Form 8-K (as amended in 2004) pursuant to Section 13 or 15(d) of the Securities Exchange Act of 1934 (the “Exchange Act”) or in any other filing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transaction shall be deemed to be a Change of Control (i) if the person or each member of a group of persons acquiring control is excluded from the definition of the term “Person” hereunder or (ii) unless the Committee shall otherwise determine prior to such occurrence, if Executive or an Executive Related Party is the Person or a member of a group constituting the Person acquiring control; or</w:t>
      </w:r>
    </w:p>
    <w:p>
      <w:pPr>
        <w:spacing w:after="0" w:line="50" w:lineRule="exact"/>
        <w:rPr>
          <w:rFonts w:ascii="Arial" w:cs="Arial" w:eastAsia="Arial" w:hAnsi="Arial"/>
          <w:sz w:val="16"/>
          <w:szCs w:val="16"/>
          <w:color w:val="auto"/>
        </w:rPr>
      </w:pPr>
    </w:p>
    <w:p>
      <w:pPr>
        <w:ind w:right="80" w:firstLine="464"/>
        <w:spacing w:after="0" w:line="255" w:lineRule="auto"/>
        <w:tabs>
          <w:tab w:leader="none" w:pos="711"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Person other than the Company, any wholly-owned subsidiary of the Company, or any employee benefit plan of the Company or such a subsidiary becomes the owner of 20% or more of the Common Stock and thereafter individuals who were not directors of the Company prior to the date such Person became a 20% owner are elected as directors pursuant to an arrangement or understanding with, or upon the request of or nomination by, such Person and constitute a majority of the Board; provided, however, that unless the Committee shall otherwise determine prior to the acquisition of such 20% ownership, such acquisition of ownership shall not constitute a Change of Control if Executive or an Executive Related Party is the Person or a member of a group constituting the Person acquiring such ownership; or</w:t>
      </w:r>
    </w:p>
    <w:p>
      <w:pPr>
        <w:spacing w:after="0" w:line="85" w:lineRule="exact"/>
        <w:rPr>
          <w:rFonts w:ascii="Arial" w:cs="Arial" w:eastAsia="Arial" w:hAnsi="Arial"/>
          <w:sz w:val="18"/>
          <w:szCs w:val="18"/>
          <w:color w:val="auto"/>
        </w:rPr>
      </w:pPr>
    </w:p>
    <w:p>
      <w:pPr>
        <w:ind w:firstLine="464"/>
        <w:spacing w:after="0" w:line="286" w:lineRule="auto"/>
        <w:tabs>
          <w:tab w:leader="none" w:pos="701"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there occurs any solicitation or series of solicitations of proxies by or on behalf of any Person other than the Board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 majority of the Board; or</w:t>
      </w:r>
    </w:p>
    <w:p>
      <w:pPr>
        <w:spacing w:after="0" w:line="57" w:lineRule="exact"/>
        <w:rPr>
          <w:rFonts w:ascii="Arial" w:cs="Arial" w:eastAsia="Arial" w:hAnsi="Arial"/>
          <w:sz w:val="17"/>
          <w:szCs w:val="17"/>
          <w:color w:val="auto"/>
        </w:rPr>
      </w:pPr>
    </w:p>
    <w:p>
      <w:pPr>
        <w:ind w:right="180" w:firstLine="464"/>
        <w:spacing w:after="0" w:line="291" w:lineRule="auto"/>
        <w:tabs>
          <w:tab w:leader="none" w:pos="711"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Company executes an agreement of acquisition, merger or consolidation which contemplates that (i) after the effective date provided for in the agreement, all or substantially all of the business and/or assets of the Company shall be owned, leased or otherwise controlled by another Person and</w:t>
      </w:r>
    </w:p>
    <w:p>
      <w:pPr>
        <w:ind w:firstLine="8"/>
        <w:spacing w:after="0" w:line="287" w:lineRule="auto"/>
        <w:tabs>
          <w:tab w:leader="none" w:pos="2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individuals who are directors of the Company when such agreement is executed shall not constitute a majority of the board of directors of the survivor or successor entity immediately after the effective date provided for in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unless otherwise determined by the Committee, no transaction shall constitute a Change of Control if, immediately after such transaction, Executive or any Executive Related Party shall own equity securities of any surviving corporation (“Surviving Entity”) having a fair value as a percentage of the fair value of the equity securities of such Surviving Entity greater than 125% of the fair value of the equity securities of the Company owned by Executive and any Executive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this paragraph (d), a Change of Control shall not be deemed to have taken place unless and until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36" w:name="page137"/>
    <w:bookmarkEnd w:id="136"/>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or consolidation contemplated by such agreement is consummated (but immediately prior to the consummation of such acquisition, merger, or consolidation, a Change of Control shall be deemed to have occurred on the date of execution of such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this Exhibit B the following terms have the meanings set forth below:</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shall expressly so determine in any future transaction or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Person shall be deemed to be the “owner” of any Common Stock:</w:t>
      </w:r>
    </w:p>
    <w:p>
      <w:pPr>
        <w:spacing w:after="0" w:line="117" w:lineRule="exact"/>
        <w:rPr>
          <w:sz w:val="20"/>
          <w:szCs w:val="20"/>
          <w:color w:val="auto"/>
        </w:rPr>
      </w:pPr>
    </w:p>
    <w:p>
      <w:pPr>
        <w:ind w:left="460" w:right="240" w:firstLine="443"/>
        <w:spacing w:after="0" w:line="277" w:lineRule="auto"/>
        <w:tabs>
          <w:tab w:leader="none" w:pos="11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as such term is defined in Rule 13d-3 promulgated by the Securities and Exchange Commission (the “Commission”) under the Exchange Act, as in effect on March 1, 1989; or</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63"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for purposes of Section 16 of the Exchange Act and the rules of the Commission promulgated thereunder, as in effect on March 1, 1989; or</w:t>
      </w:r>
    </w:p>
    <w:p>
      <w:pPr>
        <w:spacing w:after="0" w:line="62" w:lineRule="exact"/>
        <w:rPr>
          <w:rFonts w:ascii="Arial" w:cs="Arial" w:eastAsia="Arial" w:hAnsi="Arial"/>
          <w:sz w:val="18"/>
          <w:szCs w:val="18"/>
          <w:color w:val="auto"/>
        </w:rPr>
      </w:pPr>
    </w:p>
    <w:p>
      <w:pPr>
        <w:ind w:left="460" w:firstLine="443"/>
        <w:spacing w:after="0" w:line="312" w:lineRule="auto"/>
        <w:tabs>
          <w:tab w:leader="none" w:pos="1213"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shall have the meaning used in Section 13(d) of the Exchange Act, as in effect on March 1, 1989.</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 “Executive Related Party” shall mean any affiliate or associate of Executive other than the Company or a majority-owned subsidiary of the Company. The terms “affiliate” and “associate” shall have the meanings ascribed thereto in Rule 12b-2 under the Exchange Act (the term “registrant” in the definition of “associate” meaning, in this case, the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74" w:right="33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of Control Benefits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Benefits Upon a Change of Control Termination</w:t>
      </w:r>
      <w:r>
        <w:rPr>
          <w:rFonts w:ascii="Arial" w:cs="Arial" w:eastAsia="Arial" w:hAnsi="Arial"/>
          <w:sz w:val="18"/>
          <w:szCs w:val="18"/>
          <w:color w:val="auto"/>
        </w:rPr>
        <w:t>. Executive shall be entitled to the payments and benefits described in this Section C.1 in the event of a Change of Control Termination.</w:t>
      </w:r>
    </w:p>
    <w:p>
      <w:pPr>
        <w:spacing w:after="0" w:line="170" w:lineRule="exact"/>
        <w:rPr>
          <w:sz w:val="20"/>
          <w:szCs w:val="20"/>
          <w:color w:val="auto"/>
        </w:rPr>
      </w:pPr>
    </w:p>
    <w:p>
      <w:pPr>
        <w:ind w:right="20" w:firstLine="464"/>
        <w:spacing w:after="0" w:line="285" w:lineRule="auto"/>
        <w:tabs>
          <w:tab w:leader="none" w:pos="70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shall pay to Executive (1) as hereinafter provided, an amount equal to the sum of (A) two times his Base Salary for one year at the rate in effect immediately prior to the Date of Termination or the Change of Control, whichever is higher, plus (B) two times the target award opportunity most recently granted to Executive prior to the Change of Control under MIP, which opportunity (if expressed as a percentage of Base Salary) shall be determined by reference to Executive’s Base Salary for one year at the rate in effect immediately prior to the Date of Termination or the Change of Control, whichever is higher; plus (2) within thirty (30) days following the Change of Control Termination, the accrued and unpaid portion of his Base Salary through the Date of Termination, subject to the following. If Executive is eligible for long-term disability compensation benefits under the Company’s long-term disability plan, the amount payable under (1)(A) above shall be reduced by the annual long-term disability compensation benefit for which Executive is eligible under such plan for the two-year period over which the amount payable under (1)(A) above is measured. To avoid duplication of benefits, if for any period Executive receives long-term disability compensation payments under a long-term disability plan of the Company as well as payments under the first sentence of this subsection (a), and if the sum of such payments for any period exceeds the payment for such period to which Executive is entitled under the first sentence of this subsection (a) (determined without regard to the second sentence of this subsection (a)), Executive shall promptly pay such excess in reimbursement to the Company. If the Change of Control Termination occurs in connection with a Change of Control that is also a Change in Control Event, the amount described under (1) above shall be paid in a lump sum on the date that is six (6) months and one day following the date of the Change of Control Termination (or, if earlier, the date of Executive’s death), unless Executive is not a Specified Employee on the relevant date, in which case the amount described under (1) above shall instead be paid thirty (30) days following the date of the Change of Control Termination. If the Change of Control Termination occurs more than two years after a Change in Control Event or in connection with a Change of Control that is not a Change in Control Event, the amount described under (1) above shall be paid, except as otherwise required by Section 11 of the Agreement, in the same manner as Base Salary continuation would have been paid in the case of a termination by the Company other than for Cause under Section 5(a).</w:t>
      </w:r>
    </w:p>
    <w:p>
      <w:pPr>
        <w:spacing w:after="0" w:line="172" w:lineRule="exact"/>
        <w:rPr>
          <w:rFonts w:ascii="Arial" w:cs="Arial" w:eastAsia="Arial" w:hAnsi="Arial"/>
          <w:sz w:val="16"/>
          <w:szCs w:val="16"/>
          <w:color w:val="auto"/>
        </w:rPr>
      </w:pPr>
    </w:p>
    <w:p>
      <w:pPr>
        <w:ind w:firstLine="464"/>
        <w:spacing w:after="0" w:line="276" w:lineRule="auto"/>
        <w:tabs>
          <w:tab w:leader="none" w:pos="7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Until the second anniversary of the Date of Termination, the Company shall maintain in full force and effect for the continued benefit of Executive and his family all life insurance and medical insurance plans and programs in which Executive was entitled to participate immediately prior to the Change of Control; provided, that Executive’s continued participation is possible under the general terms and provisions of such plans and programs. In the event that Executive is ineligible to participate in such plans or programs, or if the Company in its discretion determines that continued participation on such basis could give rise to a tax or penalty, the Company shall provide for a comparable alternative arrangement (which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138" w:name="page139"/>
    <w:bookmarkEnd w:id="138"/>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consist of a cash payment) in lieu of continued coverage. Notwithstanding the foregoing, the Company’s obligations hereunder with respect to life or medical coverage or benefits shall be deemed satisfied to the extent (but only to the extent) of any such coverage or benefits provided by another employer.</w:t>
      </w:r>
    </w:p>
    <w:p>
      <w:pPr>
        <w:spacing w:after="0" w:line="124" w:lineRule="exact"/>
        <w:rPr>
          <w:sz w:val="20"/>
          <w:szCs w:val="20"/>
          <w:color w:val="auto"/>
        </w:rPr>
      </w:pPr>
    </w:p>
    <w:p>
      <w:pPr>
        <w:ind w:right="60" w:firstLine="464"/>
        <w:spacing w:after="0" w:line="272" w:lineRule="auto"/>
        <w:tabs>
          <w:tab w:leader="none" w:pos="7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On the date that is six (6) months and one day following the date of the Change of Control Termination (or, if earlier, the date of Executive’s death), the Company shall pay to Executive or his estate, in lieu of any automobile allowance, the present value of the automobile allowance (at the rate in effect prior to the Change of Control) it would have paid for the two years following the Change of Control Termination (or until the earlier date of Executive’s death, if Executive dies prior to the date of the payment under this Section C.1(c));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Change of Control is not a Change of Control Event, such amount shall instead be paid in the same manner as Executive’s automobile allowance would have been paid in the case of a termination by the Company other than for Cause under Section 5(a); </w:t>
      </w:r>
      <w:r>
        <w:rPr>
          <w:rFonts w:ascii="Arial" w:cs="Arial" w:eastAsia="Arial" w:hAnsi="Arial"/>
          <w:sz w:val="17"/>
          <w:szCs w:val="17"/>
          <w:i w:val="1"/>
          <w:iCs w:val="1"/>
          <w:color w:val="auto"/>
        </w:rPr>
        <w:t>and further provided</w:t>
      </w:r>
      <w:r>
        <w:rPr>
          <w:rFonts w:ascii="Arial" w:cs="Arial" w:eastAsia="Arial" w:hAnsi="Arial"/>
          <w:sz w:val="17"/>
          <w:szCs w:val="17"/>
          <w:color w:val="auto"/>
        </w:rPr>
        <w:t>, that if Executive is not a Specified Employee on the relevant date, any lump sum payable under this Section C.1(c) shall instead by paid within thirty (30) days following the Change of Control Termination.</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C.2. </w:t>
      </w:r>
      <w:r>
        <w:rPr>
          <w:rFonts w:ascii="Arial" w:cs="Arial" w:eastAsia="Arial" w:hAnsi="Arial"/>
          <w:sz w:val="16"/>
          <w:szCs w:val="16"/>
          <w:u w:val="single" w:color="auto"/>
          <w:color w:val="auto"/>
        </w:rPr>
        <w:t>Payment Adjustment</w:t>
      </w:r>
      <w:r>
        <w:rPr>
          <w:rFonts w:ascii="Arial" w:cs="Arial" w:eastAsia="Arial" w:hAnsi="Arial"/>
          <w:sz w:val="16"/>
          <w:szCs w:val="16"/>
          <w:color w:val="auto"/>
        </w:rPr>
        <w:t xml:space="preserve">. Payments under this Exhibit C shall be made without regard to whether the deductibility of such payments (or any other payments or benefits to or for the benefit of Executive) would be limited or precluded by Section 280G of the Code (“Section 280G”) and without regard to whether such payments (or any other payments or benefits) would subject Executive to the federal excise tax levied on certain “excess parachute payments” under Section 4999 of the Code (the “Excise Tax”); </w:t>
      </w:r>
      <w:r>
        <w:rPr>
          <w:rFonts w:ascii="Arial" w:cs="Arial" w:eastAsia="Arial" w:hAnsi="Arial"/>
          <w:sz w:val="16"/>
          <w:szCs w:val="16"/>
          <w:i w:val="1"/>
          <w:iCs w:val="1"/>
          <w:color w:val="auto"/>
        </w:rPr>
        <w:t>provided</w:t>
      </w:r>
      <w:r>
        <w:rPr>
          <w:rFonts w:ascii="Arial" w:cs="Arial" w:eastAsia="Arial" w:hAnsi="Arial"/>
          <w:sz w:val="16"/>
          <w:szCs w:val="16"/>
          <w:color w:val="auto"/>
        </w:rPr>
        <w:t>, that if the total of all payments to or for the benefit of Executive, after reduction for all federal taxes (including the excise tax under Section 4999 of the Code) with respect to such payments (“Executive’s total after-tax payments”), would be increased by the limitation or elimination of any payment under Section C.1 or Section C.3 of this Exhibit, or by an adjustment to the vesting of any equity-based or other awards that would otherwise vest on an accelerated basis in connection with the Change of Control, amounts payable under Section C.1 and Section C.3 of this Exhibit shall be reduced and the vesting of equity-based and other awards shall be adjusted to the extent, and only to the extent, necessary to maximize Executive’s total after-tax payments. Any reduction in payments or adjustment of vesting required by the preceding sentence shall be applied, first, against any benefits payable under Section C.1(a)(1) of this Exhibit, then against any benefits payable under Section C.3 of this Exhibit, then against the vesting of any performance-based restricted stock awards that would otherwise have vested in connection with the Change of Control, then against the vesting of any other equity-based awards, if any, that would otherwise have vested in connection with the Change of Control, and finally against all other payments, if any. The determination as to whether Executive’s payments and benefits include “excess parachute payments” and, if so, the amount and ordering of any reductions in payment required by the provisions of this Section C.2 shall be made at the Company’s expense by PricewaterhouseCoopers LLP or by such other certified public accounting firm as the Committee may designate prior to a Change of Control (the “accounting firm”). In the event of any underpayment or overpayment hereunder, as determined by the accounting firm, the amount of such underpayment or overpayment shall forthwith and in all events within thirty (30) days of such determination be paid to Executive or refunded to the Company, as the case may be, with interest at the applicable Federal rate provided for in Section 7872(f)(2) of the Code.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39" w:name="page140"/>
    <w:bookmarkEnd w:id="139"/>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C.3. </w:t>
      </w:r>
      <w:r>
        <w:rPr>
          <w:rFonts w:ascii="Arial" w:cs="Arial" w:eastAsia="Arial" w:hAnsi="Arial"/>
          <w:sz w:val="17"/>
          <w:szCs w:val="17"/>
          <w:u w:val="single" w:color="auto"/>
          <w:color w:val="auto"/>
        </w:rPr>
        <w:t>Settlement of MIP and LRPIP</w:t>
      </w:r>
      <w:r>
        <w:rPr>
          <w:rFonts w:ascii="Arial" w:cs="Arial" w:eastAsia="Arial" w:hAnsi="Arial"/>
          <w:sz w:val="17"/>
          <w:szCs w:val="17"/>
          <w:color w:val="auto"/>
        </w:rPr>
        <w:t>. Upon the occurrence of a Change of Control, Executive’s interest in MIP and LRPIP shall be settled automatically by the payment to Executive, in a lump sum within thirty (30) days following the Change of Control, of an amount equal to the sum of Executive’s target award opportunities with respect to each award granted to Executive under MIP and LRPIP for the fiscal year (in the case of MIP), and any performance cycle (in the case of LRPIP), that begins before and ends after the date of the Change of Control; provided, that for purposes of this Section C.3, unless Executive has been granted new award opportunities under MIP for such fiscal year and under LRPIP for the performance cycle commencing with such fiscal year, Executive’s most recent target award opportunities under MIP and LRPIP shall be deemed to have been granted to Executive under MIP and LRPIP with respect to such fiscal year and such performance cycle, respectively.</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Other Benefits</w:t>
      </w:r>
      <w:r>
        <w:rPr>
          <w:rFonts w:ascii="Arial" w:cs="Arial" w:eastAsia="Arial" w:hAnsi="Arial"/>
          <w:sz w:val="18"/>
          <w:szCs w:val="18"/>
          <w:color w:val="auto"/>
        </w:rPr>
        <w:t>. In addition to the amounts that may be payable under Sections C.1 or C.3 (but without duplication of any payments or benefits to which Executive may be entitled under any provision of this Agreement, and subject to Section C.2), upon and following a Change of Control Executive or his legal representative shall be entitled to: (i) his Stock Incentive Plan benefits, if any, under Section 3(b) (Existing Awards) and Section 3(c) (New Stock Awards); and (ii) any unpaid amounts to which Executive is entitled under MIP with respect to any fiscal year completed prior to the Change of Control, or under LRPIP with respect to any performance cycle completed prior to the Change of Control; and (iii) the payment of his vested benefits under the plans described in Section 3(f) (Qualified Plans; Other Deferred Compensation Plans), in each case, in accordance with and subject to the terms of the applicable plan, program or arrangement.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C.5. </w:t>
      </w:r>
      <w:r>
        <w:rPr>
          <w:rFonts w:ascii="Arial" w:cs="Arial" w:eastAsia="Arial" w:hAnsi="Arial"/>
          <w:sz w:val="18"/>
          <w:szCs w:val="18"/>
          <w:u w:val="single" w:color="auto"/>
          <w:color w:val="auto"/>
        </w:rPr>
        <w:t>Noncompetition; No Mitigation of Damages; etc</w:t>
      </w:r>
      <w:r>
        <w:rPr>
          <w:rFonts w:ascii="Arial" w:cs="Arial" w:eastAsia="Arial" w:hAnsi="Arial"/>
          <w:sz w:val="18"/>
          <w:szCs w:val="18"/>
          <w:color w:val="auto"/>
        </w:rPr>
        <w:t>.</w:t>
      </w:r>
    </w:p>
    <w:p>
      <w:pPr>
        <w:spacing w:after="0" w:line="225" w:lineRule="exact"/>
        <w:rPr>
          <w:sz w:val="20"/>
          <w:szCs w:val="20"/>
          <w:color w:val="auto"/>
        </w:rPr>
      </w:pPr>
    </w:p>
    <w:p>
      <w:pPr>
        <w:ind w:right="620" w:firstLine="464"/>
        <w:spacing w:after="0" w:line="308" w:lineRule="auto"/>
        <w:tabs>
          <w:tab w:leader="none" w:pos="701"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Upon a Change of Control, any agreement by Executive not to engage in competition with the Company subsequent to the termination of his employment, whether contained in an employment agreement or other agreement, shall no longer be effective.</w:t>
      </w:r>
    </w:p>
    <w:p>
      <w:pPr>
        <w:spacing w:after="0" w:line="146"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Executive’s benefits under this Exhibit C shall be considered severance pay in consideration of his past service and his continued service from the date of this Agreement, and his entitlement thereto shall neither be governed by any duty to mitigate his damages by seeking further employment nor offset by any compensation which he may receive from future employment.</w:t>
      </w:r>
    </w:p>
    <w:p>
      <w:pPr>
        <w:spacing w:after="0" w:line="181" w:lineRule="exact"/>
        <w:rPr>
          <w:rFonts w:ascii="Arial" w:cs="Arial" w:eastAsia="Arial" w:hAnsi="Arial"/>
          <w:sz w:val="18"/>
          <w:szCs w:val="18"/>
          <w:color w:val="auto"/>
        </w:rPr>
      </w:pPr>
    </w:p>
    <w:p>
      <w:pPr>
        <w:ind w:firstLine="464"/>
        <w:spacing w:after="0" w:line="255" w:lineRule="auto"/>
        <w:tabs>
          <w:tab w:leader="none" w:pos="70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Company shall pay all legal fees and expenses, including but not limited to counsel fees, reasonably incurred by Executive in contesting or disputing that the termination of his employment during a Standstill Period is for Cause or other than for good reason (as defined in the definition of Change of Control Termination) or obtaining any right or benefit to which Executive is entitled under this Agreement following a Change of Control. Any amount payable under this Agreement that is not paid when due shall accrue interest at the prime rate as from time to time in effect at Bank of America, or its successor, until paid in full. All payments and reimbursements under this Section shall be made consistent with the applicable requirements of Section 409A.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140" w:name="page141"/>
    <w:bookmarkEnd w:id="140"/>
    <w:p>
      <w:pPr>
        <w:ind w:left="-120" w:firstLine="464"/>
        <w:spacing w:after="0" w:line="277" w:lineRule="auto"/>
        <w:tabs>
          <w:tab w:leader="none" w:pos="59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w:t>
      </w:r>
      <w:r>
        <w:rPr>
          <w:rFonts w:ascii="Arial" w:cs="Arial" w:eastAsia="Arial" w:hAnsi="Arial"/>
          <w:sz w:val="18"/>
          <w:szCs w:val="18"/>
          <w:color w:val="auto"/>
        </w:rPr>
        <w:t>. During a Standstill Period, Executive’s employment may be terminated by the Company only upon thirty (30) days’ written notice to Executive.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00"/>
          </w:cols>
          <w:pgMar w:left="360" w:top="27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FEBRUARY 2, 2018</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BETWEEN KENNETH CANESTRARI AND THE TJX COMPANIES, INC.</w:t>
      </w:r>
    </w:p>
    <w:p>
      <w:pPr>
        <w:sectPr>
          <w:pgSz w:w="11900" w:h="16838" w:orient="portrait"/>
          <w:cols w:equalWidth="0" w:num="1">
            <w:col w:w="10220"/>
          </w:cols>
          <w:pgMar w:left="1440" w:top="12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INDEX</w:t>
            </w:r>
          </w:p>
        </w:tc>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660" w:type="dxa"/>
            <w:vAlign w:val="bottom"/>
            <w:gridSpan w:val="3"/>
            <w:vMerge w:val="restart"/>
          </w:tcPr>
          <w:p>
            <w:pPr>
              <w:ind w:left="100"/>
              <w:spacing w:after="0"/>
              <w:rPr>
                <w:sz w:val="20"/>
                <w:szCs w:val="20"/>
                <w:color w:val="auto"/>
              </w:rPr>
            </w:pPr>
            <w:r>
              <w:rPr>
                <w:rFonts w:ascii="Arial" w:cs="Arial" w:eastAsia="Arial" w:hAnsi="Arial"/>
                <w:sz w:val="18"/>
                <w:szCs w:val="18"/>
                <w:color w:val="auto"/>
              </w:rPr>
              <w:t>EFFECTIVE DATE; TERM OF AGREEMENT.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0660" w:type="dxa"/>
            <w:vAlign w:val="bottom"/>
            <w:gridSpan w:val="3"/>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SCOPE OF EMPLOYMENT.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COMPENSATION AND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IN GENERAL.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BENEFITS UPON NON-VOLUNTARY TERMINATION OF EMPLOYMENT OR UPON EXPIRATION OF THE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OTHER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AGREEMENT NOT TO SOLICIT OR COMPETE.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ASSIGNMENT.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WITHHOLDING; CERTAIN TAX MATTERS.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RELEASE.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ARBITRATION.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AND SEPARATION FROM SERVICE.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WAIVER.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45"/>
        </w:trPr>
        <w:tc>
          <w:tcPr>
            <w:tcW w:w="11000" w:type="dxa"/>
            <w:vAlign w:val="bottom"/>
            <w:gridSpan w:val="4"/>
          </w:tcPr>
          <w:p>
            <w:pPr>
              <w:spacing w:after="0"/>
              <w:rPr>
                <w:sz w:val="20"/>
                <w:szCs w:val="20"/>
                <w:color w:val="auto"/>
              </w:rPr>
            </w:pPr>
            <w:r>
              <w:rPr>
                <w:rFonts w:ascii="Arial" w:cs="Arial" w:eastAsia="Arial" w:hAnsi="Arial"/>
                <w:sz w:val="18"/>
                <w:szCs w:val="18"/>
                <w:color w:val="auto"/>
              </w:rPr>
              <w:t>EXHIBIT A Certain 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6"/>
        </w:trPr>
        <w:tc>
          <w:tcPr>
            <w:tcW w:w="11000" w:type="dxa"/>
            <w:vAlign w:val="bottom"/>
            <w:gridSpan w:val="4"/>
          </w:tcPr>
          <w:p>
            <w:pPr>
              <w:spacing w:after="0"/>
              <w:rPr>
                <w:sz w:val="20"/>
                <w:szCs w:val="20"/>
                <w:color w:val="auto"/>
              </w:rPr>
            </w:pPr>
            <w:r>
              <w:rPr>
                <w:rFonts w:ascii="Arial" w:cs="Arial" w:eastAsia="Arial" w:hAnsi="Arial"/>
                <w:sz w:val="18"/>
                <w:szCs w:val="18"/>
                <w:color w:val="auto"/>
              </w:rPr>
              <w:t>EXHIBIT B Definition of “Change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30"/>
        </w:trPr>
        <w:tc>
          <w:tcPr>
            <w:tcW w:w="11000" w:type="dxa"/>
            <w:vAlign w:val="bottom"/>
            <w:gridSpan w:val="4"/>
          </w:tcPr>
          <w:p>
            <w:pPr>
              <w:spacing w:after="0"/>
              <w:rPr>
                <w:sz w:val="20"/>
                <w:szCs w:val="20"/>
                <w:color w:val="auto"/>
              </w:rPr>
            </w:pPr>
            <w:r>
              <w:rPr>
                <w:rFonts w:ascii="Arial" w:cs="Arial" w:eastAsia="Arial" w:hAnsi="Arial"/>
                <w:sz w:val="18"/>
                <w:szCs w:val="18"/>
                <w:color w:val="auto"/>
              </w:rPr>
              <w:t>EXHIBIT C Change of Control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KENNETH CANESTRARI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AGREEMENT dated February 2, 2018 between Kenneth Canestrari (“Executive”) and The TJX Companies, Inc., a Delaware corporation whose principal office is in Framingham, Massachusetts 01701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and Executive intend that Executive shall be employed by the Company on the terms set forth below and, to that end, deem it desirable and appropriate to enter into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in consideration of the mutual agreements hereinafter contained, agree as follows:</w:t>
      </w:r>
    </w:p>
    <w:p>
      <w:pPr>
        <w:spacing w:after="0" w:line="117" w:lineRule="exact"/>
        <w:rPr>
          <w:sz w:val="20"/>
          <w:szCs w:val="20"/>
          <w:color w:val="auto"/>
        </w:rPr>
      </w:pPr>
    </w:p>
    <w:p>
      <w:pPr>
        <w:ind w:right="60" w:firstLine="464"/>
        <w:spacing w:after="0" w:line="271" w:lineRule="auto"/>
        <w:tabs>
          <w:tab w:leader="none" w:pos="77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EFFECTIVE DATE; TERM OF AGREEMENT. This Agreement shall become effective on February 4, 2018 (the “Effective Date”). Upon effectiveness of this Agreement on the Effective Date, the Employment Agreement between the Company and Executive dated as of September 29, 2014 (the “Prior Agreement”) shall terminate and be of no further force and effect. Prior to the Effective Date, the Prior Agreement shall remain in full force and effect, except that execution of this Agreement shall constitute, for purposes of the first sentence of Section 5(b) of the Prior Agreement, a mutual agreement by the parties to continue Executive’s employment beyond February 3, 2018. Subject to earlier termination as provided herein, Executive’s employment hereunder shall continue on the terms provided herein until January 30, 2021 (the “End Date”). The period of Executive’s employment by the Company from and after the Effective Date, whether under this Agreement or otherwise, is referred to in this Agreement as the “Employment Period.” This Agreement is intended to comply with the applicable requirements of Section 409A and shall be construed accordingly.</w:t>
      </w:r>
    </w:p>
    <w:p>
      <w:pPr>
        <w:spacing w:after="0" w:line="70" w:lineRule="exact"/>
        <w:rPr>
          <w:rFonts w:ascii="Arial" w:cs="Arial" w:eastAsia="Arial" w:hAnsi="Arial"/>
          <w:sz w:val="17"/>
          <w:szCs w:val="17"/>
          <w:color w:val="auto"/>
        </w:rPr>
      </w:pPr>
    </w:p>
    <w:p>
      <w:pPr>
        <w:ind w:left="780" w:hanging="31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SCOPE OF EMPLOYMENT.</w:t>
      </w:r>
    </w:p>
    <w:p>
      <w:pPr>
        <w:spacing w:after="0" w:line="117" w:lineRule="exact"/>
        <w:rPr>
          <w:sz w:val="20"/>
          <w:szCs w:val="20"/>
          <w:color w:val="auto"/>
        </w:rPr>
      </w:pPr>
    </w:p>
    <w:p>
      <w:pPr>
        <w:ind w:right="280" w:firstLine="464"/>
        <w:spacing w:after="0" w:line="277" w:lineRule="auto"/>
        <w:tabs>
          <w:tab w:leader="none" w:pos="70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Nature of Services</w:t>
      </w:r>
      <w:r>
        <w:rPr>
          <w:rFonts w:ascii="Arial" w:cs="Arial" w:eastAsia="Arial" w:hAnsi="Arial"/>
          <w:sz w:val="18"/>
          <w:szCs w:val="18"/>
          <w:color w:val="auto"/>
        </w:rPr>
        <w:t>. Executive shall diligently perform such duties and assume such responsibilities as shall from time to time be specified by the Company.</w:t>
      </w:r>
    </w:p>
    <w:p>
      <w:pPr>
        <w:spacing w:after="0" w:line="62" w:lineRule="exact"/>
        <w:rPr>
          <w:rFonts w:ascii="Arial" w:cs="Arial" w:eastAsia="Arial" w:hAnsi="Arial"/>
          <w:sz w:val="18"/>
          <w:szCs w:val="18"/>
          <w:color w:val="auto"/>
        </w:rPr>
      </w:pPr>
    </w:p>
    <w:p>
      <w:pPr>
        <w:ind w:right="100" w:firstLine="464"/>
        <w:spacing w:after="0" w:line="259"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Extent of Services</w:t>
      </w:r>
      <w:r>
        <w:rPr>
          <w:rFonts w:ascii="Arial" w:cs="Arial" w:eastAsia="Arial" w:hAnsi="Arial"/>
          <w:sz w:val="18"/>
          <w:szCs w:val="18"/>
          <w:color w:val="auto"/>
        </w:rPr>
        <w:t>. Except for illnesses and vacation periods, Executive shall devote substantially all his working time and attention and his best efforts to the performance of his duties and responsibilities under this Agreement. However, Executive may (i) make any passive investments where he is not obligated or required to, and shall not in fact, devote any managerial efforts, (ii) subject to approval by the Board or a committee thereof (which approval shall not be unreasonably withheld or withdrawn), participate in charitable or community activities or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44" w:name="page145"/>
    <w:bookmarkEnd w:id="14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trade or professional organizations, (iii) subject to approval by the Board or a committee thereof (which approval shall not be unreasonably withheld or withdrawn), hold directorships in other companies or enterprises, or (iv) engage in such other activities, not listed in (i), (ii) or (iii) above, as the Board or a committee thereof may approve; </w:t>
      </w:r>
      <w:r>
        <w:rPr>
          <w:rFonts w:ascii="Arial" w:cs="Arial" w:eastAsia="Arial" w:hAnsi="Arial"/>
          <w:sz w:val="17"/>
          <w:szCs w:val="17"/>
          <w:i w:val="1"/>
          <w:iCs w:val="1"/>
          <w:color w:val="auto"/>
        </w:rPr>
        <w:t>provided</w:t>
      </w:r>
      <w:r>
        <w:rPr>
          <w:rFonts w:ascii="Arial" w:cs="Arial" w:eastAsia="Arial" w:hAnsi="Arial"/>
          <w:sz w:val="17"/>
          <w:szCs w:val="17"/>
          <w:color w:val="auto"/>
        </w:rPr>
        <w:t>, that the Board or such committee shall have the right to limit such services as a director or such participation in charitable or community activities or in trade or professional organizations, or other activities approved pursuant to clause (iv), whenever the Board or such committee shall believe that the time spent on such activities infringes in any material respect upon the time required by Executive for the performance of his duties under this Agreement or is otherwise incompatible with those duties.</w:t>
      </w:r>
    </w:p>
    <w:p>
      <w:pPr>
        <w:spacing w:after="0" w:line="7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tab/>
        <w:t>COMPENSATION AND BENEFITS.</w:t>
      </w:r>
    </w:p>
    <w:p>
      <w:pPr>
        <w:spacing w:after="0" w:line="117" w:lineRule="exact"/>
        <w:rPr>
          <w:sz w:val="20"/>
          <w:szCs w:val="20"/>
          <w:color w:val="auto"/>
        </w:rPr>
      </w:pPr>
    </w:p>
    <w:p>
      <w:pPr>
        <w:ind w:right="60" w:firstLine="464"/>
        <w:spacing w:after="0" w:line="312" w:lineRule="auto"/>
        <w:tabs>
          <w:tab w:leader="none" w:pos="70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Executive shall be paid a base salary at the rate hereinafter specified, such Base Salary to be paid in the same manner and at the same times as the Company shall pay base salary to other executive employees. The rate at which Executive’s Base Salary shall be paid shall be $825,000 per year or such other rate (not less than $825,000 per year) as the Committee may determine after Committee review not less frequently than annually.</w:t>
      </w:r>
    </w:p>
    <w:p>
      <w:pPr>
        <w:spacing w:after="0" w:line="38"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Existing Awards</w:t>
      </w:r>
      <w:r>
        <w:rPr>
          <w:rFonts w:ascii="Arial" w:cs="Arial" w:eastAsia="Arial" w:hAnsi="Arial"/>
          <w:sz w:val="18"/>
          <w:szCs w:val="18"/>
          <w:color w:val="auto"/>
        </w:rPr>
        <w:t>. Reference is made to outstanding awards to Executive of stock options and of performance-based restricted stock made prior to the Effective Date under the Company’s Stock Incentive Plan (as it may be amended and including any successor, the “Stock Incentive Plan”), to the award opportunity granted to Executive for FYE 2018 under the Company’s Management Incentive Plan (“MIP”), and to award opportunities granted to Executive under the Company’s Long Range Performance Incentive Plan (“LRPIP”) for cycles beginning before the Effective Date. Each of such awards outstanding immediately prior to the Effective Date shall continue for such period or periods and in accordance with such terms as are set out in the applicable grant, award certificate, award agreement and other governing documents relating to such awards and shall not be affected by the terms of this Agreement except as otherwise expressly provided herein.</w:t>
      </w:r>
    </w:p>
    <w:p>
      <w:pPr>
        <w:spacing w:after="0" w:line="81" w:lineRule="exact"/>
        <w:rPr>
          <w:rFonts w:ascii="Arial" w:cs="Arial" w:eastAsia="Arial" w:hAnsi="Arial"/>
          <w:sz w:val="18"/>
          <w:szCs w:val="18"/>
          <w:color w:val="auto"/>
        </w:rPr>
      </w:pPr>
    </w:p>
    <w:p>
      <w:pPr>
        <w:ind w:firstLine="464"/>
        <w:spacing w:after="0" w:line="293" w:lineRule="auto"/>
        <w:tabs>
          <w:tab w:leader="none" w:pos="70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New Stock Awards</w:t>
      </w:r>
      <w:r>
        <w:rPr>
          <w:rFonts w:ascii="Arial" w:cs="Arial" w:eastAsia="Arial" w:hAnsi="Arial"/>
          <w:sz w:val="16"/>
          <w:szCs w:val="16"/>
          <w:color w:val="auto"/>
        </w:rPr>
        <w:t>. Consistent with the terms of the Stock Incentive Plan, during the Employment Period, Executive will be entitled to stock-based awards under the Stock Incentive Plan at levels commensurate with his position and responsibilities and subject to such terms as shall be established by the Committee. With respect to Stock Incentive Plan awards described in Section 3(b) (Existing Awards) and this Section 3(c) (New Stock Awards), Executive will be entitled to tender shares of Company common stock not then subject to restrictions under any Company plan, or to have shares of stock deliverable under the awards held back to satisfy tax withholding in connection with such awards, subject to such rules and limitations as the Company may prescribe but not in excess of the maximum amount of withholding consistent with treating the awards as subject to equity award accounting.</w:t>
      </w:r>
    </w:p>
    <w:p>
      <w:pPr>
        <w:spacing w:after="0" w:line="56" w:lineRule="exact"/>
        <w:rPr>
          <w:rFonts w:ascii="Arial" w:cs="Arial" w:eastAsia="Arial" w:hAnsi="Arial"/>
          <w:sz w:val="16"/>
          <w:szCs w:val="16"/>
          <w:color w:val="auto"/>
        </w:rPr>
      </w:pPr>
    </w:p>
    <w:p>
      <w:pPr>
        <w:ind w:right="300" w:firstLine="464"/>
        <w:spacing w:after="0" w:line="277" w:lineRule="auto"/>
        <w:tabs>
          <w:tab w:leader="none" w:pos="71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LRPIP</w:t>
      </w:r>
      <w:r>
        <w:rPr>
          <w:rFonts w:ascii="Arial" w:cs="Arial" w:eastAsia="Arial" w:hAnsi="Arial"/>
          <w:sz w:val="18"/>
          <w:szCs w:val="18"/>
          <w:color w:val="auto"/>
        </w:rPr>
        <w:t>. During the Employment Period, Executive will be eligible to participate in annual grants under LRPIP at a level commensurate with his position and responsibilities and subject to such terms as shall be established by the Committee.</w:t>
      </w:r>
    </w:p>
    <w:p>
      <w:pPr>
        <w:spacing w:after="0" w:line="62" w:lineRule="exact"/>
        <w:rPr>
          <w:rFonts w:ascii="Arial" w:cs="Arial" w:eastAsia="Arial" w:hAnsi="Arial"/>
          <w:sz w:val="18"/>
          <w:szCs w:val="18"/>
          <w:color w:val="auto"/>
        </w:rPr>
      </w:pPr>
    </w:p>
    <w:p>
      <w:pPr>
        <w:ind w:right="580" w:firstLine="464"/>
        <w:spacing w:after="0" w:line="277"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MIP</w:t>
      </w:r>
      <w:r>
        <w:rPr>
          <w:rFonts w:ascii="Arial" w:cs="Arial" w:eastAsia="Arial" w:hAnsi="Arial"/>
          <w:sz w:val="18"/>
          <w:szCs w:val="18"/>
          <w:color w:val="auto"/>
        </w:rPr>
        <w:t>. During the Employment Period, Executive will be eligible to participate in annual awards under MIP at a level commensurate with his position and responsibilities and subject to such terms as shall be established by the Committee.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5" w:name="page146"/>
    <w:bookmarkEnd w:id="14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w:t>
      </w:r>
      <w:r>
        <w:rPr>
          <w:rFonts w:ascii="Arial" w:cs="Arial" w:eastAsia="Arial" w:hAnsi="Arial"/>
          <w:sz w:val="18"/>
          <w:szCs w:val="18"/>
          <w:u w:val="single" w:color="auto"/>
          <w:color w:val="auto"/>
        </w:rPr>
        <w:t>Qualified Plans; Other Deferred Compensation Plans</w:t>
      </w:r>
      <w:r>
        <w:rPr>
          <w:rFonts w:ascii="Arial" w:cs="Arial" w:eastAsia="Arial" w:hAnsi="Arial"/>
          <w:sz w:val="18"/>
          <w:szCs w:val="18"/>
          <w:color w:val="auto"/>
        </w:rPr>
        <w:t>. Executive shall be entitled during the Employment Period to participate in the Company’s tax-qualified retirement and profit-sharing plans, and in the ESP, in each case in accordance with the terms of the applicable plan (including, for the avoidance of doubt and without limitation, the amendment and termination provisions thereof).</w:t>
      </w:r>
    </w:p>
    <w:p>
      <w:pPr>
        <w:spacing w:after="0" w:line="73" w:lineRule="exact"/>
        <w:rPr>
          <w:sz w:val="20"/>
          <w:szCs w:val="20"/>
          <w:color w:val="auto"/>
        </w:rPr>
      </w:pPr>
    </w:p>
    <w:p>
      <w:pPr>
        <w:ind w:right="200" w:firstLine="464"/>
        <w:spacing w:after="0" w:line="264"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Policies and Fringe Benefits</w:t>
      </w:r>
      <w:r>
        <w:rPr>
          <w:rFonts w:ascii="Arial" w:cs="Arial" w:eastAsia="Arial" w:hAnsi="Arial"/>
          <w:sz w:val="18"/>
          <w:szCs w:val="18"/>
          <w:color w:val="auto"/>
        </w:rPr>
        <w:t>. Executive shall be subject to Company policies applicable to its executives generally and shall be entitled to receive all such fringe benefits as the Company shall from time to time make available to other executives generally (subject to the terms of any applicable fringe benefit plan).</w:t>
      </w:r>
    </w:p>
    <w:p>
      <w:pPr>
        <w:spacing w:after="0" w:line="73" w:lineRule="exact"/>
        <w:rPr>
          <w:rFonts w:ascii="Arial" w:cs="Arial" w:eastAsia="Arial" w:hAnsi="Arial"/>
          <w:sz w:val="18"/>
          <w:szCs w:val="18"/>
          <w:color w:val="auto"/>
        </w:rPr>
      </w:pPr>
    </w:p>
    <w:p>
      <w:pPr>
        <w:ind w:firstLine="464"/>
        <w:spacing w:after="0" w:line="279" w:lineRule="auto"/>
        <w:tabs>
          <w:tab w:leader="none" w:pos="71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Company is entitled to terminate Executive’s employment notwithstanding the fact that Executive may lose entitlement to benefits under the arrangements described above. Upon termination of his employment, Executive shall have no claim against the Company for loss arising out of ineligibility to exercise any stock options granted to him or otherwise in relation to any of the stock options or other stock-based awards granted to Executive, and the rights of Executive shall be determined solely by the rules of the relevant award document and plan.</w:t>
      </w:r>
    </w:p>
    <w:p>
      <w:pPr>
        <w:spacing w:after="0" w:line="6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tab/>
        <w:t>TERMINATION OF EMPLOYMENT; IN GENERAL.</w:t>
      </w:r>
    </w:p>
    <w:p>
      <w:pPr>
        <w:spacing w:after="0" w:line="117" w:lineRule="exact"/>
        <w:rPr>
          <w:sz w:val="20"/>
          <w:szCs w:val="20"/>
          <w:color w:val="auto"/>
        </w:rPr>
      </w:pPr>
    </w:p>
    <w:p>
      <w:pPr>
        <w:ind w:right="220" w:firstLine="464"/>
        <w:spacing w:after="0" w:line="277" w:lineRule="auto"/>
        <w:tabs>
          <w:tab w:leader="none" w:pos="7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have the right to end Executive’s employment at any time and for any reason, with or without Cause. Executive shall provide written notice to the Company of his decision to retire or otherwise terminate employment with the Company.</w:t>
      </w:r>
    </w:p>
    <w:p>
      <w:pPr>
        <w:spacing w:after="0" w:line="62"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Executive’s employment shall terminate upon written notice by the Company to Executive (or, if earlier, to the extent consistent with the requirements of Section 409A, to the extent applicable, upon the expiration of the twenty-nine (29)-month period commencing upon Executive’s absence from work) if, by reason of Disability, Executive is unable to perform his duties for at least six continuous months. Any termination of employment pursuant to this Section 4(b) shall be treated for purposes of Section 5 and the definition of “Change of Control Termination” at subsection (f) of Exhibit A as a termination of employment by reason of Disability.</w:t>
      </w:r>
    </w:p>
    <w:p>
      <w:pPr>
        <w:spacing w:after="0" w:line="80"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Whenever his employment shall terminate, Executive shall resign (or, in the absence of an affirmative resignation, shall be deemed to have resigned) all offices or other positions he shall hold with the Company and any affiliates. For the avoidance of doubt, the Employment Period shall terminate upon termination of Executive’s employment for any reason.</w:t>
      </w:r>
    </w:p>
    <w:p>
      <w:pPr>
        <w:spacing w:after="0" w:line="7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tab/>
        <w:t>BENEFITS UPON NON-VOLUNTARY TERMINATION OF EMPLOYMENT OR UPON EXPIRATION OF THE AGREEMENT.</w:t>
      </w:r>
    </w:p>
    <w:p>
      <w:pPr>
        <w:spacing w:after="0" w:line="117" w:lineRule="exact"/>
        <w:rPr>
          <w:sz w:val="20"/>
          <w:szCs w:val="20"/>
          <w:color w:val="auto"/>
        </w:rPr>
      </w:pPr>
    </w:p>
    <w:p>
      <w:pPr>
        <w:ind w:right="420" w:firstLine="464"/>
        <w:spacing w:after="0" w:line="264" w:lineRule="auto"/>
        <w:tabs>
          <w:tab w:leader="none" w:pos="70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Certain Terminations Prior to the End Date</w:t>
      </w:r>
      <w:r>
        <w:rPr>
          <w:rFonts w:ascii="Arial" w:cs="Arial" w:eastAsia="Arial" w:hAnsi="Arial"/>
          <w:sz w:val="18"/>
          <w:szCs w:val="18"/>
          <w:color w:val="auto"/>
        </w:rPr>
        <w:t>. If the Employment Period shall have terminated prior to the End Date by reason of (I) death or Disability of Executive, (II) termination by the Company for any reason other than Cause or (III) a Constructive Termination, then all compensation and benefits for Executive shall be as follows: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6" w:name="page147"/>
    <w:bookmarkEnd w:id="146"/>
    <w:p>
      <w:pPr>
        <w:ind w:right="60" w:firstLine="443"/>
        <w:spacing w:after="0" w:line="285" w:lineRule="auto"/>
        <w:tabs>
          <w:tab w:leader="none" w:pos="653"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a period of twenty-four (24) months after the Date of Termination (the “termination period”), the Company will pay to Executive or his legal representative, without reduction for compensation earned from other employment or self-employment, continued Base Salary at the rate in effect at termination of employment in accordance with its regular payroll practices for executive employees of the Company (but not less frequently than monthly); </w:t>
      </w:r>
      <w:r>
        <w:rPr>
          <w:rFonts w:ascii="Arial" w:cs="Arial" w:eastAsia="Arial" w:hAnsi="Arial"/>
          <w:sz w:val="16"/>
          <w:szCs w:val="16"/>
          <w:i w:val="1"/>
          <w:iCs w:val="1"/>
          <w:color w:val="auto"/>
        </w:rPr>
        <w:t>provided</w:t>
      </w:r>
      <w:r>
        <w:rPr>
          <w:rFonts w:ascii="Arial" w:cs="Arial" w:eastAsia="Arial" w:hAnsi="Arial"/>
          <w:sz w:val="16"/>
          <w:szCs w:val="16"/>
          <w:color w:val="auto"/>
        </w:rPr>
        <w:t>, that if Executive is a Specified Employee at the relevant time, the Base Salary that would otherwise be payable during the six-month period beginning on the Date of Termination shall instead be accumulated and paid, without interest, in a lump sum on the date that is six</w:t>
      </w:r>
    </w:p>
    <w:p>
      <w:pPr>
        <w:spacing w:after="0" w:line="2" w:lineRule="exact"/>
        <w:rPr>
          <w:rFonts w:ascii="Arial" w:cs="Arial" w:eastAsia="Arial" w:hAnsi="Arial"/>
          <w:sz w:val="16"/>
          <w:szCs w:val="16"/>
          <w:color w:val="auto"/>
        </w:rPr>
      </w:pPr>
    </w:p>
    <w:p>
      <w:pPr>
        <w:ind w:firstLine="4"/>
        <w:spacing w:after="0" w:line="254"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months and one day after such date (or, if earlier, the date of Executive’s death); </w:t>
      </w:r>
      <w:r>
        <w:rPr>
          <w:rFonts w:ascii="Arial" w:cs="Arial" w:eastAsia="Arial" w:hAnsi="Arial"/>
          <w:sz w:val="18"/>
          <w:szCs w:val="18"/>
          <w:i w:val="1"/>
          <w:iCs w:val="1"/>
          <w:color w:val="auto"/>
        </w:rPr>
        <w:t>and further provided,</w:t>
      </w:r>
      <w:r>
        <w:rPr>
          <w:rFonts w:ascii="Arial" w:cs="Arial" w:eastAsia="Arial" w:hAnsi="Arial"/>
          <w:sz w:val="18"/>
          <w:szCs w:val="18"/>
          <w:color w:val="auto"/>
        </w:rPr>
        <w:t xml:space="preserve"> that if Executive is eligible for long-term disability compensation benefits under the Company’s long-term disability plan, the amount payable under this clause shall be paid at a rate equal to the excess of (a) the rate of Base Salary in effect at termination of employment, over (b) the long-term disability compensation benefits for which Executive is approved under such plan.</w:t>
      </w:r>
    </w:p>
    <w:p>
      <w:pPr>
        <w:spacing w:after="0" w:line="81" w:lineRule="exact"/>
        <w:rPr>
          <w:rFonts w:ascii="Arial" w:cs="Arial" w:eastAsia="Arial" w:hAnsi="Arial"/>
          <w:sz w:val="18"/>
          <w:szCs w:val="18"/>
          <w:color w:val="auto"/>
        </w:rPr>
      </w:pPr>
    </w:p>
    <w:p>
      <w:pPr>
        <w:ind w:right="140" w:firstLine="443"/>
        <w:spacing w:after="0" w:line="255" w:lineRule="auto"/>
        <w:tabs>
          <w:tab w:leader="none" w:pos="7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Executive elects so-called “COBRA” continuation of group health plan coverage provided pursuant to Part 6 of Subtitle B of Title I of the Employee Retirement Income Security Act of 1974, as amended, there shall be added to the amounts otherwise payable under Section 5(a)(i) above, during the continuation of such coverage but not beyond the end of the termination period, an amount (grossed up for federal and state income taxes) equal to the participant cost of such coverage, except to the extent that Executive shall obtain no less favorable coverage from another employer or from self-employment in which case such additional payments shall cease immediately. For the avoidance of doubt, Executive shall not be eligible for continuation of group health plan coverage from and after the Date of Termination except for any “COBRA” continuation as described in this Section 5(a)(ii).</w:t>
      </w:r>
    </w:p>
    <w:p>
      <w:pPr>
        <w:spacing w:after="0" w:line="81" w:lineRule="exact"/>
        <w:rPr>
          <w:rFonts w:ascii="Arial" w:cs="Arial" w:eastAsia="Arial" w:hAnsi="Arial"/>
          <w:sz w:val="18"/>
          <w:szCs w:val="18"/>
          <w:color w:val="auto"/>
        </w:rPr>
      </w:pPr>
    </w:p>
    <w:p>
      <w:pPr>
        <w:ind w:right="180" w:firstLine="443"/>
        <w:spacing w:after="0" w:line="279" w:lineRule="auto"/>
        <w:tabs>
          <w:tab w:leader="none" w:pos="75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Company will pay to Executive or his legal representative, without offset for compensation earned from other employment or self-employment, (A) any unpaid amounts to which Executive is entitled under MIP for the fiscal year of the Company ended immediately prior to Executive’s termination of employment,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any unpaid amounts owing with respect to LRPIP cycles in which Executive participated and which were completed prior to termination. These amounts will be paid at the same time as other awards for such prior year or cycle are paid.</w:t>
      </w:r>
    </w:p>
    <w:p>
      <w:pPr>
        <w:spacing w:after="0" w:line="63" w:lineRule="exact"/>
        <w:rPr>
          <w:rFonts w:ascii="Arial" w:cs="Arial" w:eastAsia="Arial" w:hAnsi="Arial"/>
          <w:sz w:val="17"/>
          <w:szCs w:val="17"/>
          <w:color w:val="auto"/>
        </w:rPr>
      </w:pPr>
    </w:p>
    <w:p>
      <w:pPr>
        <w:ind w:right="120" w:firstLine="443"/>
        <w:spacing w:after="0" w:line="285" w:lineRule="auto"/>
        <w:tabs>
          <w:tab w:leader="none" w:pos="74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For any MIP performance period in which Executive participates that begins before and ends after the Date of Termination, and at the same time as other MIP awards for such performance period are paid, but in no event later than by the 15th day of the third month following the close of the fiscal year to which such MIP award relates, the Company will pay to Executive or his legal representative, without offset for compensation earned from other employment or self-employment, an amount equal to (A) the MIP award, if any, that Executive would have earned and been paid had he continued in office through the end of such fiscal year, determined without regard to any adjustment for individual performance factors, multiplied by</w:t>
      </w:r>
    </w:p>
    <w:p>
      <w:pPr>
        <w:spacing w:after="0" w:line="2" w:lineRule="exact"/>
        <w:rPr>
          <w:rFonts w:ascii="Arial" w:cs="Arial" w:eastAsia="Arial" w:hAnsi="Arial"/>
          <w:sz w:val="16"/>
          <w:szCs w:val="16"/>
          <w:color w:val="auto"/>
        </w:rPr>
      </w:pPr>
    </w:p>
    <w:p>
      <w:pPr>
        <w:ind w:right="420"/>
        <w:spacing w:after="0" w:line="261" w:lineRule="auto"/>
        <w:rPr>
          <w:rFonts w:ascii="Arial" w:cs="Arial" w:eastAsia="Arial" w:hAnsi="Arial"/>
          <w:sz w:val="16"/>
          <w:szCs w:val="16"/>
          <w:color w:val="auto"/>
        </w:rPr>
      </w:pPr>
      <w:r>
        <w:rPr>
          <w:rFonts w:ascii="Arial" w:cs="Arial" w:eastAsia="Arial" w:hAnsi="Arial"/>
          <w:sz w:val="18"/>
          <w:szCs w:val="18"/>
          <w:color w:val="auto"/>
        </w:rPr>
        <w:t>(B) a fraction, the numerator of which is three hundred and sixty-five (365) plus the number of days during such fiscal year prior to termination of employment, and the denominator of which is seven hundred</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thirty (730);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Employment Period shall have terminated by reason of Executive’s death or Disability, this clause</w:t>
      </w:r>
    </w:p>
    <w:p>
      <w:pPr>
        <w:spacing w:after="0" w:line="35" w:lineRule="exact"/>
        <w:rPr>
          <w:sz w:val="20"/>
          <w:szCs w:val="20"/>
          <w:color w:val="auto"/>
        </w:rPr>
      </w:pPr>
    </w:p>
    <w:p>
      <w:pPr>
        <w:ind w:left="300" w:hanging="296"/>
        <w:spacing w:after="0"/>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shall not apply and Executive instead shall be entitled to the MIP benefit described in Section 5(a)(viii) below.</w:t>
      </w:r>
    </w:p>
    <w:p>
      <w:pPr>
        <w:spacing w:after="0" w:line="102" w:lineRule="exact"/>
        <w:rPr>
          <w:rFonts w:ascii="Arial" w:cs="Arial" w:eastAsia="Arial" w:hAnsi="Arial"/>
          <w:sz w:val="18"/>
          <w:szCs w:val="18"/>
          <w:color w:val="auto"/>
        </w:rPr>
      </w:pPr>
    </w:p>
    <w:p>
      <w:pPr>
        <w:ind w:firstLine="443"/>
        <w:spacing w:after="0" w:line="255" w:lineRule="auto"/>
        <w:tabs>
          <w:tab w:leader="none" w:pos="69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For each LRPIP cycle in which Executive participates that begins before and ends after the Date of Termination, and at the same time as other LRPIP awards for such cycle are paid, but in no event later than by the 15th day of the third month following the close of the last of the Company’s fiscal years in such cycle, the Company will pay to Executive or his legal representative, without offset for compensation earned from other employment or self-employment, an amount equal to (A) the LRPIP award, if any, that Executive would have earned and been paid had he continued in office through the end of such cycle, determined without regard to any adjustment for individual performance factors, multiplied by (B) a fraction, the numerator of which is the number of full months in such cycle completed prior to termination of employment and the denominator of which is the number of full months in such cycle.</w:t>
      </w:r>
    </w:p>
    <w:p>
      <w:pPr>
        <w:spacing w:after="0" w:line="81" w:lineRule="exact"/>
        <w:rPr>
          <w:rFonts w:ascii="Arial" w:cs="Arial" w:eastAsia="Arial" w:hAnsi="Arial"/>
          <w:sz w:val="18"/>
          <w:szCs w:val="18"/>
          <w:color w:val="auto"/>
        </w:rPr>
      </w:pPr>
    </w:p>
    <w:p>
      <w:pPr>
        <w:ind w:right="20" w:firstLine="443"/>
        <w:spacing w:after="0" w:line="312" w:lineRule="auto"/>
        <w:tabs>
          <w:tab w:leader="none" w:pos="74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In addition, Executive or his legal representative shall be entitled to the Stock Incentive Plan benefits described in Section 3(b) (Existing Awards) and Section 3(c) (New Stock Awards), and to payment of his vested benefits, if any, under the plans described in Section 3(f) (Qualified Plans; Other Deferred Compensation Plans), in each case, in accordance with and subject to the terms of the applicable plan, program or arrangement.</w:t>
      </w:r>
    </w:p>
    <w:p>
      <w:pPr>
        <w:spacing w:after="0" w:line="38" w:lineRule="exact"/>
        <w:rPr>
          <w:rFonts w:ascii="Arial" w:cs="Arial" w:eastAsia="Arial" w:hAnsi="Arial"/>
          <w:sz w:val="16"/>
          <w:szCs w:val="16"/>
          <w:color w:val="auto"/>
        </w:rPr>
      </w:pPr>
    </w:p>
    <w:p>
      <w:pPr>
        <w:ind w:firstLine="443"/>
        <w:spacing w:after="0" w:line="276" w:lineRule="auto"/>
        <w:tabs>
          <w:tab w:leader="none" w:pos="79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termination occurs by reason of Disability, Executive shall also be entitled to such compensation, if any, as is payable pursuant to the Company’s long-term disability plan. To avoid duplication of benefits, if for any period Executive receives long-term disability compensation payments under a long-term disability plan of the Company as well as payments under Section 5(a)(i) above, and if the sum of such payments for any period exceeds the payment for such period to which Executive is entitled under Section 5(a)(i) above (determined without regard to the second proviso set forth therein), he shall promptly pay such excess in reimbursement to the Company.</w:t>
      </w:r>
    </w:p>
    <w:p>
      <w:pPr>
        <w:spacing w:after="0" w:line="64" w:lineRule="exact"/>
        <w:rPr>
          <w:rFonts w:ascii="Arial" w:cs="Arial" w:eastAsia="Arial" w:hAnsi="Arial"/>
          <w:sz w:val="17"/>
          <w:szCs w:val="17"/>
          <w:color w:val="auto"/>
        </w:rPr>
      </w:pPr>
    </w:p>
    <w:p>
      <w:pPr>
        <w:ind w:right="80" w:firstLine="443"/>
        <w:spacing w:after="0" w:line="279" w:lineRule="auto"/>
        <w:tabs>
          <w:tab w:leader="none" w:pos="84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termination occurs by reason of death or Disability, Executive shall also be entitled to an amount equal to Executive’s MIP Target Award for the fiscal year in which the Date of Termination occurs (or if MIP Target Awards for such fiscal year have not yet been granted as of the Date of Termination, Executive’s MIP Target Award for the prior fiscal year), without proration and based on Executive’s Base Salary rate in effect at termination of employment. This amount will be paid at the same time as other MIP awards for such performance period are paid.</w:t>
      </w:r>
    </w:p>
    <w:p>
      <w:pPr>
        <w:spacing w:after="0" w:line="63" w:lineRule="exact"/>
        <w:rPr>
          <w:rFonts w:ascii="Arial" w:cs="Arial" w:eastAsia="Arial" w:hAnsi="Arial"/>
          <w:sz w:val="17"/>
          <w:szCs w:val="17"/>
          <w:color w:val="auto"/>
        </w:rPr>
      </w:pPr>
    </w:p>
    <w:p>
      <w:pPr>
        <w:ind w:right="240" w:firstLine="443"/>
        <w:spacing w:after="0" w:line="312" w:lineRule="auto"/>
        <w:tabs>
          <w:tab w:leader="none" w:pos="74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Except as expressly set forth above or as required by law, Executive shall not be entitled to continue participation during or following the termination period in any employee benefit or fringe benefit plans, except for continuation of any automobile allowance, which shall be added to the amounts otherwise payable under Section 5(a)(i) above during the continuation of such coverage but not beyond the end of the termination period.</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48" w:name="page149"/>
    <w:bookmarkEnd w:id="148"/>
    <w:p>
      <w:pPr>
        <w:ind w:left="-20" w:firstLine="464"/>
        <w:spacing w:after="0" w:line="270" w:lineRule="auto"/>
        <w:tabs>
          <w:tab w:leader="none" w:pos="69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on the End Date</w:t>
      </w:r>
      <w:r>
        <w:rPr>
          <w:rFonts w:ascii="Arial" w:cs="Arial" w:eastAsia="Arial" w:hAnsi="Arial"/>
          <w:sz w:val="17"/>
          <w:szCs w:val="17"/>
          <w:color w:val="auto"/>
        </w:rPr>
        <w:t>. Unless earlier terminated or except as otherwise mutually agreed by Executive and the Company, Executive’s employment with the Company shall terminate on the End Date. Unless the Company in connection with such termination on the End Date shall offer to Executive continued service in a position on reasonable terms, Executive shall be treated as having been terminated under Section 5(a)(II) on the day immediately preceding the End Date and shall be entitled to the compensation and benefits described in Section 5(a) in respect of such a termination, subject, for the avoidance of doubt, to the other provisions of this Agreement including, without limitation, Section 8. If the Company in connection with such termination offers to Executive continued service in a position on reasonable terms, and Executive declines such service, he shall be treated for all purposes of this Agreement as having terminated his employment voluntarily on the End Date and he shall be entitled only to those benefits to which he would be entitled under Section 6(a) (“Voluntary Termination of Employment”). For purposes of the two preceding sentences, “service in a position on reasonable terms” shall mean service in a position comparable to the position in which Executive was serving immediately prior to the End Date, as reasonably determined by the Committee.</w:t>
      </w:r>
    </w:p>
    <w:p>
      <w:pPr>
        <w:spacing w:after="0" w:line="70"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6.</w:t>
        <w:tab/>
        <w:t>OTHER TERMINATION.</w:t>
      </w:r>
    </w:p>
    <w:p>
      <w:pPr>
        <w:spacing w:after="0" w:line="117" w:lineRule="exact"/>
        <w:rPr>
          <w:sz w:val="20"/>
          <w:szCs w:val="20"/>
          <w:color w:val="auto"/>
        </w:rPr>
      </w:pPr>
    </w:p>
    <w:p>
      <w:pPr>
        <w:ind w:left="-20" w:right="40" w:firstLine="464"/>
        <w:spacing w:after="0" w:line="291" w:lineRule="auto"/>
        <w:tabs>
          <w:tab w:leader="none" w:pos="68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Voluntary Termination of Employment</w:t>
      </w:r>
      <w:r>
        <w:rPr>
          <w:rFonts w:ascii="Arial" w:cs="Arial" w:eastAsia="Arial" w:hAnsi="Arial"/>
          <w:sz w:val="16"/>
          <w:szCs w:val="16"/>
          <w:color w:val="auto"/>
        </w:rPr>
        <w:t>. If Executive terminates his employment voluntarily, Executive or his legal representative shall be entitled (in each case in accordance with and subject to the terms of the applicable arrangement) to any Stock Incentive Plan benefits described in Section 3(b) (Existing Awards) or Section 3(c) (New Stock Awards) and to any vested benefits under the plans described in Section 3(f) (Qualified Plans; Other Deferred Compensation Plans). In addition, the Company will pay to Executive or his legal representative any unpaid amounts to which Executive is entitled under MIP for the fiscal year of the Company ended immediately prior to termination of employment, plus any unpaid amounts owing with respect to LRPIP cycles in which Executive participated and which were completed prior to termination of employment, in each case at the same time as other awards for such prior year or cycle are paid. No other benefits shall be paid under this Agreement upon a voluntary termination of employment.</w:t>
      </w:r>
    </w:p>
    <w:p>
      <w:pPr>
        <w:spacing w:after="0" w:line="59" w:lineRule="exact"/>
        <w:rPr>
          <w:rFonts w:ascii="Arial" w:cs="Arial" w:eastAsia="Arial" w:hAnsi="Arial"/>
          <w:sz w:val="16"/>
          <w:szCs w:val="16"/>
          <w:color w:val="auto"/>
        </w:rPr>
      </w:pPr>
    </w:p>
    <w:p>
      <w:pPr>
        <w:ind w:left="-20" w:right="100" w:firstLine="464"/>
        <w:spacing w:after="0" w:line="276" w:lineRule="auto"/>
        <w:tabs>
          <w:tab w:leader="none" w:pos="691"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Company should terminate Executive’s employment for Cause all compensation and benefits otherwise payable pursuant to this Agreement shall cease, other than (x) such vested amounts as are credited to Executive’s account (but not received) under the ESP; (y) any vested benefits to which Executive is entitled under the Company’s tax-qualified plans; and (z) Stock Incentive Plan benefits, if any, to which Executive may be entitled under Sections 3(b) (Existing Awards) and 3(c) (New Stock Awards); in each case, in accordance with and subject to the terms of the applicable plan, program or arrangement. The Company does not waive any rights it may have for damages or injunctive relief.</w:t>
      </w:r>
    </w:p>
    <w:p>
      <w:pPr>
        <w:spacing w:after="0" w:line="64" w:lineRule="exact"/>
        <w:rPr>
          <w:sz w:val="20"/>
          <w:szCs w:val="20"/>
          <w:color w:val="auto"/>
        </w:rPr>
      </w:pPr>
    </w:p>
    <w:p>
      <w:pPr>
        <w:ind w:left="-20" w:right="120" w:firstLine="464"/>
        <w:spacing w:after="0" w:line="259" w:lineRule="auto"/>
        <w:tabs>
          <w:tab w:leader="none" w:pos="7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 OF CONTROL. Upon and following a Change of Control occurring during the Employment Period, (i) Executive’s employment under this Agreement shall continue indefinitely without regard to the End Date or Section 5(b), subject, however, to termination by either party or by reason of Executive’s death or Disability in accordance with the other provisions of this Agreement; and (ii) the provisions of Section 5 shall cease to apply in respect of any termination of employment described therein that occurs during the Standstill Period (but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149" w:name="page150"/>
    <w:bookmarkEnd w:id="149"/>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Section C.1 of Exhibit C (including any reference to Section 5 therein) shall apply in respect of any such termination that qualifies as a Change of Control Termination). Additional provisions that may be relevant upon and following a Change of Control are found in Exhibit C.</w:t>
      </w:r>
    </w:p>
    <w:p>
      <w:pPr>
        <w:spacing w:after="0" w:line="38" w:lineRule="exact"/>
        <w:rPr>
          <w:sz w:val="20"/>
          <w:szCs w:val="20"/>
          <w:color w:val="auto"/>
        </w:rPr>
      </w:pPr>
    </w:p>
    <w:p>
      <w:pPr>
        <w:ind w:left="460"/>
        <w:spacing w:after="0"/>
        <w:tabs>
          <w:tab w:leader="none" w:pos="7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AGREEMENT NOT TO SOLICIT OR COMPETE.</w:t>
      </w:r>
    </w:p>
    <w:p>
      <w:pPr>
        <w:spacing w:after="0" w:line="117" w:lineRule="exact"/>
        <w:rPr>
          <w:sz w:val="20"/>
          <w:szCs w:val="20"/>
          <w:color w:val="auto"/>
        </w:rPr>
      </w:pPr>
    </w:p>
    <w:p>
      <w:pPr>
        <w:ind w:right="80" w:firstLine="464"/>
        <w:spacing w:after="0" w:line="284" w:lineRule="auto"/>
        <w:tabs>
          <w:tab w:leader="none" w:pos="701"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During the Employment Period and for a period of twenty-four (24) months thereafter (the “Nonsolicitation Period”), Executive shall not, and shall not direct any other individual or entity to, directly or indirectly (including as a partner, shareholder, joint venturer or other investor) (i) hire, offer to hire, attempt to hire or assist in the hiring of, any protected person as an employee, director, consultant, advisor or other service provider, (ii) recommend any protected person for employment or other engagement with any person or entity other than the Company and its Subsidiaries, (iii) solicit for employment or other engagement any protected person, or seek to persuade, induce or encourage any protected person to discontinue employment or engagement with the Company or its Subsidiaries, or recommend to any protected person any employment or engagement other than with the Company or its Subsidiaries,</w:t>
      </w:r>
    </w:p>
    <w:p>
      <w:pPr>
        <w:spacing w:after="0" w:line="4" w:lineRule="exact"/>
        <w:rPr>
          <w:rFonts w:ascii="Arial" w:cs="Arial" w:eastAsia="Arial" w:hAnsi="Arial"/>
          <w:sz w:val="16"/>
          <w:szCs w:val="16"/>
          <w:color w:val="auto"/>
        </w:rPr>
      </w:pPr>
    </w:p>
    <w:p>
      <w:pPr>
        <w:ind w:right="20" w:firstLine="8"/>
        <w:spacing w:after="0" w:line="281" w:lineRule="auto"/>
        <w:tabs>
          <w:tab w:leader="none" w:pos="3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accept services of any sort (whether for compensation or otherwise) from any protected person, or (v) participate with any other person or entity in any of the foregoing activities. Any individual or entity to which Executive provides services (as an employee, director, consultant, advisor or otherwise) or in which Executive is a shareholder, member, partner, joint venturer or investor, excluding interests in the common stock of any publicly traded corporation of one percent (1%) or less, and any individual or entity that is affiliated with any such individual or entity, shall, for purposes of the preceding sentence, be presumed to have acted at the direction of Executive with respect to any “protected person” who worked with Executive at any time during the six (6) months prior to termination of the Employment Period. A “protected person” is a person who at the time of termination of the Employment Period, or within six</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(6) months prior thereto, is or was employed by the Company or any of its Subsidiaries either in a position of Assistant Vice President or higher, or in a salaried position in any merchandising group. As to (I) each “protected person” to whom the foregoing applies, (II) each subcategory of “protected person,” as defined above, (III) each limitation on (A) employment or other engagement, (B) solicitation and (C) unsolicited acceptance of services, of each “protected person” and (IV) each month of the period during which the provisions of this subsection (a) apply to each of the foregoing, the provisions set forth in this subsection (a) shall be deemed to be separate and independent agreements. In the event of unenforceability of any one or more such agreement(s), such unenforceable agreement(s) shall be deemed automatically reformed in order to allow for the greatest degree of enforceability authorized by law or, if no such reformation is possible, deleted from the provisions hereof entirely, and such reformation or deletion shall not affect the enforceability of any other provision of this subsection (a) or any other term of this Agreement.</w:t>
      </w:r>
    </w:p>
    <w:p>
      <w:pPr>
        <w:spacing w:after="0" w:line="76" w:lineRule="exact"/>
        <w:rPr>
          <w:rFonts w:ascii="Arial" w:cs="Arial" w:eastAsia="Arial" w:hAnsi="Arial"/>
          <w:sz w:val="16"/>
          <w:szCs w:val="16"/>
          <w:color w:val="auto"/>
        </w:rPr>
      </w:pPr>
    </w:p>
    <w:p>
      <w:pPr>
        <w:ind w:right="140" w:firstLine="464"/>
        <w:spacing w:after="0" w:line="279" w:lineRule="auto"/>
        <w:tabs>
          <w:tab w:leader="none" w:pos="711"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During the course of his employment, Executive will have learned vital trade secrets of the Company and its Subsidiaries and will have access to confidential and proprietary information and business plans of the Company and its Subsidiaries. Therefore, during the Employment Period and for a period of twenty-four (24) months thereafter (the “Noncompetition Period”), except as the Board or a committee thereof shall have approved, Executive will not, directly or indirectly, be a shareholder, member, partner, joint venturer or investor (disregarding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0" w:name="page151"/>
    <w:bookmarkEnd w:id="150"/>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connection passive ownership for investment purposes of common stock representing one percent (1%) or less of the voting power or value of any publicly traded corporation) in, serve as a director or manager of, be engaged in any employment, consulting, or fees-for-services relationship or arrangement with, or advise with respect to the organization or conduct of, or any investment in, any “competitive business” as hereinafter defined or any Person that engages in any “competitive business” as hereinafter defined, nor shall Executive undertake any planning to engage in any such activities. The term “competitive business” (i) shall mean any business (however organized or conducted, including, without limitation, an on-line, “ecommerce” or other internet-based business) that competes with a business in which the Company or any of its Subsidiaries was engaged, or in which the Company or any Subsidiary was planning to engage, at any time during the 12-month period immediately preceding the date on which the Employment Period ends, and</w:t>
      </w:r>
    </w:p>
    <w:p>
      <w:pPr>
        <w:spacing w:after="0" w:line="3" w:lineRule="exact"/>
        <w:rPr>
          <w:sz w:val="20"/>
          <w:szCs w:val="20"/>
          <w:color w:val="auto"/>
        </w:rPr>
      </w:pPr>
    </w:p>
    <w:p>
      <w:pPr>
        <w:ind w:right="20" w:firstLine="8"/>
        <w:spacing w:after="0" w:line="286" w:lineRule="auto"/>
        <w:tabs>
          <w:tab w:leader="none" w:pos="2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shall conclusively be presumed to include, but shall not be limited to, (A) any business designated as a competitive business in the Committee Resolution, including, without limitation, an on-line, “ecommerce” or other internet-based business of any such business, and (B) any other off-price, promotional, or warehouse-club-type retail business, however organized or conducted (including, without limitation, an on-line, “ecommerce” or other internet-based business), that sells apparel, footwear, home fashions, home furnishings, jewelry, accessories, or any other category of merchandise sold by the Company or any of its Subsidiaries at the termination of the Employment Period. For purposes of this subsection (b), a “Person” means an individual, a corporation, a limited liability company, an association, a partnership, an estate, a trust and any other entity or organization, other than the Company or its Subsidiaries, and reference to any Person (the “first Person”) shall be deemed to include any other Person that controls, is controlled by or is under common control with the first Person. If, at any time, pursuant to action of any court, administrative, arbitral or governmental body or other tribunal, the operation of any part of this subsection shall be determined to be unlawful or otherwise unenforceable, then the coverage of this subsection shall be deemed to be reformed and restricted as to substantive reach, duration, geographic scope or otherwise, as the case may be, to the extent, and only to the extent, necessary to make this paragraph lawful and enforceable to the greatest extent possible in the particular jurisdiction in which such determination is made.</w:t>
      </w:r>
    </w:p>
    <w:p>
      <w:pPr>
        <w:spacing w:after="0" w:line="58" w:lineRule="exact"/>
        <w:rPr>
          <w:rFonts w:ascii="Arial" w:cs="Arial" w:eastAsia="Arial" w:hAnsi="Arial"/>
          <w:sz w:val="16"/>
          <w:szCs w:val="16"/>
          <w:color w:val="auto"/>
        </w:rPr>
      </w:pPr>
    </w:p>
    <w:p>
      <w:pPr>
        <w:ind w:firstLine="464"/>
        <w:spacing w:after="0" w:line="269" w:lineRule="auto"/>
        <w:tabs>
          <w:tab w:leader="none" w:pos="701"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Executive shall never use or disclose any confidential or proprietary information of the Company or its Subsidiaries other than as required by applicable law or during the Employment Period for the proper performance of Executive’s duties and responsibilities to the Company and its Subsidiaries. This restriction shall continue to apply after Executive’s employment terminates, regardless of the reason for such termination. All documents, records and files, in any media, relating to the business, present or otherwise, of the Company and its Subsidiaries and any copies (“Documents”), whether or not prepared by Executive, are the exclusive property of the Company and its Subsidiaries. Executive must diligently safeguard all Documents, and must surrender to the Company at such time or times as the Company may specify all Documents then in Executive’s possession or control. In addition, upon termination of employment for any reason other than the death of Executive, Executive shall immediately return all Documents, and shall execute a certificate representing and warranting that he has returned all such Documents in Executive’s possession or under his control. Subject to the last sentence of this Section 8(c), Executive further covenants and agrees (for himself and for all others acting on his behalf) that at no time during the Employment Period or thereafter will he directly or indirectly say or do anything that would disparage, reflect negatively on, or call into question the Company’s business operations, stores, products, reputation, business relationships,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1" w:name="page152"/>
    <w:bookmarkEnd w:id="15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present or future business, or the reputation of any past or present directors, officers, employees, agents or affiliates of the Company and its Subsidiaries. Executive cannot be held criminally or civilly liable under any federal or state law (including trade secret laws) for disclosing a trade secret or confidential information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he unlawfully accesses trade secrets or confidential information by unauthorized means. Nothing in this Agreement (i) limits, restricts or in any other way affects Executive’s communicating with any governmental agency or entity, or communicating with any official or staff person of a governmental agency or entity, concerning matters relevant to the governmental agency or entity or (ii) requires Executive to notify the Company about such communication.</w:t>
      </w:r>
    </w:p>
    <w:p>
      <w:pPr>
        <w:spacing w:after="0" w:line="84" w:lineRule="exact"/>
        <w:rPr>
          <w:sz w:val="20"/>
          <w:szCs w:val="20"/>
          <w:color w:val="auto"/>
        </w:rPr>
      </w:pPr>
    </w:p>
    <w:p>
      <w:pPr>
        <w:ind w:right="120" w:firstLine="464"/>
        <w:spacing w:after="0" w:line="286" w:lineRule="auto"/>
        <w:tabs>
          <w:tab w:leader="none" w:pos="71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during the Employment Period or at any time following termination of the Employment Period, regardless of the reason for such termination, Executive breaches any provision of this Section 8, the Company’s obligation, if any, to pay benefits under Section 5 hereof shall forthwith cease and Executive shall immediately forfeit and disgorge to the Company, with interest at the prime rate in effect at Bank of America, or its successor, all of the following: (i) any benefits theretofore paid to Executive under Section 5; (ii) any unexercised stock options and stock appreciation rights held by Executive;</w:t>
      </w:r>
    </w:p>
    <w:p>
      <w:pPr>
        <w:spacing w:after="0" w:line="1" w:lineRule="exact"/>
        <w:rPr>
          <w:rFonts w:ascii="Arial" w:cs="Arial" w:eastAsia="Arial" w:hAnsi="Arial"/>
          <w:sz w:val="16"/>
          <w:szCs w:val="16"/>
          <w:color w:val="auto"/>
        </w:rPr>
      </w:pPr>
    </w:p>
    <w:p>
      <w:pPr>
        <w:ind w:firstLine="8"/>
        <w:spacing w:after="0" w:line="270" w:lineRule="auto"/>
        <w:tabs>
          <w:tab w:leader="none" w:pos="3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any other stock-based award vested in connection with or following termination of the Employment Period, or at any time subsequent to such breach, the value of such stock-based award at time of vesting plus any additional gain realized on a subsequent sale or disposition of the award or the underlying stock; and (iv) in respect of each stock option or stock appreciation right exercised by Executive within six (6) months prior to any such breach or subsequent thereto and prior to the forfeiture and disgorgement required by this Section 8(d), the excess over the exercise price (or base value, in the case of a stock appreciation right) of the greater of (A) the fair market value at time of exercise of the shares of stock subject to the award, or (B) the number of shares of stock subject to such award multiplied by the per-share proceeds of any sale of such stock by Executive.</w:t>
      </w:r>
    </w:p>
    <w:p>
      <w:pPr>
        <w:spacing w:after="0" w:line="70" w:lineRule="exact"/>
        <w:rPr>
          <w:rFonts w:ascii="Arial" w:cs="Arial" w:eastAsia="Arial" w:hAnsi="Arial"/>
          <w:sz w:val="17"/>
          <w:szCs w:val="17"/>
          <w:color w:val="auto"/>
        </w:rPr>
      </w:pPr>
    </w:p>
    <w:p>
      <w:pPr>
        <w:ind w:right="80" w:firstLine="464"/>
        <w:spacing w:after="0" w:line="276" w:lineRule="auto"/>
        <w:tabs>
          <w:tab w:leader="none" w:pos="836"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In order to ensure Executive’s compliance with this Section 8 during the Noncompetition Period and the Nonsolicitation Period, Executive shall notify the Company in writing of any change in his address and of each new job or other business activity in which he plans to engage at least two (2) weeks prior to engaging in such job or activity. Such notice shall state the name and address of any new employer and the nature of Executive’s position. Executive further agrees to provide the Company with any other pertinent information concerning such business activity as the Company may reasonably request in order to determine Executive’s continued compliance with his obligations under this Agreement.</w:t>
      </w:r>
    </w:p>
    <w:p>
      <w:pPr>
        <w:spacing w:after="0" w:line="64" w:lineRule="exact"/>
        <w:rPr>
          <w:rFonts w:ascii="Arial" w:cs="Arial" w:eastAsia="Arial" w:hAnsi="Arial"/>
          <w:sz w:val="17"/>
          <w:szCs w:val="17"/>
          <w:color w:val="auto"/>
        </w:rPr>
      </w:pPr>
    </w:p>
    <w:p>
      <w:pPr>
        <w:ind w:right="120" w:firstLine="464"/>
        <w:spacing w:after="0" w:line="257" w:lineRule="auto"/>
        <w:tabs>
          <w:tab w:leader="none" w:pos="6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hereby advises the Company that Executive has carefully read and considered all the terms and conditions of this Agreement, including the restraints imposed on Executive under this Section 8, and agrees without reservation that each of the restraints contained herein is necessary for the reasonable and proper protection of the good will, confidential information and other legitimate business interests of the Company and its Subsidiaries, that each and every one of those restraints is reasonable in respect to subject matter, length of time and geographic area; and that these restraints will not prevent Executive from</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52" w:name="page153"/>
    <w:bookmarkEnd w:id="15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obtaining other suitable employment during the period in which Executive is bound by them. Executive agrees that Executive will never assert, or permit to be asserted on his behalf, in any forum, any position contrary to the foregoing. Executive also acknowledges and agrees that, were Executive to breach any of the provisions of this Section 8, the harm to the Company and its Subsidiaries would be irreparable. Executive therefore agrees that, in the event of such a breach or threatened breach, the Company shall, in addition to any other remedies available to it and notwithstanding Section 14, have the right to preliminary and permanent injunctive relief against any such breach or threatened breach without having to post bond, and will additionally be entitled to an award of attorney’s fees incurred in connection with enforcing its rights hereunder. Executive further agrees that, in the event that any provision of this Agreement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Finally, Executive agrees that the Noncompetition Period and the Nonsolicitation Period shall be tolled, and shall not run, during any period of time in which Executive is in violation of any of the terms of this Section 8, in order that the Company shall have the agreed-upon temporal protection recited herein.</w:t>
      </w:r>
    </w:p>
    <w:p>
      <w:pPr>
        <w:spacing w:after="0" w:line="61" w:lineRule="exact"/>
        <w:rPr>
          <w:sz w:val="20"/>
          <w:szCs w:val="20"/>
          <w:color w:val="auto"/>
        </w:rPr>
      </w:pPr>
    </w:p>
    <w:p>
      <w:pPr>
        <w:jc w:val="both"/>
        <w:ind w:right="260" w:firstLine="464"/>
        <w:spacing w:after="0" w:line="279" w:lineRule="auto"/>
        <w:tabs>
          <w:tab w:leader="none" w:pos="7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Executive agrees that if any of the restrictions in this Section 8 is held to be void or ineffective for any reason but would be held to be valid and effective if part of its wording were deleted, that restriction shall apply with such deletions as may be necessary to make it valid and effective. Executive further agrees that the restrictions contained in each subsection of this Section 8 shall be construed as separate and individual restrictions and shall each be capable of being severed without prejudice to the other restrictions or to the remaining provisions.</w:t>
      </w:r>
    </w:p>
    <w:p>
      <w:pPr>
        <w:spacing w:after="0" w:line="63" w:lineRule="exact"/>
        <w:rPr>
          <w:rFonts w:ascii="Arial" w:cs="Arial" w:eastAsia="Arial" w:hAnsi="Arial"/>
          <w:sz w:val="17"/>
          <w:szCs w:val="17"/>
          <w:color w:val="auto"/>
        </w:rPr>
      </w:pPr>
    </w:p>
    <w:p>
      <w:pPr>
        <w:ind w:right="460" w:firstLine="464"/>
        <w:spacing w:after="0" w:line="279" w:lineRule="auto"/>
        <w:tabs>
          <w:tab w:leader="none" w:pos="71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Executive expressly consents to be bound by the provisions of this Agreement for the benefit of the Company and its Subsidiaries, and any successor or permitted assign to whose employ Executive may be transferred, without the necessity that this Agreement be re-signed at the time of such transfer. Executive further agrees that no changes in the nature or scope of his employment with the Company will operate to extinguish the terms and conditions set forth in Section 8, or otherwise require the parties to re-sign this Agreement.</w:t>
      </w:r>
    </w:p>
    <w:p>
      <w:pPr>
        <w:spacing w:after="0" w:line="63" w:lineRule="exact"/>
        <w:rPr>
          <w:rFonts w:ascii="Arial" w:cs="Arial" w:eastAsia="Arial" w:hAnsi="Arial"/>
          <w:sz w:val="17"/>
          <w:szCs w:val="17"/>
          <w:color w:val="auto"/>
        </w:rPr>
      </w:pPr>
    </w:p>
    <w:p>
      <w:pPr>
        <w:ind w:right="300" w:firstLine="464"/>
        <w:spacing w:after="0" w:line="342" w:lineRule="auto"/>
        <w:tabs>
          <w:tab w:leader="none" w:pos="67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provisions of this Section 8 shall survive the termination of the Employment Period and the termination of this Agreement, regardless of the reason or reasons therefor, and shall be binding on Executive regardless of any breach by the Company of any other provision of this Agreement.</w:t>
      </w:r>
    </w:p>
    <w:p>
      <w:pPr>
        <w:spacing w:after="0" w:line="16" w:lineRule="exact"/>
        <w:rPr>
          <w:sz w:val="20"/>
          <w:szCs w:val="20"/>
          <w:color w:val="auto"/>
        </w:rPr>
      </w:pPr>
    </w:p>
    <w:p>
      <w:pPr>
        <w:ind w:right="20" w:firstLine="464"/>
        <w:spacing w:after="0" w:line="264" w:lineRule="auto"/>
        <w:tabs>
          <w:tab w:leader="none" w:pos="76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ASSIGNMENT. The rights and obligations of the Company shall inure to the benefit of and shall be binding upon the successors and assigns of the Company. The rights and obligations of Executive are not assignable except only that stock issuable and awards and payments payable to him after his death shall be made to his estate except as otherwise provided by the applicable plan or award documentation, if any.</w:t>
      </w:r>
    </w:p>
    <w:p>
      <w:pPr>
        <w:spacing w:after="0" w:line="73" w:lineRule="exact"/>
        <w:rPr>
          <w:rFonts w:ascii="Arial" w:cs="Arial" w:eastAsia="Arial" w:hAnsi="Arial"/>
          <w:sz w:val="18"/>
          <w:szCs w:val="18"/>
          <w:color w:val="auto"/>
        </w:rPr>
      </w:pPr>
    </w:p>
    <w:p>
      <w:pPr>
        <w:ind w:right="260" w:firstLine="464"/>
        <w:spacing w:after="0" w:line="264" w:lineRule="auto"/>
        <w:tabs>
          <w:tab w:leader="none" w:pos="8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NOTICES. All notices and other communications required hereunder shall be in writing and shall be given by mailing the same by certified or registered mail, return receipt requested, postage prepaid. If sent to the Company the same shall be mailed to the Company at 770 Cochituate Road, Framingham, Massachusetts 01701, Attention: Chairman of the Executive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3" w:name="page154"/>
    <w:bookmarkEnd w:id="153"/>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Committee, or other such address as the Company may hereafter designate by notice to Executive, with a copy to: TJX General Counsel at the same address; and if sent to Executive, the same shall be mailed to Executive at his address as set forth in the records of the Company or at such other address as Executive may hereafter designate by notice to the Company.</w:t>
      </w:r>
    </w:p>
    <w:p>
      <w:pPr>
        <w:spacing w:after="0" w:line="73" w:lineRule="exact"/>
        <w:rPr>
          <w:sz w:val="20"/>
          <w:szCs w:val="20"/>
          <w:color w:val="auto"/>
        </w:rPr>
      </w:pPr>
    </w:p>
    <w:p>
      <w:pPr>
        <w:ind w:firstLine="464"/>
        <w:spacing w:after="0" w:line="270" w:lineRule="auto"/>
        <w:tabs>
          <w:tab w:leader="none" w:pos="85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WITHHOLDING; CERTAIN TAX MATTERS. Anything to the contrary notwithstanding, (a) all payments required to be made by the Company hereunder to Executive shall be subject to the withholding of such amounts, if any, relating to tax and other payroll deductions as the Company may reasonably determine it should withhold pursuant to any applicable law or regulation, and (b) to the extent any payment hereunder that is payable by reason of termination of Executive’s employment constitutes “nonqualified deferred compensation” subject to Section 409A and would otherwise have been required to be paid during the six (6)-month period following such termination of employment, it shall instead (unless at the relevant time Executive is no longer a Specified Employee) be delayed and paid, without interest, in a lump sum on the date that is six (6) months and one day after Executive’s termination (or, if earlier, the date of Executive’s death). Executive acknowledges that he has reviewed the provisions of this Agreement with his advisors and agrees that except for the payments described in Section 5(a)(ii) of this Agreement, the Company shall not be liable to make Executive whole for any taxes that may become due or payable by reason of this Agreement or any payment, benefit or entitlement hereunder.</w:t>
      </w:r>
    </w:p>
    <w:p>
      <w:pPr>
        <w:spacing w:after="0" w:line="73" w:lineRule="exact"/>
        <w:rPr>
          <w:rFonts w:ascii="Arial" w:cs="Arial" w:eastAsia="Arial" w:hAnsi="Arial"/>
          <w:sz w:val="17"/>
          <w:szCs w:val="17"/>
          <w:color w:val="auto"/>
        </w:rPr>
      </w:pPr>
    </w:p>
    <w:p>
      <w:pPr>
        <w:ind w:right="60" w:firstLine="464"/>
        <w:spacing w:after="0" w:line="288" w:lineRule="auto"/>
        <w:tabs>
          <w:tab w:leader="none" w:pos="86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RELEASE. Except for payment of any accrued and unpaid Base Salary and subject to such exceptions as the Company in its discretion may determine for the payment of other amounts accrued and vested prior to the Date of Termination, any obligation of the Company to provide compensation or benefits under Section 5, Section C.1 of Exhibit C of this Agreement, and (to the extent permitted by law) any vesting of unvested compensation or benefits in connection with or following Executive’s termination of employment, are expressly conditioned on Executive’s execution and delivery to the Company of an effective release of claims (in the form of release approved by the Committee on February 1, 2013) as to which all applicable rights of revocation, as determined by the Company, shall have expired prior to the sixtieth (60</w:t>
      </w:r>
      <w:r>
        <w:rPr>
          <w:rFonts w:ascii="Arial" w:cs="Arial" w:eastAsia="Arial" w:hAnsi="Arial"/>
          <w:sz w:val="13"/>
          <w:szCs w:val="13"/>
          <w:color w:val="auto"/>
        </w:rPr>
        <w:t>th</w:t>
      </w:r>
      <w:r>
        <w:rPr>
          <w:rFonts w:ascii="Arial" w:cs="Arial" w:eastAsia="Arial" w:hAnsi="Arial"/>
          <w:sz w:val="16"/>
          <w:szCs w:val="16"/>
          <w:color w:val="auto"/>
        </w:rPr>
        <w:t>) calendar day following the Date of Termination (any such timely and irrevocable release, the “Release of Claims”). Any compensation and benefits that are conditioned on the delivery of the Release of Claims under this Section 12 and that otherwise would have been payable prior to such sixtieth (60</w:t>
      </w:r>
      <w:r>
        <w:rPr>
          <w:rFonts w:ascii="Arial" w:cs="Arial" w:eastAsia="Arial" w:hAnsi="Arial"/>
          <w:sz w:val="13"/>
          <w:szCs w:val="13"/>
          <w:color w:val="auto"/>
        </w:rPr>
        <w:t>th</w:t>
      </w:r>
      <w:r>
        <w:rPr>
          <w:rFonts w:ascii="Arial" w:cs="Arial" w:eastAsia="Arial" w:hAnsi="Arial"/>
          <w:sz w:val="16"/>
          <w:szCs w:val="16"/>
          <w:color w:val="auto"/>
        </w:rPr>
        <w:t>) calendar day (determined, for the avoidance of doubt, after taking into account any other required delays in payment, including any six-month delay under Section 11) shall, if the Release of Claims is delivered, instead be paid on such sixtieth (60</w:t>
      </w:r>
      <w:r>
        <w:rPr>
          <w:rFonts w:ascii="Arial" w:cs="Arial" w:eastAsia="Arial" w:hAnsi="Arial"/>
          <w:sz w:val="13"/>
          <w:szCs w:val="13"/>
          <w:color w:val="auto"/>
        </w:rPr>
        <w:t>th</w:t>
      </w:r>
      <w:r>
        <w:rPr>
          <w:rFonts w:ascii="Arial" w:cs="Arial" w:eastAsia="Arial" w:hAnsi="Arial"/>
          <w:sz w:val="16"/>
          <w:szCs w:val="16"/>
          <w:color w:val="auto"/>
        </w:rPr>
        <w:t>) day, notwithstanding any provision of this Agreement regarding the time of such payments.</w:t>
      </w:r>
    </w:p>
    <w:p>
      <w:pPr>
        <w:spacing w:after="0" w:line="61" w:lineRule="exact"/>
        <w:rPr>
          <w:rFonts w:ascii="Arial" w:cs="Arial" w:eastAsia="Arial" w:hAnsi="Arial"/>
          <w:sz w:val="16"/>
          <w:szCs w:val="16"/>
          <w:color w:val="auto"/>
        </w:rPr>
      </w:pPr>
    </w:p>
    <w:p>
      <w:pPr>
        <w:ind w:right="40" w:firstLine="464"/>
        <w:spacing w:after="0" w:line="277" w:lineRule="auto"/>
        <w:tabs>
          <w:tab w:leader="none" w:pos="86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GOVERNING LAW. This Agreement and the rights and obligations of the parties hereunder shall be governed by the laws of the Commonwealth of Massachusetts.</w:t>
      </w:r>
    </w:p>
    <w:p>
      <w:pPr>
        <w:spacing w:after="0" w:line="62" w:lineRule="exact"/>
        <w:rPr>
          <w:rFonts w:ascii="Arial" w:cs="Arial" w:eastAsia="Arial" w:hAnsi="Arial"/>
          <w:sz w:val="18"/>
          <w:szCs w:val="18"/>
          <w:color w:val="auto"/>
        </w:rPr>
      </w:pPr>
    </w:p>
    <w:p>
      <w:pPr>
        <w:ind w:right="80" w:firstLine="464"/>
        <w:spacing w:after="0" w:line="312" w:lineRule="auto"/>
        <w:tabs>
          <w:tab w:leader="none" w:pos="85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ARBITRATION. In the event that there is any claim or dispute arising out of or relating to this Agreement, or the breach thereof, or otherwise arising out of or relating to Executive’s employment with, or compensation or benefits from, the Company or the termination thereof, including any claim for discrimination under any local, state, or federal employment discrimination law (including, but not limited to, M.G.L. c.151B), and the parties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4" w:name="page155"/>
    <w:bookmarkEnd w:id="15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hereto shall not have resolved such claim or dispute within sixty (60) days after written notice from one party to the other setting forth the nature of such claim or dispute, then such claim or dispute shall (except as otherwise provided in Section 8(f)) be settled exclusively by binding arbitration in Boston, Massachusetts in accordance with the JAMS Employment Arbitration Rules &amp; Procedures applicable at the time of commencement of the arbitration by an arbitrator mutually agreed upon by the parties hereto or, in the absence of such agreement, by an arbitrator selected according to such Rules. Notwithstanding the foregoing, if either the Company or Executive shall request, such arbitration shall be conducted by a panel of three arbitrators, one selected by the Company, one selected by Executive and the third selected by agreement of the first two, or, in the absence of such agreement, in accordance with such Rules. Judgment upon any award rendered by such arbitrator(s) shall be entered in any court having jurisdiction thereof upon the application of either party.</w:t>
      </w:r>
    </w:p>
    <w:p>
      <w:pPr>
        <w:spacing w:after="0" w:line="59" w:lineRule="exact"/>
        <w:rPr>
          <w:sz w:val="20"/>
          <w:szCs w:val="20"/>
          <w:color w:val="auto"/>
        </w:rPr>
      </w:pPr>
    </w:p>
    <w:p>
      <w:pPr>
        <w:jc w:val="both"/>
        <w:ind w:right="40" w:firstLine="464"/>
        <w:spacing w:after="0" w:line="259" w:lineRule="auto"/>
        <w:tabs>
          <w:tab w:leader="none" w:pos="8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TERMINATION OF EMPLOYMENT AND SEPARATION FROM SERVICE. All references in the Agreement to termination of employment, a termination of the Employment Period, or separation from service, and correlative terms, that result in the payment or vesting of any amounts or benefits that constitute “nonqualified deferred compensation” within the meaning of Section 409A shall be construed to require a Separation from Service, and the Date of Termination in any such case shall be construed to mean the date of the Separation from Service.</w:t>
      </w:r>
    </w:p>
    <w:p>
      <w:pPr>
        <w:spacing w:after="0" w:line="78" w:lineRule="exact"/>
        <w:rPr>
          <w:rFonts w:ascii="Arial" w:cs="Arial" w:eastAsia="Arial" w:hAnsi="Arial"/>
          <w:sz w:val="18"/>
          <w:szCs w:val="18"/>
          <w:color w:val="auto"/>
        </w:rPr>
      </w:pPr>
    </w:p>
    <w:p>
      <w:pPr>
        <w:ind w:right="700" w:firstLine="464"/>
        <w:spacing w:after="0" w:line="277" w:lineRule="auto"/>
        <w:tabs>
          <w:tab w:leader="none" w:pos="8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WAIVER. The Board or a committee thereof may waive any obligation of Executive under or restriction imposed upon Executive by the Agreement, but no such waiver shall be construed as a waiver of any other provision of the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5" w:name="page156"/>
    <w:bookmarkEnd w:id="155"/>
    <w:p>
      <w:pPr>
        <w:ind w:left="-180" w:firstLine="464"/>
        <w:spacing w:after="0" w:line="264" w:lineRule="auto"/>
        <w:tabs>
          <w:tab w:leader="none" w:pos="6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This Agreement, including Exhibits (which are hereby incorporated by reference), represents the entire agreement between the parties relating to the terms of Executive’s employment by the Company and supersedes all prior written or oral agreements, including, without limitation, the Prior Agreement, between them.</w:t>
      </w:r>
    </w:p>
    <w:p>
      <w:pPr>
        <w:spacing w:after="0" w:line="20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Ken Canestrari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-130810</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  /s/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718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420" w:top="274" w:right="419" w:bottom="1440" w:gutter="0" w:footer="0" w:header="0"/>
        </w:sectPr>
      </w:pPr>
    </w:p>
    <w:bookmarkStart w:id="156" w:name="page157"/>
    <w:bookmarkEnd w:id="156"/>
    <w:p>
      <w:pPr>
        <w:jc w:val="center"/>
        <w:ind w:right="-5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692" w:hanging="236"/>
        <w:spacing w:after="0"/>
        <w:tabs>
          <w:tab w:leader="none" w:pos="69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 Salary” means, for any period, the amount described in Section 3(a).</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8" w:firstLine="464"/>
        <w:spacing w:after="0" w:line="257" w:lineRule="auto"/>
        <w:tabs>
          <w:tab w:leader="none" w:pos="6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“Cause” means dishonesty by Executive in the performance of his duties, conviction of a felony (other than a conviction arising solely under a statutory provision imposing criminal liability upon Executive on a </w:t>
      </w:r>
      <w:r>
        <w:rPr>
          <w:rFonts w:ascii="Arial" w:cs="Arial" w:eastAsia="Arial" w:hAnsi="Arial"/>
          <w:sz w:val="18"/>
          <w:szCs w:val="18"/>
          <w:i w:val="1"/>
          <w:iCs w:val="1"/>
          <w:color w:val="auto"/>
        </w:rPr>
        <w:t>per se</w:t>
      </w:r>
      <w:r>
        <w:rPr>
          <w:rFonts w:ascii="Arial" w:cs="Arial" w:eastAsia="Arial" w:hAnsi="Arial"/>
          <w:sz w:val="18"/>
          <w:szCs w:val="18"/>
          <w:color w:val="auto"/>
        </w:rPr>
        <w:t xml:space="preserve"> basis due to the Company offices held by Executive, so long as any act or omission of Executive with respect to such matter was not taken or omitted in contravention of any applicable policy or directive of the Board), gross neglect of duties (other than as a result of Disability or death), or conflict of interest which conflict shall continue for thirty (30) days after the Company gives written notice to Executive requesting the cessation of such conflict.</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respect of any termination during a Standstill Period, Executive shall not be deemed to have been terminated for Cause until the later to occur of</w:t>
      </w:r>
    </w:p>
    <w:p>
      <w:pPr>
        <w:spacing w:after="0" w:line="46" w:lineRule="exact"/>
        <w:rPr>
          <w:sz w:val="20"/>
          <w:szCs w:val="20"/>
          <w:color w:val="auto"/>
        </w:rPr>
      </w:pPr>
    </w:p>
    <w:p>
      <w:pPr>
        <w:ind w:left="-8" w:firstLine="8"/>
        <w:spacing w:after="0" w:line="285" w:lineRule="auto"/>
        <w:tabs>
          <w:tab w:leader="none" w:pos="20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30th day after notice of termination is given and (ii) the delivery to Executive of a copy of a resolution duly adopted by the affirmative vote of not less than a majority of the Board at a meeting called and held for that purpose (after reasonable notice to Executive), and at which Executive together with his counsel was given an opportunity to be heard, finding that Executive was guilty of conduct described in the definition of “Cause” above, and specifying the particulars thereof in detail;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suspend Executive and withhold payment of his Base Salary from the date that notice of termination is given until the earliest to occur of (A) termination of Executive for Cause effected in accordance with the foregoing procedures (in which case Executive shall not be entitled to his Base Salary for such period), (B) a determination by a majority of the Board that Executive was not guilty of the conduct described in the definition of “Cause” effected in accordance with the foregoing procedures (in which case Executive shall be reinstated and paid any of his previously unpaid Base Salary for such period), or (C) ninety (90) days after notice of termination is given (in which case Executive shall then be reinstated and paid any of his previously unpaid Base Salary for such period). If Base Salary is withheld and then paid pursuant to clause (B) or (C) of the preceding sentence, the amount thereof shall be accompanied by simple interest, calculated on a daily basis, at a rate per annum equal to the prime or base lending rate, as in effect at the time, of the Company’s principal commercial bank. The Company shall exercise its discretion under this paragraph consistent with the requirements of Section 409A or the requirements for exemption from Section 409A.</w:t>
      </w:r>
    </w:p>
    <w:p>
      <w:pPr>
        <w:spacing w:after="0" w:line="172" w:lineRule="exact"/>
        <w:rPr>
          <w:rFonts w:ascii="Arial" w:cs="Arial" w:eastAsia="Arial" w:hAnsi="Arial"/>
          <w:sz w:val="16"/>
          <w:szCs w:val="16"/>
          <w:color w:val="auto"/>
        </w:rPr>
      </w:pPr>
    </w:p>
    <w:p>
      <w:pPr>
        <w:ind w:left="-8" w:right="140" w:firstLine="464"/>
        <w:spacing w:after="0" w:line="277" w:lineRule="auto"/>
        <w:tabs>
          <w:tab w:leader="none" w:pos="70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“Change in Control Event” means a “change in control event” (as that term is defined in section 1.409A-3(i)(5) of the Treasury Regulations under Section 409A) with respect to the Company.</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“Change of Control” has the meaning given it in Exhibit B.</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72"/>
          </w:cols>
          <w:pgMar w:left="248" w:top="274" w:right="279" w:bottom="1440" w:gutter="0" w:footer="0" w:header="0"/>
        </w:sectPr>
      </w:pPr>
    </w:p>
    <w:bookmarkStart w:id="157" w:name="page158"/>
    <w:bookmarkEnd w:id="157"/>
    <w:p>
      <w:pPr>
        <w:ind w:right="200" w:firstLine="464"/>
        <w:spacing w:after="0" w:line="277" w:lineRule="auto"/>
        <w:tabs>
          <w:tab w:leader="none" w:pos="681"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Termination” means the termination of Executive’s employment during a Standstill Period (1) by the Company other than for Cause, or (2) by Executive for good reason, or (3) by reason of death or Disability.</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For purposes of this definition, termination for “good reason” shall mean the voluntary termination by Executive of his employment within one hundred and twenty (120) days after the occurrence without Executive’s express written consent of any one of the events described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gives notice to the Company within sixty (60) days of the first occurrence of any such event or condition, requesting that the pertinent event or condition described therein be remedied, and the situation remains unremedied upon expiration of the thirty (30)-day period commencing upon receipt by the Company of such notice:</w:t>
      </w:r>
    </w:p>
    <w:p>
      <w:pPr>
        <w:spacing w:after="0" w:line="94" w:lineRule="exact"/>
        <w:rPr>
          <w:sz w:val="20"/>
          <w:szCs w:val="20"/>
          <w:color w:val="auto"/>
        </w:rPr>
      </w:pPr>
    </w:p>
    <w:p>
      <w:pPr>
        <w:jc w:val="both"/>
        <w:ind w:left="1480" w:right="300" w:hanging="567"/>
        <w:spacing w:after="0" w:line="302" w:lineRule="auto"/>
        <w:tabs>
          <w:tab w:leader="none" w:pos="14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assignment to him of any duties inconsistent with his positions, duties, responsibilities, and status with the Company immediately prior to the Change of Control, or any removal of Executive from or any failure to reelect him to such positions, except in connection with the termination of Executive’s employment by the Company for Cause or by Executive other than for good reason, or any other action by the Company which results in a diminishment in such position, authority, duties or responsibilities; or</w:t>
      </w:r>
    </w:p>
    <w:p>
      <w:pPr>
        <w:spacing w:after="0" w:line="60" w:lineRule="exact"/>
        <w:rPr>
          <w:sz w:val="20"/>
          <w:szCs w:val="20"/>
          <w:color w:val="auto"/>
        </w:rPr>
      </w:pPr>
    </w:p>
    <w:p>
      <w:pPr>
        <w:ind w:left="1480" w:hanging="567"/>
        <w:spacing w:after="0" w:line="259" w:lineRule="auto"/>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Executive’s rate of Base Salary for any fiscal year is less than 100% of the rate of Base Salary paid to Executive in the completed fiscal year immediately preceding the Change of Control or if Executive’s total cash compensation opportunities, including salary and incentives, for any fiscal year are less than 100% of the total cash compensation opportunities made available to Executive in the completed fiscal year immediately preceding the Change of Control; or</w:t>
      </w:r>
    </w:p>
    <w:p>
      <w:pPr>
        <w:spacing w:after="0" w:line="92" w:lineRule="exact"/>
        <w:rPr>
          <w:sz w:val="20"/>
          <w:szCs w:val="20"/>
          <w:color w:val="auto"/>
        </w:rPr>
      </w:pPr>
    </w:p>
    <w:p>
      <w:pPr>
        <w:ind w:left="1480" w:right="20" w:hanging="567"/>
        <w:spacing w:after="0" w:line="257" w:lineRule="auto"/>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failure of the Company to continue in effect any benefits or perquisites, or any pension, life insurance, medical insurance or disability plan in which Executive was participating immediately prior to the Change of Control unless the Company provides Executive with a plan or plans that provide substantially similar benefits, or the taking of any action by the Company that would adversely affect Executive’s participation in or materially reduce Executive’s benefits under any of such plans or deprive Executive of any material fringe benefit enjoyed by Executive immediately prior to the Change of Control; or</w:t>
      </w:r>
    </w:p>
    <w:p>
      <w:pPr>
        <w:spacing w:after="0" w:line="94" w:lineRule="exact"/>
        <w:rPr>
          <w:sz w:val="20"/>
          <w:szCs w:val="20"/>
          <w:color w:val="auto"/>
        </w:rPr>
      </w:pPr>
    </w:p>
    <w:p>
      <w:pPr>
        <w:ind w:left="1480" w:right="420" w:hanging="559"/>
        <w:spacing w:after="0" w:line="277" w:lineRule="auto"/>
        <w:tabs>
          <w:tab w:leader="none" w:pos="14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any purported termination of Executive’s employment by the Company for Cause during a Standstill Period which is not effected in compliance with paragraph (c) above; or</w:t>
      </w:r>
    </w:p>
    <w:p>
      <w:pPr>
        <w:spacing w:after="0" w:line="76" w:lineRule="exact"/>
        <w:rPr>
          <w:sz w:val="20"/>
          <w:szCs w:val="20"/>
          <w:color w:val="auto"/>
        </w:rPr>
      </w:pPr>
    </w:p>
    <w:p>
      <w:pPr>
        <w:ind w:left="1480" w:right="500" w:hanging="567"/>
        <w:spacing w:after="0" w:line="277" w:lineRule="auto"/>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relocation of Executive of more than forty (40) miles from the place where Executive was located at the time of the Change of Control; or</w:t>
      </w:r>
    </w:p>
    <w:p>
      <w:pPr>
        <w:spacing w:after="0" w:line="7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any other breach by the Company of any provision of this Agreement; 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58" w:name="page159"/>
    <w:bookmarkEnd w:id="158"/>
    <w:p>
      <w:pPr>
        <w:ind w:left="1480" w:right="220" w:hanging="559"/>
        <w:spacing w:after="0" w:line="302" w:lineRule="auto"/>
        <w:tabs>
          <w:tab w:leader="none" w:pos="14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w:t>
        <w:tab/>
        <w:t>the Company sells or otherwise disposes of, in one transaction or a series of related transactions, assets or earning power aggregating more than 30% of the assets (taken at asset value as stated on the books of the Company determined in accordance with generally accepted accounting principles consistently applied) or earning power of the Company (on an individual basis) or the Company and its Subsidiaries (on a consolidated basis) to any other Person or Persons (as those terms are defined in Exhibit B).</w:t>
      </w:r>
    </w:p>
    <w:p>
      <w:pPr>
        <w:spacing w:after="0" w:line="154" w:lineRule="exact"/>
        <w:rPr>
          <w:sz w:val="20"/>
          <w:szCs w:val="20"/>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“Committee” means the Executive Compensation Committee of the Board.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“Committee Resolution” means the designation of competitive businesses most recently adopted by the Committee at or prior to the date of</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execution of this Agreement for purposes of the restrictive covenants applicable to Executive, whether or not such designation also applies to other employees of the Company generally.</w:t>
      </w:r>
    </w:p>
    <w:p>
      <w:pPr>
        <w:spacing w:after="0" w:line="183" w:lineRule="exact"/>
        <w:rPr>
          <w:rFonts w:ascii="Arial" w:cs="Arial" w:eastAsia="Arial" w:hAnsi="Arial"/>
          <w:sz w:val="17"/>
          <w:szCs w:val="17"/>
          <w:color w:val="auto"/>
        </w:rPr>
      </w:pPr>
    </w:p>
    <w:p>
      <w:pPr>
        <w:ind w:right="20" w:firstLine="464"/>
        <w:spacing w:after="0" w:line="255" w:lineRule="auto"/>
        <w:tabs>
          <w:tab w:leader="none" w:pos="67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“Constructive Termination” means a termination of employment by Executive occurring within one hundred twenty (120) days of a requirement by the Company that Executive relocate, without his prior written consent, more than forty (40) miles from the current corporate headquarters of the Company, but only if (i) Executive shall have given to the Company notice of intent to terminate within sixty (60) days following notice to Executive of such required relocation and (ii) the Company shall have failed, within thirty (30) days thereafter, to withdraw its notice requiring Executive to relocate. For purposes of the preceding sentence, the one hundred twenty (120) day period shall commence upon the end of the thirty (30)-day cure period, if the Company fails to cure within such period.</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“Date of Termination” means the date on which Executive’s employment terminates.</w:t>
      </w:r>
    </w:p>
    <w:p>
      <w:pPr>
        <w:spacing w:after="0" w:line="225" w:lineRule="exact"/>
        <w:rPr>
          <w:rFonts w:ascii="Arial" w:cs="Arial" w:eastAsia="Arial" w:hAnsi="Arial"/>
          <w:sz w:val="18"/>
          <w:szCs w:val="18"/>
          <w:color w:val="auto"/>
        </w:rPr>
      </w:pPr>
    </w:p>
    <w:p>
      <w:pPr>
        <w:jc w:val="both"/>
        <w:ind w:firstLine="464"/>
        <w:spacing w:after="0" w:line="264" w:lineRule="auto"/>
        <w:tabs>
          <w:tab w:leader="none" w:pos="67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“Disabled”/“Disability” means a medically determinable physical or mental impairment that (i) can be expected either to result in death or to last for a continuous period of not less than six months and (ii) causes Executive to be unable to perform the duties of his position of employment or any substantially similar position of employment to the reasonable satisfaction of the Committee.</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“End Date” has the meaning set forth in Section 1 of the Agreement.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“ESP” means the Company’s Executive Savings Plan,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“LRPIP”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159" w:name="page160"/>
    <w:bookmarkEnd w:id="159"/>
    <w:p>
      <w:pPr>
        <w:ind w:right="20" w:firstLine="464"/>
        <w:spacing w:after="0" w:line="276" w:lineRule="auto"/>
        <w:tabs>
          <w:tab w:leader="none" w:pos="681" w:val="left"/>
        </w:tabs>
        <w:numPr>
          <w:ilvl w:val="0"/>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“Separation from Service” shall mean a “separation from service” (as that term is defined at Section 1.409A-1(h) of the Treasury Regulations under Section 409A) from the Company and from all other corporations and trades or businesses, if any, that would be treated as a single “service recipient” with the Company under Section 1.409A-1(h)(3) of such Treasury Regulations. The Committee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part of the Agreement.</w:t>
      </w:r>
    </w:p>
    <w:p>
      <w:pPr>
        <w:spacing w:after="0" w:line="172" w:lineRule="exact"/>
        <w:rPr>
          <w:rFonts w:ascii="Arial" w:cs="Arial" w:eastAsia="Arial" w:hAnsi="Arial"/>
          <w:sz w:val="17"/>
          <w:szCs w:val="17"/>
          <w:color w:val="auto"/>
        </w:rPr>
      </w:pPr>
    </w:p>
    <w:p>
      <w:pPr>
        <w:ind w:left="700" w:hanging="236"/>
        <w:spacing w:after="0"/>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“Specified Employee” shall mean an individual determined by the Committee or its delegate to be a specified employee as defined in subsection (a)</w:t>
      </w:r>
    </w:p>
    <w:p>
      <w:pPr>
        <w:spacing w:after="0" w:line="46"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(2)(B)(i) of Section 409A. The Committee may, but need not, elect in writing, subject to the applicable limitations under Section 409A, any of the special elective rules prescribed in Section 1.409A-1(i) of the Treasury Regulations for purposes of determining “specified employee” status. Any such written election shall be deemed part of the Agreement.</w:t>
      </w:r>
    </w:p>
    <w:p>
      <w:pPr>
        <w:spacing w:after="0" w:line="190" w:lineRule="exact"/>
        <w:rPr>
          <w:rFonts w:ascii="Arial" w:cs="Arial" w:eastAsia="Arial" w:hAnsi="Arial"/>
          <w:sz w:val="16"/>
          <w:szCs w:val="16"/>
          <w:color w:val="auto"/>
        </w:rPr>
      </w:pPr>
    </w:p>
    <w:p>
      <w:pPr>
        <w:ind w:right="60" w:firstLine="464"/>
        <w:spacing w:after="0" w:line="277" w:lineRule="auto"/>
        <w:tabs>
          <w:tab w:leader="none" w:pos="6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“Standstill Period” means the period commencing on the date of a Change of Control and continuing until the close of business on the last business day of the 24th calendar month following such Change of Control.</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“Stock Incentive Plan” has the meaning set forth in Section 3(b) of the Agreement.</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“Subsidiary” means any corporation in which the Company owns, directly or indirectly, 50% or more of the total combined voting power of all classes of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74"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Definition of “Change of Control”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shall mean the occurrence of any one of the following events:</w:t>
      </w:r>
    </w:p>
    <w:p>
      <w:pPr>
        <w:spacing w:after="0" w:line="117" w:lineRule="exact"/>
        <w:rPr>
          <w:sz w:val="20"/>
          <w:szCs w:val="20"/>
          <w:color w:val="auto"/>
        </w:rPr>
      </w:pPr>
    </w:p>
    <w:p>
      <w:pPr>
        <w:ind w:right="80" w:firstLine="464"/>
        <w:spacing w:after="0" w:line="297" w:lineRule="auto"/>
        <w:tabs>
          <w:tab w:leader="none" w:pos="70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there occurs a change of control of the Company of a nature that would be required to be reported in response to Item 5.01 of the Current Report on Form 8-K (as amended in 2004) pursuant to Section 13 or 15(d) of the Securities Exchange Act of 1934 (the “Exchange Act”) or in any other filing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transaction shall be deemed to be a Change of Control (i) if the person or each member of a group of persons acquiring control is excluded from the definition of the term “Person” hereunder or (ii) unless the Committee shall otherwise determine prior to such occurrence, if Executive or an Executive Related Party is the Person or a member of a group constituting the Person acquiring control; or</w:t>
      </w:r>
    </w:p>
    <w:p>
      <w:pPr>
        <w:spacing w:after="0" w:line="50" w:lineRule="exact"/>
        <w:rPr>
          <w:rFonts w:ascii="Arial" w:cs="Arial" w:eastAsia="Arial" w:hAnsi="Arial"/>
          <w:sz w:val="16"/>
          <w:szCs w:val="16"/>
          <w:color w:val="auto"/>
        </w:rPr>
      </w:pPr>
    </w:p>
    <w:p>
      <w:pPr>
        <w:ind w:right="80" w:firstLine="464"/>
        <w:spacing w:after="0" w:line="255" w:lineRule="auto"/>
        <w:tabs>
          <w:tab w:leader="none" w:pos="71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Person other than the Company, any wholly-owned subsidiary of the Company, or any employee benefit plan of the Company or such a subsidiary becomes the owner of 20% or more of the Common Stock and thereafter individuals who were not directors of the Company prior to the date such Person became a 20% owner are elected as directors pursuant to an arrangement or understanding with, or upon the request of or nomination by, such Person and constitute a majority of the Board; provided, however, that unless the Committee shall otherwise determine prior to the acquisition of such 20% ownership, such acquisition of ownership shall not constitute a Change of Control if Executive or an Executive Related Party is the Person or a member of a group constituting the Person acquiring such ownership; or</w:t>
      </w:r>
    </w:p>
    <w:p>
      <w:pPr>
        <w:spacing w:after="0" w:line="85" w:lineRule="exact"/>
        <w:rPr>
          <w:rFonts w:ascii="Arial" w:cs="Arial" w:eastAsia="Arial" w:hAnsi="Arial"/>
          <w:sz w:val="18"/>
          <w:szCs w:val="18"/>
          <w:color w:val="auto"/>
        </w:rPr>
      </w:pPr>
    </w:p>
    <w:p>
      <w:pPr>
        <w:ind w:firstLine="464"/>
        <w:spacing w:after="0" w:line="286" w:lineRule="auto"/>
        <w:tabs>
          <w:tab w:leader="none" w:pos="70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there occurs any solicitation or series of solicitations of proxies by or on behalf of any Person other than the Board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 majority of the Board; or</w:t>
      </w:r>
    </w:p>
    <w:p>
      <w:pPr>
        <w:spacing w:after="0" w:line="57" w:lineRule="exact"/>
        <w:rPr>
          <w:rFonts w:ascii="Arial" w:cs="Arial" w:eastAsia="Arial" w:hAnsi="Arial"/>
          <w:sz w:val="17"/>
          <w:szCs w:val="17"/>
          <w:color w:val="auto"/>
        </w:rPr>
      </w:pPr>
    </w:p>
    <w:p>
      <w:pPr>
        <w:ind w:right="180" w:firstLine="464"/>
        <w:spacing w:after="0" w:line="291" w:lineRule="auto"/>
        <w:tabs>
          <w:tab w:leader="none" w:pos="71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Company executes an agreement of acquisition, merger or consolidation which contemplates that (i) after the effective date provided for in the agreement, all or substantially all of the business and/or assets of the Company shall be owned, leased or otherwise controlled by another Person and</w:t>
      </w:r>
    </w:p>
    <w:p>
      <w:pPr>
        <w:ind w:firstLine="8"/>
        <w:spacing w:after="0" w:line="287" w:lineRule="auto"/>
        <w:tabs>
          <w:tab w:leader="none" w:pos="26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individuals who are directors of the Company when such agreement is executed shall not constitute a majority of the board of directors of the survivor or successor entity immediately after the effective date provided for in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unless otherwise determined by the Committee, no transaction shall constitute a Change of Control if, immediately after such transaction, Executive or any Executive Related Party shall own equity securities of any surviving corporation (“Surviving Entity”) having a fair value as a percentage of the fair value of the equity securities of such Surviving Entity greater than 125% of the fair value of the equity securities of the Company owned by Executive and any Executive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this paragraph (d), a Change of Control shall not be deemed to have taken place unless and until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61" w:name="page162"/>
    <w:bookmarkEnd w:id="161"/>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or consolidation contemplated by such agreement is consummated (but immediately prior to the consummation of such acquisition, merger, or consolidation, a Change of Control shall be deemed to have occurred on the date of execution of such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this Exhibit B the following terms have the meanings set forth below:</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shall expressly so determine in any future transaction or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Person shall be deemed to be the “owner” of any Common Stock:</w:t>
      </w:r>
    </w:p>
    <w:p>
      <w:pPr>
        <w:spacing w:after="0" w:line="117" w:lineRule="exact"/>
        <w:rPr>
          <w:sz w:val="20"/>
          <w:szCs w:val="20"/>
          <w:color w:val="auto"/>
        </w:rPr>
      </w:pPr>
    </w:p>
    <w:p>
      <w:pPr>
        <w:ind w:left="460" w:right="240" w:firstLine="443"/>
        <w:spacing w:after="0" w:line="277" w:lineRule="auto"/>
        <w:tabs>
          <w:tab w:leader="none" w:pos="111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as such term is defined in Rule 13d-3 promulgated by the Securities and Exchange Commission (the “Commission”) under the Exchange Act, as in effect on March 1, 1989; or</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6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for purposes of Section 16 of the Exchange Act and the rules of the Commission promulgated thereunder, as in effect on March 1, 1989; or</w:t>
      </w:r>
    </w:p>
    <w:p>
      <w:pPr>
        <w:spacing w:after="0" w:line="62" w:lineRule="exact"/>
        <w:rPr>
          <w:rFonts w:ascii="Arial" w:cs="Arial" w:eastAsia="Arial" w:hAnsi="Arial"/>
          <w:sz w:val="18"/>
          <w:szCs w:val="18"/>
          <w:color w:val="auto"/>
        </w:rPr>
      </w:pPr>
    </w:p>
    <w:p>
      <w:pPr>
        <w:ind w:left="460" w:firstLine="443"/>
        <w:spacing w:after="0" w:line="312" w:lineRule="auto"/>
        <w:tabs>
          <w:tab w:leader="none" w:pos="12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shall have the meaning used in Section 13(d) of the Exchange Act, as in effect on March 1, 1989.</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 “Executive Related Party” shall mean any affiliate or associate of Executive other than the Company or a majority-owned subsidiary of the Company. The terms “affiliate” and “associate” shall have the meanings ascribed thereto in Rule 12b-2 under the Exchange Act (the term “registrant” in the definition of “associate” meaning, in this case, the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74" w:right="33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of Control Benefits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Benefits Upon a Change of Control Termination</w:t>
      </w:r>
      <w:r>
        <w:rPr>
          <w:rFonts w:ascii="Arial" w:cs="Arial" w:eastAsia="Arial" w:hAnsi="Arial"/>
          <w:sz w:val="18"/>
          <w:szCs w:val="18"/>
          <w:color w:val="auto"/>
        </w:rPr>
        <w:t>. Executive shall be entitled to the payments and benefits described in this Section C.1 in the event of a Change of Control Termination.</w:t>
      </w:r>
    </w:p>
    <w:p>
      <w:pPr>
        <w:spacing w:after="0" w:line="170" w:lineRule="exact"/>
        <w:rPr>
          <w:sz w:val="20"/>
          <w:szCs w:val="20"/>
          <w:color w:val="auto"/>
        </w:rPr>
      </w:pPr>
    </w:p>
    <w:p>
      <w:pPr>
        <w:ind w:right="20" w:firstLine="464"/>
        <w:spacing w:after="0" w:line="285" w:lineRule="auto"/>
        <w:tabs>
          <w:tab w:leader="none" w:pos="7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Company shall pay to Executive (1) as hereinafter provided, an amount equal to the sum of (A) two times his Base Salary for one year at the rate in effect immediately prior to the Date of Termination or the Change of Control, whichever is higher, plus (B) two times the target award opportunity most recently granted to Executive prior to the Change of Control under MIP, which opportunity (if expressed as a percentage of Base Salary) shall be determined by reference to Executive’s Base Salary for one year at the rate in effect immediately prior to the Date of Termination or the Change of Control, whichever is higher; plus (2) within thirty (30) days following the Change of Control Termination, the accrued and unpaid portion of his Base Salary through the Date of Termination, subject to the following. If Executive is eligible for long-term disability compensation benefits under the Company’s long-term disability plan, the amount payable under (1)(A) above shall be reduced by the annual long-term disability compensation benefit for which Executive is eligible under such plan for the two-year period over which the amount payable under (1)(A) above is measured. To avoid duplication of benefits, if for any period Executive receives long-term disability compensation payments under a long-term disability plan of the Company as well as payments under the first sentence of this subsection (a), and if the sum of such payments for any period exceeds the payment for such period to which Executive is entitled under the first sentence of this subsection (a) (determined without regard to the second sentence of this subsection (a)), Executive shall promptly pay such excess in reimbursement to the Company. If the Change of Control Termination occurs in connection with a Change of Control that is also a Change in Control Event, the amount described under (1) above shall be paid in a lump sum on the date that is six (6) months and one day following the date of the Change of Control Termination (or, if earlier, the date of Executive’s death), unless Executive is not a Specified Employee on the relevant date, in which case the amount described under (1) above shall instead be paid thirty (30) days following the date of the Change of Control Termination. If the Change of Control Termination occurs more than two years after a Change in Control Event or in connection with a Change of Control that is not a Change in Control Event, the amount described under (1) above shall be paid, except as otherwise required by Section 11 of the Agreement, in the same manner as Base Salary continuation would have been paid in the case of a termination by the Company other than for Cause under Section 5(a).</w:t>
      </w:r>
    </w:p>
    <w:p>
      <w:pPr>
        <w:spacing w:after="0" w:line="172" w:lineRule="exact"/>
        <w:rPr>
          <w:rFonts w:ascii="Arial" w:cs="Arial" w:eastAsia="Arial" w:hAnsi="Arial"/>
          <w:sz w:val="16"/>
          <w:szCs w:val="16"/>
          <w:color w:val="auto"/>
        </w:rPr>
      </w:pPr>
    </w:p>
    <w:p>
      <w:pPr>
        <w:ind w:firstLine="464"/>
        <w:spacing w:after="0" w:line="276" w:lineRule="auto"/>
        <w:tabs>
          <w:tab w:leader="none" w:pos="71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Until the second anniversary of the Date of Termination, the Company shall maintain in full force and effect for the continued benefit of Executive and his family all life insurance and medical insurance plans and programs in which Executive was entitled to participate immediately prior to the Change of Control; provided, that Executive’s continued participation is possible under the general terms and provisions of such plans and programs. In the event that Executive is ineligible to participate in such plans or programs, or if the Company in its discretion determines that continued participation on such basis could give rise to a tax or penalty, the Company shall provide for a comparable alternative arrangement (which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163" w:name="page164"/>
    <w:bookmarkEnd w:id="163"/>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consist of a cash payment) in lieu of continued coverage. Notwithstanding the foregoing, the Company’s obligations hereunder with respect to life or medical coverage or benefits shall be deemed satisfied to the extent (but only to the extent) of any such coverage or benefits provided by another employer.</w:t>
      </w:r>
    </w:p>
    <w:p>
      <w:pPr>
        <w:spacing w:after="0" w:line="124" w:lineRule="exact"/>
        <w:rPr>
          <w:sz w:val="20"/>
          <w:szCs w:val="20"/>
          <w:color w:val="auto"/>
        </w:rPr>
      </w:pPr>
    </w:p>
    <w:p>
      <w:pPr>
        <w:ind w:right="60" w:firstLine="464"/>
        <w:spacing w:after="0" w:line="272" w:lineRule="auto"/>
        <w:tabs>
          <w:tab w:leader="none" w:pos="7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On the date that is six (6) months and one day following the date of the Change of Control Termination (or, if earlier, the date of Executive’s death), the Company shall pay to Executive or his estate, in lieu of any automobile allowance, the present value of the automobile allowance (at the rate in effect prior to the Change of Control) it would have paid for the two years following the Change of Control Termination (or until the earlier date of Executive’s death, if Executive dies prior to the date of the payment under this Section C.1(c));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Change of Control is not a Change of Control Event, such amount shall instead be paid in the same manner as Executive’s automobile allowance would have been paid in the case of a termination by the Company other than for Cause under Section 5(a); </w:t>
      </w:r>
      <w:r>
        <w:rPr>
          <w:rFonts w:ascii="Arial" w:cs="Arial" w:eastAsia="Arial" w:hAnsi="Arial"/>
          <w:sz w:val="17"/>
          <w:szCs w:val="17"/>
          <w:i w:val="1"/>
          <w:iCs w:val="1"/>
          <w:color w:val="auto"/>
        </w:rPr>
        <w:t>and further provided</w:t>
      </w:r>
      <w:r>
        <w:rPr>
          <w:rFonts w:ascii="Arial" w:cs="Arial" w:eastAsia="Arial" w:hAnsi="Arial"/>
          <w:sz w:val="17"/>
          <w:szCs w:val="17"/>
          <w:color w:val="auto"/>
        </w:rPr>
        <w:t>, that if Executive is not a Specified Employee on the relevant date, any lump sum payable under this Section C.1(c) shall instead by paid within thirty (30) days following the Change of Control Termination.</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C.2. </w:t>
      </w:r>
      <w:r>
        <w:rPr>
          <w:rFonts w:ascii="Arial" w:cs="Arial" w:eastAsia="Arial" w:hAnsi="Arial"/>
          <w:sz w:val="16"/>
          <w:szCs w:val="16"/>
          <w:u w:val="single" w:color="auto"/>
          <w:color w:val="auto"/>
        </w:rPr>
        <w:t>Payment Adjustment</w:t>
      </w:r>
      <w:r>
        <w:rPr>
          <w:rFonts w:ascii="Arial" w:cs="Arial" w:eastAsia="Arial" w:hAnsi="Arial"/>
          <w:sz w:val="16"/>
          <w:szCs w:val="16"/>
          <w:color w:val="auto"/>
        </w:rPr>
        <w:t xml:space="preserve">. Payments under this Exhibit C shall be made without regard to whether the deductibility of such payments (or any other payments or benefits to or for the benefit of Executive) would be limited or precluded by Section 280G of the Code (“Section 280G”) and without regard to whether such payments (or any other payments or benefits) would subject Executive to the federal excise tax levied on certain “excess parachute payments” under Section 4999 of the Code (the “Excise Tax”); </w:t>
      </w:r>
      <w:r>
        <w:rPr>
          <w:rFonts w:ascii="Arial" w:cs="Arial" w:eastAsia="Arial" w:hAnsi="Arial"/>
          <w:sz w:val="16"/>
          <w:szCs w:val="16"/>
          <w:i w:val="1"/>
          <w:iCs w:val="1"/>
          <w:color w:val="auto"/>
        </w:rPr>
        <w:t>provided</w:t>
      </w:r>
      <w:r>
        <w:rPr>
          <w:rFonts w:ascii="Arial" w:cs="Arial" w:eastAsia="Arial" w:hAnsi="Arial"/>
          <w:sz w:val="16"/>
          <w:szCs w:val="16"/>
          <w:color w:val="auto"/>
        </w:rPr>
        <w:t>, that if the total of all payments to or for the benefit of Executive, after reduction for all federal taxes (including the excise tax under Section 4999 of the Code) with respect to such payments (“Executive’s total after-tax payments”), would be increased by the limitation or elimination of any payment under Section C.1 or Section C.3 of this Exhibit, or by an adjustment to the vesting of any equity-based or other awards that would otherwise vest on an accelerated basis in connection with the Change of Control, amounts payable under Section C.1 and Section C.3 of this Exhibit shall be reduced and the vesting of equity-based and other awards shall be adjusted to the extent, and only to the extent, necessary to maximize Executive’s total after-tax payments. Any reduction in payments or adjustment of vesting required by the preceding sentence shall be applied, first, against any benefits payable under Section C.1(a)(1) of this Exhibit, then against any benefits payable under Section C.3 of this Exhibit, then against the vesting of any performance-based restricted stock awards that would otherwise have vested in connection with the Change of Control, then against the vesting of any other equity-based awards, if any, that would otherwise have vested in connection with the Change of Control, and finally against all other payments, if any. The determination as to whether Executive’s payments and benefits include “excess parachute payments” and, if so, the amount and ordering of any reductions in payment required by the provisions of this Section C.2 shall be made at the Company’s expense by PricewaterhouseCoopers LLP or by such other certified public accounting firm as the Committee may designate prior to a Change of Control (the “accounting firm”). In the event of any underpayment or overpayment hereunder, as determined by the accounting firm, the amount of such underpayment or overpayment shall forthwith and in all events within thirty (30) days of such determination be paid to Executive or refunded to the Company, as the case may be, with interest at the applicable Federal rate provided for in Section 7872(f)(2) of the Code.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64" w:name="page165"/>
    <w:bookmarkEnd w:id="164"/>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C.3. Settlement of MIP and LRPIP. Upon the occurrence of a Change of Control, Executive’s interest in MIP and LRPIP shall be settled automatically by the payment to Executive, in a lump sum within thirty (30) days following the Change of Control, of an amount equal to the sum of Executive’s target award opportunities with respect to each award granted to Executive under MIP and LRPIP for the fiscal year (in the case of MIP), and any performance cycle (in the case of LRPIP), that begins before and ends after the date of the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this Section C.3, unless Executive has been granted new award opportunities under MIP for such fiscal year and under LRPIP for the performance cycle commencing with such fiscal year, Executive’s most recent target award opportunities under MIP and LRPIP shall be deemed to have been granted to Executive under MIP and LRPIP with respect to such fiscal year and such performance cycle, respectively.</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C.4. </w:t>
      </w:r>
      <w:r>
        <w:rPr>
          <w:rFonts w:ascii="Arial" w:cs="Arial" w:eastAsia="Arial" w:hAnsi="Arial"/>
          <w:sz w:val="18"/>
          <w:szCs w:val="18"/>
          <w:u w:val="single" w:color="auto"/>
          <w:color w:val="auto"/>
        </w:rPr>
        <w:t>Other Benefits</w:t>
      </w:r>
      <w:r>
        <w:rPr>
          <w:rFonts w:ascii="Arial" w:cs="Arial" w:eastAsia="Arial" w:hAnsi="Arial"/>
          <w:sz w:val="18"/>
          <w:szCs w:val="18"/>
          <w:color w:val="auto"/>
        </w:rPr>
        <w:t>. In addition to the amounts that may be payable under Sections C.1 or C.3 (but without duplication of any payments or benefits to which Executive may be entitled under any provision of this Agreement, and subject to Section C.2), upon and following a Change of Control Executive or his legal representative shall be entitled to: (i) his Stock Incentive Plan benefits, if any, under Section 3(b) (Existing Awards) and Section 3(c) (New Stock Awards); and (ii) any unpaid amounts to which Executive is entitled under MIP with respect to any fiscal year completed prior to the Change of Control, or under LRPIP with respect to any performance cycle completed prior to the Change of Control; and (iii) the payment of his vested benefits under the plans described in Section 3(f) (Qualified Plans; Other Deferred Compensation Plans), in each case, in accordance with and subject to the terms of the applicable plan, program or arrangement.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C.5. </w:t>
      </w:r>
      <w:r>
        <w:rPr>
          <w:rFonts w:ascii="Arial" w:cs="Arial" w:eastAsia="Arial" w:hAnsi="Arial"/>
          <w:sz w:val="18"/>
          <w:szCs w:val="18"/>
          <w:u w:val="single" w:color="auto"/>
          <w:color w:val="auto"/>
        </w:rPr>
        <w:t>Noncompetition; No Mitigation of Damages; etc</w:t>
      </w:r>
      <w:r>
        <w:rPr>
          <w:rFonts w:ascii="Arial" w:cs="Arial" w:eastAsia="Arial" w:hAnsi="Arial"/>
          <w:sz w:val="18"/>
          <w:szCs w:val="18"/>
          <w:color w:val="auto"/>
        </w:rPr>
        <w:t>.</w:t>
      </w:r>
    </w:p>
    <w:p>
      <w:pPr>
        <w:spacing w:after="0" w:line="225" w:lineRule="exact"/>
        <w:rPr>
          <w:sz w:val="20"/>
          <w:szCs w:val="20"/>
          <w:color w:val="auto"/>
        </w:rPr>
      </w:pPr>
    </w:p>
    <w:p>
      <w:pPr>
        <w:ind w:right="620" w:firstLine="464"/>
        <w:spacing w:after="0" w:line="308" w:lineRule="auto"/>
        <w:tabs>
          <w:tab w:leader="none" w:pos="701"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Upon a Change of Control, any agreement by Executive not to engage in competition with the Company subsequent to the termination of his employment, whether contained in an employment agreement or other agreement, shall no longer be effective.</w:t>
      </w:r>
    </w:p>
    <w:p>
      <w:pPr>
        <w:spacing w:after="0" w:line="146"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Executive’s benefits under this Exhibit C shall be considered severance pay in consideration of his past service and his continued service from the date of this Agreement, and his entitlement thereto shall neither be governed by any duty to mitigate his damages by seeking further employment nor offset by any compensation which he may receive from future employment.</w:t>
      </w:r>
    </w:p>
    <w:p>
      <w:pPr>
        <w:spacing w:after="0" w:line="181" w:lineRule="exact"/>
        <w:rPr>
          <w:rFonts w:ascii="Arial" w:cs="Arial" w:eastAsia="Arial" w:hAnsi="Arial"/>
          <w:sz w:val="18"/>
          <w:szCs w:val="18"/>
          <w:color w:val="auto"/>
        </w:rPr>
      </w:pPr>
    </w:p>
    <w:p>
      <w:pPr>
        <w:ind w:firstLine="464"/>
        <w:spacing w:after="0" w:line="255" w:lineRule="auto"/>
        <w:tabs>
          <w:tab w:leader="none" w:pos="70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Company shall pay all legal fees and expenses, including but not limited to counsel fees, reasonably incurred by Executive in contesting or disputing that the termination of his employment during a Standstill Period is for Cause or other than for good reason (as defined in the definition of Change of Control Termination) or obtaining any right or benefit to which Executive is entitled under this Agreement following a Change of Control. Any amount payable under this Agreement that is not paid when due shall accrue interest at the prime rate as from time to time in effect at Bank of America, or its successor, until paid in full. All payments and reimbursements under this Section shall be made consistent with the applicable requirements of Section 409A.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165" w:name="page166"/>
    <w:bookmarkEnd w:id="165"/>
    <w:p>
      <w:pPr>
        <w:ind w:left="-120" w:firstLine="464"/>
        <w:spacing w:after="0" w:line="277" w:lineRule="auto"/>
        <w:tabs>
          <w:tab w:leader="none" w:pos="59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Termination</w:t>
      </w:r>
      <w:r>
        <w:rPr>
          <w:rFonts w:ascii="Arial" w:cs="Arial" w:eastAsia="Arial" w:hAnsi="Arial"/>
          <w:sz w:val="18"/>
          <w:szCs w:val="18"/>
          <w:color w:val="auto"/>
        </w:rPr>
        <w:t>. During a Standstill Period, Executive’s employment may be terminated by the Company only upon thirty (30) days’ written notice to Executive.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00"/>
          </w:cols>
          <w:pgMar w:left="360" w:top="274"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JANUARY 16, 2018</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BETWEEN DOUGLAS MIZZI AND THE TJX COMPANIES, INC.</w:t>
      </w:r>
    </w:p>
    <w:p>
      <w:pPr>
        <w:sectPr>
          <w:pgSz w:w="11900" w:h="16838" w:orient="portrait"/>
          <w:cols w:equalWidth="0" w:num="1">
            <w:col w:w="10220"/>
          </w:cols>
          <w:pgMar w:left="1440" w:top="121"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INDEX</w:t>
            </w:r>
          </w:p>
        </w:tc>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660" w:type="dxa"/>
            <w:vAlign w:val="bottom"/>
            <w:gridSpan w:val="3"/>
            <w:vMerge w:val="restart"/>
          </w:tcPr>
          <w:p>
            <w:pPr>
              <w:ind w:left="100"/>
              <w:spacing w:after="0"/>
              <w:rPr>
                <w:sz w:val="20"/>
                <w:szCs w:val="20"/>
                <w:color w:val="auto"/>
              </w:rPr>
            </w:pPr>
            <w:r>
              <w:rPr>
                <w:rFonts w:ascii="Arial" w:cs="Arial" w:eastAsia="Arial" w:hAnsi="Arial"/>
                <w:sz w:val="18"/>
                <w:szCs w:val="18"/>
                <w:color w:val="auto"/>
              </w:rPr>
              <w:t>EFFECTIVE DATE; TERM OF AGREEMENT.</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340" w:type="dxa"/>
            <w:vAlign w:val="bottom"/>
            <w:vMerge w:val="continue"/>
          </w:tcPr>
          <w:p>
            <w:pPr>
              <w:spacing w:after="0"/>
              <w:rPr>
                <w:sz w:val="16"/>
                <w:szCs w:val="16"/>
                <w:color w:val="auto"/>
              </w:rPr>
            </w:pPr>
          </w:p>
        </w:tc>
        <w:tc>
          <w:tcPr>
            <w:tcW w:w="10660" w:type="dxa"/>
            <w:vAlign w:val="bottom"/>
            <w:gridSpan w:val="3"/>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SCOPE OF EMPLOYMENT.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COMPENSATION AND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IN GENERAL.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BENEFITS UPON NON-VOLUNTARY TERMINATION OF EMPLOYMENT OR UPON EXPIRATION OF THE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OTHER TERMINATION.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AGREEMENT NOT TO SOLICIT OR COMPETE.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ASSIGNMENT.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WITHHOLDING; CERTAIN TAX MATTERS.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RELEASE.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ARBITRATION.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TERMINATION OF EMPLOYMENT AND SEPARATION FROM SERVICE.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WAIVER.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660" w:type="dxa"/>
            <w:vAlign w:val="bottom"/>
            <w:gridSpan w:val="3"/>
          </w:tcPr>
          <w:p>
            <w:pPr>
              <w:ind w:left="100"/>
              <w:spacing w:after="0"/>
              <w:rPr>
                <w:sz w:val="20"/>
                <w:szCs w:val="20"/>
                <w:color w:val="auto"/>
              </w:rPr>
            </w:pPr>
            <w:r>
              <w:rPr>
                <w:rFonts w:ascii="Arial" w:cs="Arial" w:eastAsia="Arial" w:hAnsi="Arial"/>
                <w:sz w:val="18"/>
                <w:szCs w:val="18"/>
                <w:color w:val="auto"/>
              </w:rPr>
              <w:t>ENTIRE AGREEMENT.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45"/>
        </w:trPr>
        <w:tc>
          <w:tcPr>
            <w:tcW w:w="11000" w:type="dxa"/>
            <w:vAlign w:val="bottom"/>
            <w:gridSpan w:val="4"/>
          </w:tcPr>
          <w:p>
            <w:pPr>
              <w:spacing w:after="0"/>
              <w:rPr>
                <w:sz w:val="20"/>
                <w:szCs w:val="20"/>
                <w:color w:val="auto"/>
              </w:rPr>
            </w:pPr>
            <w:r>
              <w:rPr>
                <w:rFonts w:ascii="Arial" w:cs="Arial" w:eastAsia="Arial" w:hAnsi="Arial"/>
                <w:sz w:val="18"/>
                <w:szCs w:val="18"/>
                <w:color w:val="auto"/>
              </w:rPr>
              <w:t>EXHIBIT A Certain Definitions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00" w:type="dxa"/>
            <w:vAlign w:val="bottom"/>
            <w:gridSpan w:val="4"/>
          </w:tcPr>
          <w:p>
            <w:pPr>
              <w:spacing w:after="0"/>
              <w:rPr>
                <w:sz w:val="20"/>
                <w:szCs w:val="20"/>
                <w:color w:val="auto"/>
              </w:rPr>
            </w:pPr>
            <w:r>
              <w:rPr>
                <w:rFonts w:ascii="Arial" w:cs="Arial" w:eastAsia="Arial" w:hAnsi="Arial"/>
                <w:sz w:val="18"/>
                <w:szCs w:val="18"/>
                <w:color w:val="auto"/>
              </w:rPr>
              <w:t>EXHIBIT B Definition of “Change of Control”</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00" w:type="dxa"/>
            <w:vAlign w:val="bottom"/>
            <w:gridSpan w:val="4"/>
          </w:tcPr>
          <w:p>
            <w:pPr>
              <w:spacing w:after="0"/>
              <w:rPr>
                <w:sz w:val="20"/>
                <w:szCs w:val="20"/>
                <w:color w:val="auto"/>
              </w:rPr>
            </w:pPr>
            <w:r>
              <w:rPr>
                <w:rFonts w:ascii="Arial" w:cs="Arial" w:eastAsia="Arial" w:hAnsi="Arial"/>
                <w:sz w:val="18"/>
                <w:szCs w:val="18"/>
                <w:color w:val="auto"/>
              </w:rPr>
              <w:t>EXHIBIT C Change of Control Benefits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DOUGLAS MIZZI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AGREEMENT dated January 16, 2018 between Douglas Mizzi (“Executive”) and The TJX Companies, Inc., a Delaware corporation whose principal office is in Framingham, Massachusetts 01701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and Executive intend that Executive shall be employed by the Company on the terms set forth below and, to that end, deem it desirable and appropriate to enter into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in consideration of the mutual agreements hereinafter contained, agree as follows:</w:t>
      </w:r>
    </w:p>
    <w:p>
      <w:pPr>
        <w:spacing w:after="0" w:line="117" w:lineRule="exact"/>
        <w:rPr>
          <w:sz w:val="20"/>
          <w:szCs w:val="20"/>
          <w:color w:val="auto"/>
        </w:rPr>
      </w:pPr>
    </w:p>
    <w:p>
      <w:pPr>
        <w:ind w:right="200" w:firstLine="464"/>
        <w:spacing w:after="0" w:line="290" w:lineRule="auto"/>
        <w:tabs>
          <w:tab w:leader="none" w:pos="77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EFFECTIVE DATE; TERM OF AGREEMENT. This Agreement shall become effective on February 4, 2018 (the “Effective Date”). Upon effectiveness of this Agreement on the Effective Date, the Employment Agreement between NBC Attire, Inc., a subsidiary of the Company, and Executive dated as of January 30, 2015 (the “Prior Agreement”) shall terminate and be of no further force and effect. Prior to the Effective Date, the Prior Agreement shall remain in full force and effect, except that execution of this Agreement shall constitute, for purposes of Section 2 of the Prior Agreement, a mutual agreement by the parties to continue Executive’s employment beyond February 3, 2018. Subject to earlier termination as provided herein, Executive’s employment hereunder shall continue on the terms provided herein until January 30, 2021 (the “End Date”). The period of Executive’s employment by the Company from and after the Effective Date, whether under this Agreement or otherwise, is referred to in this Agreement as the “Employment Period.” This Agreement is intended to comply with the applicable requirements of Section 409A and shall be construed accordingly.</w:t>
      </w:r>
    </w:p>
    <w:p>
      <w:pPr>
        <w:spacing w:after="0" w:line="58" w:lineRule="exact"/>
        <w:rPr>
          <w:rFonts w:ascii="Arial" w:cs="Arial" w:eastAsia="Arial" w:hAnsi="Arial"/>
          <w:sz w:val="16"/>
          <w:szCs w:val="16"/>
          <w:color w:val="auto"/>
        </w:rPr>
      </w:pPr>
    </w:p>
    <w:p>
      <w:pPr>
        <w:ind w:left="780" w:hanging="316"/>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SCOPE OF EMPLOYMENT.</w:t>
      </w:r>
    </w:p>
    <w:p>
      <w:pPr>
        <w:spacing w:after="0" w:line="117" w:lineRule="exact"/>
        <w:rPr>
          <w:sz w:val="20"/>
          <w:szCs w:val="20"/>
          <w:color w:val="auto"/>
        </w:rPr>
      </w:pPr>
    </w:p>
    <w:p>
      <w:pPr>
        <w:ind w:right="280" w:firstLine="464"/>
        <w:spacing w:after="0" w:line="277" w:lineRule="auto"/>
        <w:tabs>
          <w:tab w:leader="none" w:pos="70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Nature of Services</w:t>
      </w:r>
      <w:r>
        <w:rPr>
          <w:rFonts w:ascii="Arial" w:cs="Arial" w:eastAsia="Arial" w:hAnsi="Arial"/>
          <w:sz w:val="18"/>
          <w:szCs w:val="18"/>
          <w:color w:val="auto"/>
        </w:rPr>
        <w:t>. Executive shall diligently perform such duties and assume such responsibilities as shall from time to time be specified by the Company.</w:t>
      </w:r>
    </w:p>
    <w:p>
      <w:pPr>
        <w:spacing w:after="0" w:line="62" w:lineRule="exact"/>
        <w:rPr>
          <w:rFonts w:ascii="Arial" w:cs="Arial" w:eastAsia="Arial" w:hAnsi="Arial"/>
          <w:sz w:val="18"/>
          <w:szCs w:val="18"/>
          <w:color w:val="auto"/>
        </w:rPr>
      </w:pPr>
    </w:p>
    <w:p>
      <w:pPr>
        <w:ind w:right="100" w:firstLine="464"/>
        <w:spacing w:after="0" w:line="297" w:lineRule="auto"/>
        <w:tabs>
          <w:tab w:leader="none" w:pos="71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Extent of Services</w:t>
      </w:r>
      <w:r>
        <w:rPr>
          <w:rFonts w:ascii="Arial" w:cs="Arial" w:eastAsia="Arial" w:hAnsi="Arial"/>
          <w:sz w:val="16"/>
          <w:szCs w:val="16"/>
          <w:color w:val="auto"/>
        </w:rPr>
        <w:t>. Except for illnesses and vacation periods, Executive shall devote substantially all his working time and attention and his best efforts to the performance of his duties and responsibilities under this Agreement. However, Executive may (i) make any passive investments where he is not obligated or required to, and shall not in fact, devote any managerial efforts, (ii) subject to approval by the Board or a committee thereof (which approval shall not be unreasonably withheld or withdrawn), participate in charitable or community activities or in trade or professional organizations, (iii) subject to approval by the Board or a committee thereof (which approval shall not be unreasonably withheld or withdrawn), hold directorships in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69" w:name="page170"/>
    <w:bookmarkEnd w:id="1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companies or enterprises, or (iv) engage in such other activities, not listed in (i), (ii) or (iii) above, as the Board or a committee thereof may approve; </w:t>
      </w:r>
      <w:r>
        <w:rPr>
          <w:rFonts w:ascii="Arial" w:cs="Arial" w:eastAsia="Arial" w:hAnsi="Arial"/>
          <w:sz w:val="18"/>
          <w:szCs w:val="18"/>
          <w:i w:val="1"/>
          <w:iCs w:val="1"/>
          <w:color w:val="auto"/>
        </w:rPr>
        <w:t>provided</w:t>
      </w:r>
      <w:r>
        <w:rPr>
          <w:rFonts w:ascii="Arial" w:cs="Arial" w:eastAsia="Arial" w:hAnsi="Arial"/>
          <w:sz w:val="18"/>
          <w:szCs w:val="18"/>
          <w:color w:val="auto"/>
        </w:rPr>
        <w:t>, that the Board or such committee shall have the right to limit such services as a director or such participation in charitable or community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or in trade or professional organizations, or other activities approved pursuant to clause (iv), whenever the Board or such committee shall believe that the time spent on such activities infringes in any material respect upon the time required by Executive for the performance of his duties under this Agreement or is otherwise incompatible with those duties.</w:t>
      </w:r>
    </w:p>
    <w:p>
      <w:pPr>
        <w:spacing w:after="0" w:line="8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tab/>
        <w:t>COMPENSATION AND BENEFITS.</w:t>
      </w:r>
    </w:p>
    <w:p>
      <w:pPr>
        <w:spacing w:after="0" w:line="117" w:lineRule="exact"/>
        <w:rPr>
          <w:sz w:val="20"/>
          <w:szCs w:val="20"/>
          <w:color w:val="auto"/>
        </w:rPr>
      </w:pPr>
    </w:p>
    <w:p>
      <w:pPr>
        <w:ind w:right="80" w:firstLine="464"/>
        <w:spacing w:after="0" w:line="259" w:lineRule="auto"/>
        <w:tabs>
          <w:tab w:leader="none" w:pos="70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be paid a base salary at the rate hereinafter specified, such Base Salary to be paid in the same manner and at the same times as the Company shall pay base salary to other executive employees. The rate at which Executive’s Base Salary shall be paid shall be $750,000 per year or such other rate (not less than $750,000 per year) as the Committee may determine after Committee review not less frequently than annually, beginning in calendar year 2019.</w:t>
      </w:r>
    </w:p>
    <w:p>
      <w:pPr>
        <w:spacing w:after="0" w:line="78"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Existing Awards</w:t>
      </w:r>
      <w:r>
        <w:rPr>
          <w:rFonts w:ascii="Arial" w:cs="Arial" w:eastAsia="Arial" w:hAnsi="Arial"/>
          <w:sz w:val="18"/>
          <w:szCs w:val="18"/>
          <w:color w:val="auto"/>
        </w:rPr>
        <w:t>. Reference is made to outstanding awards to Executive of stock options and of performance-based restricted stock made prior to the Effective Date under the Company’s Stock Incentive Plan (as it may be amended and including any successor, the “Stock Incentive Plan”), to the award opportunity granted to Executive for FYE 2018 under the Company’s Management Incentive Plan (“MIP”), and to award opportunities granted to Executive under the Company’s Long Range Performance Incentive Plan (“LRPIP”) for cycles beginning before the Effective Date. Each of such awards outstanding immediately prior to the Effective Date shall continue for such period or periods and in accordance with such terms as are set out in the applicable grant, award certificate, award agreement and other governing documents relating to such awards and shall not be affected by the terms of this Agreement except as otherwise expressly provided herein.</w:t>
      </w:r>
    </w:p>
    <w:p>
      <w:pPr>
        <w:spacing w:after="0" w:line="81" w:lineRule="exact"/>
        <w:rPr>
          <w:rFonts w:ascii="Arial" w:cs="Arial" w:eastAsia="Arial" w:hAnsi="Arial"/>
          <w:sz w:val="18"/>
          <w:szCs w:val="18"/>
          <w:color w:val="auto"/>
        </w:rPr>
      </w:pPr>
    </w:p>
    <w:p>
      <w:pPr>
        <w:ind w:right="20" w:firstLine="464"/>
        <w:spacing w:after="0" w:line="293" w:lineRule="auto"/>
        <w:tabs>
          <w:tab w:leader="none" w:pos="70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New Stock Awards</w:t>
      </w:r>
      <w:r>
        <w:rPr>
          <w:rFonts w:ascii="Arial" w:cs="Arial" w:eastAsia="Arial" w:hAnsi="Arial"/>
          <w:sz w:val="16"/>
          <w:szCs w:val="16"/>
          <w:color w:val="auto"/>
        </w:rPr>
        <w:t>. Consistent with the terms of the Stock Incentive Plan, during the Employment Period, Executive will be entitled to stock-based awards under the Stock Incentive Plan at levels commensurate with his position and responsibilities and subject to such terms as shall be established by the Committee. With respect to Stock Incentive Plan awards described in Section 3(b) (Existing Awards) and this Section 3(c) (New Stock Awards), Executive will be entitled to tender shares of Company common stock not then subject to restrictions under any Company plan, or to have shares of stock deliverable under the awards held back to satisfy tax withholding in connection with such awards, subject to such rules and limitations as the Company may prescribe but not in excess of the maximum amount of withholding consistent with treating the awards as subject to equity award accounting.</w:t>
      </w:r>
    </w:p>
    <w:p>
      <w:pPr>
        <w:spacing w:after="0" w:line="56" w:lineRule="exact"/>
        <w:rPr>
          <w:rFonts w:ascii="Arial" w:cs="Arial" w:eastAsia="Arial" w:hAnsi="Arial"/>
          <w:sz w:val="16"/>
          <w:szCs w:val="16"/>
          <w:color w:val="auto"/>
        </w:rPr>
      </w:pPr>
    </w:p>
    <w:p>
      <w:pPr>
        <w:ind w:right="320" w:firstLine="464"/>
        <w:spacing w:after="0" w:line="277"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LRPIP</w:t>
      </w:r>
      <w:r>
        <w:rPr>
          <w:rFonts w:ascii="Arial" w:cs="Arial" w:eastAsia="Arial" w:hAnsi="Arial"/>
          <w:sz w:val="18"/>
          <w:szCs w:val="18"/>
          <w:color w:val="auto"/>
        </w:rPr>
        <w:t>. During the Employment Period, Executive will be eligible to participate in annual grants under LRPIP at a level commensurate with his position and responsibilities and subject to such terms as shall be established by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70" w:name="page171"/>
    <w:bookmarkEnd w:id="170"/>
    <w:p>
      <w:pPr>
        <w:ind w:right="600" w:firstLine="464"/>
        <w:spacing w:after="0" w:line="277" w:lineRule="auto"/>
        <w:tabs>
          <w:tab w:leader="none" w:pos="70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MIP</w:t>
      </w:r>
      <w:r>
        <w:rPr>
          <w:rFonts w:ascii="Arial" w:cs="Arial" w:eastAsia="Arial" w:hAnsi="Arial"/>
          <w:sz w:val="18"/>
          <w:szCs w:val="18"/>
          <w:color w:val="auto"/>
        </w:rPr>
        <w:t>. During the Employment Period, Executive will be eligible to participate in annual awards under MIP at a level commensurate with his position and responsibilities and subject to such terms as shall be established by the Committee.</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Qualified Plans; Other Deferred Compensation Plans</w:t>
      </w:r>
      <w:r>
        <w:rPr>
          <w:rFonts w:ascii="Arial" w:cs="Arial" w:eastAsia="Arial" w:hAnsi="Arial"/>
          <w:sz w:val="16"/>
          <w:szCs w:val="16"/>
          <w:color w:val="auto"/>
        </w:rPr>
        <w:t>. Executive shall be entitled during the Employment Period to participate in the Company’s</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tax-qualified retirement and profit-sharing plans, and in the ESP, in each case in accordance with the terms of the applicable plan (including, for the avoidance of doubt and without limitation, the amendment and termination provisions thereof).</w:t>
      </w:r>
    </w:p>
    <w:p>
      <w:pPr>
        <w:spacing w:after="0" w:line="76" w:lineRule="exact"/>
        <w:rPr>
          <w:sz w:val="20"/>
          <w:szCs w:val="20"/>
          <w:color w:val="auto"/>
        </w:rPr>
      </w:pPr>
    </w:p>
    <w:p>
      <w:pPr>
        <w:ind w:right="200" w:firstLine="464"/>
        <w:spacing w:after="0" w:line="264" w:lineRule="auto"/>
        <w:tabs>
          <w:tab w:leader="none" w:pos="71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Policies and Fringe Benefits</w:t>
      </w:r>
      <w:r>
        <w:rPr>
          <w:rFonts w:ascii="Arial" w:cs="Arial" w:eastAsia="Arial" w:hAnsi="Arial"/>
          <w:sz w:val="18"/>
          <w:szCs w:val="18"/>
          <w:color w:val="auto"/>
        </w:rPr>
        <w:t>. Executive shall be subject to Company policies applicable to its executives generally and shall be entitled to receive all such fringe benefits as the Company shall from time to time make available to other executives generally (subject to the terms of any applicable fringe benefit plan).</w:t>
      </w:r>
    </w:p>
    <w:p>
      <w:pPr>
        <w:spacing w:after="0" w:line="73" w:lineRule="exact"/>
        <w:rPr>
          <w:rFonts w:ascii="Arial" w:cs="Arial" w:eastAsia="Arial" w:hAnsi="Arial"/>
          <w:sz w:val="18"/>
          <w:szCs w:val="18"/>
          <w:color w:val="auto"/>
        </w:rPr>
      </w:pPr>
    </w:p>
    <w:p>
      <w:pPr>
        <w:ind w:right="40" w:firstLine="464"/>
        <w:spacing w:after="0" w:line="291" w:lineRule="auto"/>
        <w:tabs>
          <w:tab w:leader="none" w:pos="711"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Expatriate Benefits</w:t>
      </w:r>
      <w:r>
        <w:rPr>
          <w:rFonts w:ascii="Arial" w:cs="Arial" w:eastAsia="Arial" w:hAnsi="Arial"/>
          <w:sz w:val="16"/>
          <w:szCs w:val="16"/>
          <w:color w:val="auto"/>
        </w:rPr>
        <w:t>. Executive shall be entitled to receive any remaining compensation and benefits payable or to be provided under the Company’s Long Term Assignment Policy and the Company’s Tax Equalization Policy by reason of his prior assignments in Canada and in the UK and any benefits under the Company’s Repatriation Policy (together with the Long Term Assignment Policy and the Tax Equalization Policy, the “Expatriate Policies”) in connection with relocating to the U.S. from TJX Canada during 2018, in each case in accordance with and subject to the terms of the Expatriate Policies as amended and in effect from time to time. For the avoidance of doubt, the Company expressly reserves the right to determine, in its sole discretion, the extent to which Executive shall be entitled to any compensation and benefits under the Expatriate Policies, or any other expatriate-related or tax equalization benefits, upon or following the termination of Executive’s employment for any reason, including following a Change of Control.</w:t>
      </w:r>
    </w:p>
    <w:p>
      <w:pPr>
        <w:spacing w:after="0" w:line="59" w:lineRule="exact"/>
        <w:rPr>
          <w:rFonts w:ascii="Arial" w:cs="Arial" w:eastAsia="Arial" w:hAnsi="Arial"/>
          <w:sz w:val="16"/>
          <w:szCs w:val="16"/>
          <w:color w:val="auto"/>
        </w:rPr>
      </w:pPr>
    </w:p>
    <w:p>
      <w:pPr>
        <w:ind w:right="20" w:firstLine="464"/>
        <w:spacing w:after="0" w:line="279" w:lineRule="auto"/>
        <w:tabs>
          <w:tab w:leader="none" w:pos="67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Company is entitled to terminate Executive’s employment notwithstanding the fact that Executive may lose entitlement to benefits under the arrangements described above. Upon termination of his employment, Executive shall have no claim against the Company for loss arising out of ineligibility to exercise any stock options granted to him or otherwise in relation to any of the stock options or other stock-based awards granted to Executive, and the rights of Executive shall be determined solely by the rules of the relevant award document and plan.</w:t>
      </w:r>
    </w:p>
    <w:p>
      <w:pPr>
        <w:spacing w:after="0" w:line="63"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tab/>
        <w:t>TERMINATION OF EMPLOYMENT; IN GENERAL.</w:t>
      </w:r>
    </w:p>
    <w:p>
      <w:pPr>
        <w:spacing w:after="0" w:line="117" w:lineRule="exact"/>
        <w:rPr>
          <w:sz w:val="20"/>
          <w:szCs w:val="20"/>
          <w:color w:val="auto"/>
        </w:rPr>
      </w:pPr>
    </w:p>
    <w:p>
      <w:pPr>
        <w:ind w:right="220" w:firstLine="464"/>
        <w:spacing w:after="0" w:line="277" w:lineRule="auto"/>
        <w:tabs>
          <w:tab w:leader="none" w:pos="7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have the right to end Executive’s employment at any time and for any reason, with or without Cause. Executive shall provide written notice to the Company of his decision to retire or otherwise terminate employment with the Company.</w:t>
      </w:r>
    </w:p>
    <w:p>
      <w:pPr>
        <w:spacing w:after="0" w:line="62" w:lineRule="exact"/>
        <w:rPr>
          <w:rFonts w:ascii="Arial" w:cs="Arial" w:eastAsia="Arial" w:hAnsi="Arial"/>
          <w:sz w:val="18"/>
          <w:szCs w:val="18"/>
          <w:color w:val="auto"/>
        </w:rPr>
      </w:pPr>
    </w:p>
    <w:p>
      <w:pPr>
        <w:ind w:right="100" w:firstLine="464"/>
        <w:spacing w:after="0" w:line="257"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Executive’s employment shall terminate upon written notice by the Company to Executive (or, if earlier, to the extent consistent with the requirements of Section 409A, to the extent applicable, upon the expiration of the twenty-nine (29)-month period commencing upon Executive’s absence from work) if, by reason of Disability, Executive is unable to perform his duties for at least six continuous months. Any termination of employment pursuant to this Section 4(b) shall be treated for purposes of Section 5 and the definition of “Change of Control Termination” at subsection (f) of Exhibit A as a termination of employment by reason of Disability.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71" w:name="page172"/>
    <w:bookmarkEnd w:id="171"/>
    <w:p>
      <w:pPr>
        <w:ind w:left="-20" w:right="120" w:firstLine="464"/>
        <w:spacing w:after="0" w:line="264" w:lineRule="auto"/>
        <w:tabs>
          <w:tab w:leader="none" w:pos="6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his employment shall terminate, Executive shall resign (or, in the absence of an affirmative resignation, shall be deemed to have resigned) all offices or other positions he shall hold with the Company and any affiliates. For the avoidance of doubt, the Employment Period shall terminate upon termination of Executive’s employment for any reason.</w:t>
      </w:r>
    </w:p>
    <w:p>
      <w:pPr>
        <w:spacing w:after="0" w:line="73"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5.</w:t>
        <w:tab/>
        <w:t>BENEFITS UPON NON-VOLUNTARY TERMINATION OF EMPLOYMENT OR UPON EXPIRATION OF THE AGREEMENT.</w:t>
      </w:r>
    </w:p>
    <w:p>
      <w:pPr>
        <w:spacing w:after="0" w:line="117" w:lineRule="exact"/>
        <w:rPr>
          <w:sz w:val="20"/>
          <w:szCs w:val="20"/>
          <w:color w:val="auto"/>
        </w:rPr>
      </w:pPr>
    </w:p>
    <w:p>
      <w:pPr>
        <w:ind w:left="-20" w:right="440" w:firstLine="464"/>
        <w:spacing w:after="0" w:line="264" w:lineRule="auto"/>
        <w:tabs>
          <w:tab w:leader="none" w:pos="68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Certain Terminations Prior to the End Date</w:t>
      </w:r>
      <w:r>
        <w:rPr>
          <w:rFonts w:ascii="Arial" w:cs="Arial" w:eastAsia="Arial" w:hAnsi="Arial"/>
          <w:sz w:val="18"/>
          <w:szCs w:val="18"/>
          <w:color w:val="auto"/>
        </w:rPr>
        <w:t>. If the Employment Period shall have terminated prior to the End Date by reason of (I) death or Disability of Executive, (II) termination by the Company for any reason other than Cause or (III) a Constructive Termination, then all compensation and benefits for Executive shall be as follows:</w:t>
      </w:r>
    </w:p>
    <w:p>
      <w:pPr>
        <w:spacing w:after="0" w:line="73" w:lineRule="exact"/>
        <w:rPr>
          <w:rFonts w:ascii="Arial" w:cs="Arial" w:eastAsia="Arial" w:hAnsi="Arial"/>
          <w:sz w:val="18"/>
          <w:szCs w:val="18"/>
          <w:color w:val="auto"/>
        </w:rPr>
      </w:pPr>
    </w:p>
    <w:p>
      <w:pPr>
        <w:ind w:left="440" w:right="60" w:firstLine="443"/>
        <w:spacing w:after="0" w:line="285" w:lineRule="auto"/>
        <w:tabs>
          <w:tab w:leader="none" w:pos="109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For a period of twenty-four (24) months after the Date of Termination (the “termination period”), the Company will pay to Executive or his legal representative, without reduction for compensation earned from other employment or self-employment, continued Base Salary at the rate in effect at termination of employment in accordance with its regular payroll practices for executive employees of the Company (but not less frequently than monthly); </w:t>
      </w:r>
      <w:r>
        <w:rPr>
          <w:rFonts w:ascii="Arial" w:cs="Arial" w:eastAsia="Arial" w:hAnsi="Arial"/>
          <w:sz w:val="16"/>
          <w:szCs w:val="16"/>
          <w:i w:val="1"/>
          <w:iCs w:val="1"/>
          <w:color w:val="auto"/>
        </w:rPr>
        <w:t>provided</w:t>
      </w:r>
      <w:r>
        <w:rPr>
          <w:rFonts w:ascii="Arial" w:cs="Arial" w:eastAsia="Arial" w:hAnsi="Arial"/>
          <w:sz w:val="16"/>
          <w:szCs w:val="16"/>
          <w:color w:val="auto"/>
        </w:rPr>
        <w:t>, that if Executive is a Specified Employee at the relevant time, the Base Salary that would otherwise be payable during the six-month period beginning on the Date of Termination shall instead be accumulated and paid, without interest, in a lump sum on the date that is six</w:t>
      </w:r>
    </w:p>
    <w:p>
      <w:pPr>
        <w:spacing w:after="0" w:line="2" w:lineRule="exact"/>
        <w:rPr>
          <w:rFonts w:ascii="Arial" w:cs="Arial" w:eastAsia="Arial" w:hAnsi="Arial"/>
          <w:sz w:val="16"/>
          <w:szCs w:val="16"/>
          <w:color w:val="auto"/>
        </w:rPr>
      </w:pPr>
    </w:p>
    <w:p>
      <w:pPr>
        <w:ind w:left="4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(6) months and one day after such date (or, if earlier, the date of Executive’s death); </w:t>
      </w:r>
      <w:r>
        <w:rPr>
          <w:rFonts w:ascii="Arial" w:cs="Arial" w:eastAsia="Arial" w:hAnsi="Arial"/>
          <w:sz w:val="18"/>
          <w:szCs w:val="18"/>
          <w:i w:val="1"/>
          <w:iCs w:val="1"/>
          <w:color w:val="auto"/>
        </w:rPr>
        <w:t>and further provided,</w:t>
      </w:r>
      <w:r>
        <w:rPr>
          <w:rFonts w:ascii="Arial" w:cs="Arial" w:eastAsia="Arial" w:hAnsi="Arial"/>
          <w:sz w:val="18"/>
          <w:szCs w:val="18"/>
          <w:color w:val="auto"/>
        </w:rPr>
        <w:t xml:space="preserve"> that if Executive is eligible for long-term disability compensation benefits under the Company’s long-term disability plan, the amount payable under this clause shall be paid at a rate equal to the excess of (a) the rate of Base Salary in effect at termination of employment, over (b) the long-term disability compensation benefits for which Executive is approved under such plan.</w:t>
      </w:r>
    </w:p>
    <w:p>
      <w:pPr>
        <w:spacing w:after="0" w:line="81" w:lineRule="exact"/>
        <w:rPr>
          <w:rFonts w:ascii="Arial" w:cs="Arial" w:eastAsia="Arial" w:hAnsi="Arial"/>
          <w:sz w:val="16"/>
          <w:szCs w:val="16"/>
          <w:color w:val="auto"/>
        </w:rPr>
      </w:pPr>
    </w:p>
    <w:p>
      <w:pPr>
        <w:ind w:left="440" w:right="140" w:firstLine="443"/>
        <w:spacing w:after="0" w:line="255" w:lineRule="auto"/>
        <w:tabs>
          <w:tab w:leader="none" w:pos="114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If Executive elects so-called “COBRA” continuation of group health plan coverage provided pursuant to Part 6 of Subtitle B of Title I of the Employee Retirement Income Security Act of 1974, as amended, there shall be added to the amounts otherwise payable under Section 5(a)(i) above, during the continuation of such coverage but not beyond the end of the termination period, an amount (grossed up for federal and state income taxes) equal to the participant cost of such coverage, except to the extent that Executive shall obtain no less favorable coverage from another employer or from self-employment in which case such additional payments shall cease immediately. For the avoidance of doubt, Executive shall not be eligible for continuation of group health plan coverage from and after the Date of Termination except for any “COBRA” continuation as described in this Section 5(a)(ii).</w:t>
      </w:r>
    </w:p>
    <w:p>
      <w:pPr>
        <w:spacing w:after="0" w:line="81" w:lineRule="exact"/>
        <w:rPr>
          <w:rFonts w:ascii="Arial" w:cs="Arial" w:eastAsia="Arial" w:hAnsi="Arial"/>
          <w:sz w:val="18"/>
          <w:szCs w:val="18"/>
          <w:color w:val="auto"/>
        </w:rPr>
      </w:pPr>
    </w:p>
    <w:p>
      <w:pPr>
        <w:ind w:left="440" w:right="460" w:firstLine="443"/>
        <w:spacing w:after="0" w:line="277" w:lineRule="auto"/>
        <w:tabs>
          <w:tab w:leader="none" w:pos="119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will pay to Executive or his legal representative, without offset for compensation earned from other employment or self-employment, (A)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172" w:name="page173"/>
    <w:bookmarkEnd w:id="172"/>
    <w:p>
      <w:pPr>
        <w:jc w:val="both"/>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unpaid amounts to which Executive is entitled under MIP for the fiscal year of the Company ended immediately prior to Executive’s termination of employment,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any unpaid amounts owing with respect to LRPIP cycles in which Executive participated and which were completed prior to termination. These amounts will be paid at the same time as other awards for such prior year or cycle are paid.</w:t>
      </w:r>
    </w:p>
    <w:p>
      <w:pPr>
        <w:spacing w:after="0" w:line="57" w:lineRule="exact"/>
        <w:rPr>
          <w:sz w:val="20"/>
          <w:szCs w:val="20"/>
          <w:color w:val="auto"/>
        </w:rPr>
      </w:pPr>
    </w:p>
    <w:p>
      <w:pPr>
        <w:ind w:right="100" w:firstLine="443"/>
        <w:spacing w:after="0" w:line="285" w:lineRule="auto"/>
        <w:tabs>
          <w:tab w:leader="none" w:pos="743" w:val="left"/>
        </w:tabs>
        <w:numPr>
          <w:ilvl w:val="1"/>
          <w:numId w:val="149"/>
        </w:numPr>
        <w:rPr>
          <w:rFonts w:ascii="Arial" w:cs="Arial" w:eastAsia="Arial" w:hAnsi="Arial"/>
          <w:sz w:val="16"/>
          <w:szCs w:val="16"/>
          <w:color w:val="auto"/>
        </w:rPr>
      </w:pPr>
      <w:r>
        <w:rPr>
          <w:rFonts w:ascii="Arial" w:cs="Arial" w:eastAsia="Arial" w:hAnsi="Arial"/>
          <w:sz w:val="16"/>
          <w:szCs w:val="16"/>
          <w:color w:val="auto"/>
        </w:rPr>
        <w:t>For any MIP performance period in which Executive participates that begins before and ends after the Date of Termination, and at the same time as other MIP awards for such performance period are paid, but in no event later than by the 15th day of the third month following the close of the fiscal year to which such MIP award relates, the Company will pay to Executive or his legal representative, without offset for compensation earned from other employment or self-employment, an amount equal to (A) the MIP award, if any, that Executive would have earned and been paid had he continued in office through the end of such fiscal year, determined without regard to any adjustment for individual performance factors, multiplied by</w:t>
      </w:r>
    </w:p>
    <w:p>
      <w:pPr>
        <w:spacing w:after="0" w:line="2" w:lineRule="exact"/>
        <w:rPr>
          <w:rFonts w:ascii="Arial" w:cs="Arial" w:eastAsia="Arial" w:hAnsi="Arial"/>
          <w:sz w:val="16"/>
          <w:szCs w:val="16"/>
          <w:color w:val="auto"/>
        </w:rPr>
      </w:pPr>
    </w:p>
    <w:p>
      <w:pPr>
        <w:ind w:right="80" w:firstLine="4"/>
        <w:spacing w:after="0" w:line="254" w:lineRule="auto"/>
        <w:tabs>
          <w:tab w:leader="none" w:pos="2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 fraction, the numerator of which is three hundred and sixty-five (365) plus the number of days during such fiscal year prior to termination of employment, and the denominator of which is seven hundred and thirty (730);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Employment Period shall have terminated by reason of Executive’s death or Disability, this clause (iv) shall not apply and Executive instead shall be entitled to the MIP benefit described in Section 5(a)(viii) below.</w:t>
      </w:r>
    </w:p>
    <w:p>
      <w:pPr>
        <w:spacing w:after="0" w:line="81" w:lineRule="exact"/>
        <w:rPr>
          <w:rFonts w:ascii="Arial" w:cs="Arial" w:eastAsia="Arial" w:hAnsi="Arial"/>
          <w:sz w:val="18"/>
          <w:szCs w:val="18"/>
          <w:color w:val="auto"/>
        </w:rPr>
      </w:pPr>
    </w:p>
    <w:p>
      <w:pPr>
        <w:ind w:firstLine="443"/>
        <w:spacing w:after="0" w:line="255" w:lineRule="auto"/>
        <w:tabs>
          <w:tab w:leader="none" w:pos="6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each LRPIP cycle in which Executive participates that begins before and ends after the Date of Termination, and at the same time as other LRPIP awards for such cycle are paid, but in no event later than by the 15th day of the third month following the close of the last of the Company’s fiscal years in such cycle, the Company will pay to Executive or his legal representative, without offset for compensation earned from other employment or self-employment, an amount equal to (A) the LRPIP award, if any, that Executive would have earned and been paid had he continued in office through the end of such cycle, determined without regard to any adjustment for individual performance factors, multiplied by (B) a fraction, the numerator of which is the number of full months in such cycle completed prior to termination of employment and the denominator of which is the number of full months in such cycle.</w:t>
      </w:r>
    </w:p>
    <w:p>
      <w:pPr>
        <w:spacing w:after="0" w:line="81" w:lineRule="exact"/>
        <w:rPr>
          <w:rFonts w:ascii="Arial" w:cs="Arial" w:eastAsia="Arial" w:hAnsi="Arial"/>
          <w:sz w:val="18"/>
          <w:szCs w:val="18"/>
          <w:color w:val="auto"/>
        </w:rPr>
      </w:pPr>
    </w:p>
    <w:p>
      <w:pPr>
        <w:ind w:right="20" w:firstLine="443"/>
        <w:spacing w:after="0" w:line="259" w:lineRule="auto"/>
        <w:tabs>
          <w:tab w:leader="none" w:pos="74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addition, Executive or his legal representative shall be entitled to the Stock Incentive Plan benefits described in Section 3(b) (Existing Awards) and Section 3(c) (New Stock Awards), and to payment of his vested benefits, if any, under the plans described in Section 3(f) (Qualified Plans; Other Deferred Compensation Plans) and under any TJX Canada-based retirement, savings and deferred compensation plans, in each case, in accordance with and subject to the terms of the applicable plan, program or arrangement.</w:t>
      </w:r>
    </w:p>
    <w:p>
      <w:pPr>
        <w:spacing w:after="0" w:line="78" w:lineRule="exact"/>
        <w:rPr>
          <w:rFonts w:ascii="Arial" w:cs="Arial" w:eastAsia="Arial" w:hAnsi="Arial"/>
          <w:sz w:val="18"/>
          <w:szCs w:val="18"/>
          <w:color w:val="auto"/>
        </w:rPr>
      </w:pPr>
    </w:p>
    <w:p>
      <w:pPr>
        <w:ind w:firstLine="443"/>
        <w:spacing w:after="0" w:line="286" w:lineRule="auto"/>
        <w:tabs>
          <w:tab w:leader="none" w:pos="793"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If termination occurs by reason of Disability, Executive shall also be entitled to such compensation, if any, as is payable pursuant to the Company’s long-term disability plan. To avoid duplication of benefits, if for any period Executive receives long-term disability compensation payments under a long-term disability plan of the Company as well as payments under Section 5(a)(i) above, and if the sum of such</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73" w:name="page174"/>
    <w:bookmarkEnd w:id="173"/>
    <w:p>
      <w:pPr>
        <w:ind w:left="44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for any period exceeds the payment for such period to which Executive is entitled under Section 5(a)(i) above (determined without regard to the second proviso set forth therein), he shall promptly pay such excess in reimbursement to the Company.</w:t>
      </w:r>
    </w:p>
    <w:p>
      <w:pPr>
        <w:spacing w:after="0" w:line="62" w:lineRule="exact"/>
        <w:rPr>
          <w:sz w:val="20"/>
          <w:szCs w:val="20"/>
          <w:color w:val="auto"/>
        </w:rPr>
      </w:pPr>
    </w:p>
    <w:p>
      <w:pPr>
        <w:ind w:left="440" w:right="100" w:firstLine="443"/>
        <w:spacing w:after="0" w:line="279" w:lineRule="auto"/>
        <w:tabs>
          <w:tab w:leader="none" w:pos="128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If termination occurs by reason of death or Disability, Executive shall also be entitled to an amount equal to Executive’s MIP Target Award for the fiscal year in which the Date of Termination occurs (or if MIP Target Awards for such fiscal year have not yet been granted as of the Date of Termination, Executive’s MIP Target Award for the prior fiscal year), without proration and based on Executive’s Base Salary rate in effect at termination of employment. This amount will be paid at the same time as other MIP awards for such performance period are paid.</w:t>
      </w:r>
    </w:p>
    <w:p>
      <w:pPr>
        <w:spacing w:after="0" w:line="63" w:lineRule="exact"/>
        <w:rPr>
          <w:rFonts w:ascii="Arial" w:cs="Arial" w:eastAsia="Arial" w:hAnsi="Arial"/>
          <w:sz w:val="17"/>
          <w:szCs w:val="17"/>
          <w:color w:val="auto"/>
        </w:rPr>
      </w:pPr>
    </w:p>
    <w:p>
      <w:pPr>
        <w:ind w:left="440" w:right="260" w:firstLine="443"/>
        <w:spacing w:after="0" w:line="312" w:lineRule="auto"/>
        <w:tabs>
          <w:tab w:leader="none" w:pos="118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Except as expressly set forth above or as required by law, Executive shall not be entitled to continue participation during or following the termination period in any employee benefit or fringe benefit plans, except for continuation of any automobile allowance, which shall be added to the amounts otherwise payable under Section 5(a)(i) above during the continuation of such coverage but not beyond the end of the termination period.</w:t>
      </w:r>
    </w:p>
    <w:p>
      <w:pPr>
        <w:spacing w:after="0" w:line="38" w:lineRule="exact"/>
        <w:rPr>
          <w:rFonts w:ascii="Arial" w:cs="Arial" w:eastAsia="Arial" w:hAnsi="Arial"/>
          <w:sz w:val="16"/>
          <w:szCs w:val="16"/>
          <w:color w:val="auto"/>
        </w:rPr>
      </w:pPr>
    </w:p>
    <w:p>
      <w:pPr>
        <w:ind w:left="-20" w:firstLine="464"/>
        <w:spacing w:after="0" w:line="270" w:lineRule="auto"/>
        <w:tabs>
          <w:tab w:leader="none" w:pos="691"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Termination on the End Date</w:t>
      </w:r>
      <w:r>
        <w:rPr>
          <w:rFonts w:ascii="Arial" w:cs="Arial" w:eastAsia="Arial" w:hAnsi="Arial"/>
          <w:sz w:val="17"/>
          <w:szCs w:val="17"/>
          <w:color w:val="auto"/>
        </w:rPr>
        <w:t>. Unless earlier terminated or except as otherwise mutually agreed by Executive and the Company, Executive’s employment with the Company shall terminate on the End Date. Unless the Company in connection with such termination on the End Date shall offer to Executive continued service in a position on reasonable terms, Executive shall be treated as having been terminated under Section 5(a)(II) on the day immediately preceding the End Date and shall be entitled to the compensation and benefits described in Section 5(a) in respect of such a termination, subject, for the avoidance of doubt, to the other provisions of this Agreement including, without limitation, Section 8. If the Company in connection with such termination offers to Executive continued service in a position on reasonable terms, and Executive declines such service, he shall be treated for all purposes of this Agreement as having terminated his employment voluntarily on the End Date and he shall be entitled only to those benefits to which he would be entitled under Section 6(a) (“Voluntary Termination of Employment”). For purposes of the two preceding sentences, “service in a position on reasonable terms” shall mean service in a position comparable to the position in which Executive was serving immediately prior to the End Date, as reasonably determined by the Committee.</w:t>
      </w:r>
    </w:p>
    <w:p>
      <w:pPr>
        <w:spacing w:after="0" w:line="70"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6.</w:t>
        <w:tab/>
        <w:t>OTHER TERMINATION.</w:t>
      </w:r>
    </w:p>
    <w:p>
      <w:pPr>
        <w:spacing w:after="0" w:line="117" w:lineRule="exact"/>
        <w:rPr>
          <w:sz w:val="20"/>
          <w:szCs w:val="20"/>
          <w:color w:val="auto"/>
        </w:rPr>
      </w:pPr>
    </w:p>
    <w:p>
      <w:pPr>
        <w:ind w:left="-20" w:right="60" w:firstLine="464"/>
        <w:spacing w:after="0" w:line="273" w:lineRule="auto"/>
        <w:tabs>
          <w:tab w:leader="none" w:pos="68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Voluntary Termination of Employment</w:t>
      </w:r>
      <w:r>
        <w:rPr>
          <w:rFonts w:ascii="Arial" w:cs="Arial" w:eastAsia="Arial" w:hAnsi="Arial"/>
          <w:sz w:val="17"/>
          <w:szCs w:val="17"/>
          <w:color w:val="auto"/>
        </w:rPr>
        <w:t>. If Executive terminates his employment voluntarily, Executive or his legal representative shall be entitled (in each case in accordance with and subject to the terms of the applicable arrangement) to any Stock Incentive Plan benefits described in Section 3(b) (Existing Awards) or Section 3(c) (New Stock Awards) and to any vested benefits under the plans described in Section 3(f) (Qualified Plans; Other Deferred Compensation Plans) and under any TJX Canada-based retirement, savings and deferred compensation plans. In addition, the Company will pay to Executive or his legal representative any unpaid amounts to which Executive is entitled under MIP for the fiscal year of the Company ended immediately prior to termination of employment, plus any unpaid amounts owing with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174" w:name="page175"/>
    <w:bookmarkEnd w:id="174"/>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LRPIP cycles in which Executive participated and which were completed prior to termination of employment, in each case at the same time as other awards for such prior year or cycle are paid. No other benefits shall be paid under this Agreement upon a voluntary termination of employment.</w:t>
      </w:r>
    </w:p>
    <w:p>
      <w:pPr>
        <w:spacing w:after="0" w:line="16" w:lineRule="exact"/>
        <w:rPr>
          <w:sz w:val="20"/>
          <w:szCs w:val="20"/>
          <w:color w:val="auto"/>
        </w:rPr>
      </w:pPr>
    </w:p>
    <w:p>
      <w:pPr>
        <w:ind w:right="160" w:firstLine="464"/>
        <w:spacing w:after="0" w:line="255"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Company should terminate Executive’s employment for Cause all compensation and benefits otherwise payable pursuant to this Agreement shall cease, other than (x) such vested amounts as are credited to Executive’s account (but not received) under the ESP; (y) any vested benefits to which Executive is entitled under the Company’s tax-qualified plans and under any TJX Canada-based retirement, savings and deferred compensation plans; and (z) Stock Incentive Plan benefits, if any, to which Executive may be entitled under Sections 3(b) (Existing Awards) and 3(c) (New Stock Awards); in each case, in accordance with and subject to the terms of the applicable plan, program or arrangement. The Company does not waive any rights it may have for damages or injunctive relief.</w:t>
      </w:r>
    </w:p>
    <w:p>
      <w:pPr>
        <w:spacing w:after="0" w:line="85" w:lineRule="exact"/>
        <w:rPr>
          <w:sz w:val="20"/>
          <w:szCs w:val="20"/>
          <w:color w:val="auto"/>
        </w:rPr>
      </w:pPr>
    </w:p>
    <w:p>
      <w:pPr>
        <w:ind w:right="80" w:firstLine="464"/>
        <w:spacing w:after="0" w:line="273" w:lineRule="auto"/>
        <w:tabs>
          <w:tab w:leader="none" w:pos="77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CHANGE OF CONTROL. Upon and following a Change of Control occurring during the Employment Period, (i) Executive’s employment under this Agreement shall continue indefinitely without regard to the End Date or Section 5(b), subject, however, to termination by either party or by reason of Executive’s death or Disability in accordance with the other provisions of this Agreement; and (ii) the provisions of Section 5 shall cease to apply in respect of any termination of employment described therein that occurs during the Standstill Period (but the provisions of Section C.1 of Exhibit C (including any reference to Section 5 therein) shall apply in respect of any such termination that qualifies as a Change of Control Termination). Additional provisions that may be relevant upon and following a Change of Control are found in Exhibit C.</w:t>
      </w:r>
    </w:p>
    <w:p>
      <w:pPr>
        <w:spacing w:after="0" w:line="70" w:lineRule="exact"/>
        <w:rPr>
          <w:rFonts w:ascii="Arial" w:cs="Arial" w:eastAsia="Arial" w:hAnsi="Arial"/>
          <w:sz w:val="17"/>
          <w:szCs w:val="17"/>
          <w:color w:val="auto"/>
        </w:rPr>
      </w:pPr>
    </w:p>
    <w:p>
      <w:pPr>
        <w:ind w:left="760" w:hanging="296"/>
        <w:spacing w:after="0"/>
        <w:tabs>
          <w:tab w:leader="none" w:pos="7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AGREEMENT NOT TO SOLICIT OR COMPETE.</w:t>
      </w:r>
    </w:p>
    <w:p>
      <w:pPr>
        <w:spacing w:after="0" w:line="117" w:lineRule="exact"/>
        <w:rPr>
          <w:sz w:val="20"/>
          <w:szCs w:val="20"/>
          <w:color w:val="auto"/>
        </w:rPr>
      </w:pPr>
    </w:p>
    <w:p>
      <w:pPr>
        <w:ind w:right="60" w:firstLine="464"/>
        <w:spacing w:after="0" w:line="284" w:lineRule="auto"/>
        <w:tabs>
          <w:tab w:leader="none" w:pos="701"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During the Employment Period and for a period of twenty-four (24) months thereafter (the “Nonsolicitation Period”), Executive shall not, and shall not direct any other individual or entity to, directly or indirectly (including as a partner, shareholder, joint venturer or other investor) (i) hire, offer to hire, attempt to hire or assist in the hiring of, any protected person as an employee, director, consultant, advisor or other service provider, (ii) recommend any protected person for employment or other engagement with any person or entity other than the Company and its Subsidiaries, (iii) solicit for employment or other engagement any protected person, or seek to persuade, induce or encourage any protected person to discontinue employment or engagement with the Company or its Subsidiaries, or recommend to any protected person any employment or engagement other than with the Company or its Subsidiaries,</w:t>
      </w:r>
    </w:p>
    <w:p>
      <w:pPr>
        <w:spacing w:after="0" w:line="4" w:lineRule="exact"/>
        <w:rPr>
          <w:rFonts w:ascii="Arial" w:cs="Arial" w:eastAsia="Arial" w:hAnsi="Arial"/>
          <w:sz w:val="16"/>
          <w:szCs w:val="16"/>
          <w:color w:val="auto"/>
        </w:rPr>
      </w:pPr>
    </w:p>
    <w:p>
      <w:pPr>
        <w:ind w:firstLine="8"/>
        <w:spacing w:after="0" w:line="252" w:lineRule="auto"/>
        <w:tabs>
          <w:tab w:leader="none" w:pos="3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accept services of any sort (whether for compensation or otherwise) from any protected person, or (v) participate with any other person or entity in any of the foregoing activities. Any individual or entity to which Executive provides services (as an employee, director, consultant, advisor or otherwise) or in which Executive is a shareholder, member, partner, joint venturer or investor, excluding interests in the common stock of any publicly traded corporation of one percent (1%) or less, and any individual or entity that is affiliated with any such individual or entity, shall, for purposes of the preceding sentence, be presumed to have acted at the direction of Executive with respect to any “protected person” who worked with Executive at any time during the six (6) months prior to termination of the Employment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75" w:name="page176"/>
    <w:bookmarkEnd w:id="175"/>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“protected person” is a person who at the time of termination of the Employment Period, or within six (6) months prior thereto, is or was employed by the Company or any of its Subsidiaries either in a position of Assistant Vice President or higher, or in a salaried position in any merchandising group. As to (I) each “protected person” to whom the foregoing applies, (II) each subcategory of “protected person,” as defined above, (III) each limitation on</w:t>
      </w:r>
    </w:p>
    <w:p>
      <w:pPr>
        <w:ind w:right="240" w:firstLine="8"/>
        <w:spacing w:after="0" w:line="252" w:lineRule="auto"/>
        <w:tabs>
          <w:tab w:leader="none" w:pos="2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employment or other engagement, (B) solicitation and (C) unsolicited acceptance of services, of each “protected person” and (IV) each month of the period during which the provisions of this subsection (a) apply to each of the foregoing, the provisions set forth in this subsection (a) shall be deemed to be separate and independent agreements. In the event of unenforceability of any one or more such agreement(s), such unenforceable agreement(s) shall be deemed automatically reformed in order to allow for the greatest degree of enforceability authorized by law or, if no such reformation is possible, deleted from the provisions hereof entirely, and such reformation or deletion shall not affect the enforceability of any other provision of this subsection (a) or any other term of this Agreement.</w:t>
      </w:r>
    </w:p>
    <w:p>
      <w:pPr>
        <w:spacing w:after="0" w:line="86" w:lineRule="exact"/>
        <w:rPr>
          <w:rFonts w:ascii="Arial" w:cs="Arial" w:eastAsia="Arial" w:hAnsi="Arial"/>
          <w:sz w:val="18"/>
          <w:szCs w:val="18"/>
          <w:color w:val="auto"/>
        </w:rPr>
      </w:pPr>
    </w:p>
    <w:p>
      <w:pPr>
        <w:ind w:firstLine="464"/>
        <w:spacing w:after="0" w:line="267" w:lineRule="auto"/>
        <w:tabs>
          <w:tab w:leader="none" w:pos="711"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During the course of his employment, Executive will have learned vital trade secrets of the Company and its Subsidiaries and will have access to confidential and proprietary information and business plans of the Company and its Subsidiaries. Therefore, during the Employment Period and for a period of twenty-four (24) months thereafter (the “Noncompetition Period”), except as the Board or a committee thereof shall have approved, Executive will not, directly or indirectly, be a shareholder, member, partner, joint venturer or investor (disregarding in this connection passive ownership for investment purposes of common stock representing one percent (1%) or less of the voting power or value of any publicly traded corporation) in, serve as a director or manager of, be engaged in any employment, consulting, or fees-for-services relationship or arrangement with, or advise with respect to the organization or conduct of, or any investment in, any “competitive business” as hereinafter defined or any Person that engages in any “competitive business” as hereinafter defined, nor shall Executive undertake any planning to engage in any such activities. The term “competitive business” (i) shall mean any business (however organized or conducted, including, without limitation, an on-line, “ecommerce” or other internet-based business) that competes with a business in which the Company or any of its Subsidiaries was engaged, or in which the Company or any Subsidiary was planning to engage, at any time during the 12-month period immediately preceding the date on which the Employment Period ends, and (ii) shall conclusively be presumed to include, but shall not be limited to, (A) any business designated as a competitive business in the Committee Resolution, including, without limitation, an on-line, “ecommerce” or other internet-based business of any such business, and (B) any other off-price, promotional, or warehouse-club-type retail business, however organized or conducted (including, without limitation, an on-line, “ecommerce” or other internet-based business), that sells apparel, footwear, home fashions, home furnishings, jewelry, accessories, or any other category of merchandise sold by the Company or any of its Subsidiaries at the termination of the Employment Period. For purposes of this subsection (b), a “Person” means an individual, a corporation, a limited liability company, an association, a partnership, an estate, a trust and any other entity or organization, other than the Company or its Subsidiaries, and reference to any Person (the “first Person”) shall be deemed to include any other Person that controls, is controlled by or is under common control with the first Person. If, at any time, pursuant to action of any court, administrative, arbitral or governmental body or other tribunal, the operation of any part of this subsection shall be determined to be unlawful or otherwise unenforceable, then the coverage of this subsection shall be deemed to be reformed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6" w:name="page177"/>
    <w:bookmarkEnd w:id="176"/>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restricted as to substantive reach, duration, geographic scope or otherwise, as the case may be, to the extent, and only to the extent, necessary to make this paragraph lawful and enforceable to the greatest extent possible in the particular jurisdiction in which such determination is made.</w:t>
      </w:r>
    </w:p>
    <w:p>
      <w:pPr>
        <w:spacing w:after="0" w:line="38" w:lineRule="exact"/>
        <w:rPr>
          <w:sz w:val="20"/>
          <w:szCs w:val="20"/>
          <w:color w:val="auto"/>
        </w:rPr>
      </w:pPr>
    </w:p>
    <w:p>
      <w:pPr>
        <w:ind w:firstLine="464"/>
        <w:spacing w:after="0" w:line="285" w:lineRule="auto"/>
        <w:tabs>
          <w:tab w:leader="none" w:pos="70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Executive shall never use or disclose any confidential or proprietary information of the Company or its Subsidiaries other than as required by applicable law or during the Employment Period for the proper performance of Executive’s duties and responsibilities to the Company and its Subsidiaries. This restriction shall continue to apply after Executive’s employment terminates, regardless of the reason for such termination. All documents, records and files, in any media, relating to the business, present or otherwise, of the Company and its Subsidiaries and any copies (“Documents”), whether or not prepared by Executive, are the exclusive property of the Company and its Subsidiaries. Executive must diligently safeguard all Documents, and must surrender to the Company at such time or times as the Company may specify all Documents then in Executive’s possession or control. In addition, upon termination of employment for any reason other than the death of Executive, Executive shall immediately return all Documents, and shall execute a certificate representing and warranting that he has returned all such Documents in Executive’s possession or under his control. Subject to the last sentence of this Section 8(c), Executive further covenants and agrees (for himself and for all others acting on his behalf) that at no time during the Employment Period or thereafter will he directly or indirectly say or do anything that would disparage, reflect negatively on, or call into question the Company’s business operations, stores, products, reputation, business relationships, or present or future business, or the reputation of any past or present directors, officers, employees, agents or affiliates of the Company and its Subsidiaries. Executive cannot be held criminally or civilly liable under any federal or state law (including trade secret laws) for disclosing a trade secret or confidential information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he unlawfully accesses trade secrets or confidential information by unauthorized means. Nothing in this Agreement (i) limits, restricts or in any other way affects Executive’s communicating with any governmental agency or entity, or communicating with any official or staff person of a governmental agency or entity, concerning matters relevant to the governmental agency or entity or (ii) requires Executive to notify the Company about such communication.</w:t>
      </w:r>
    </w:p>
    <w:p>
      <w:pPr>
        <w:spacing w:after="0" w:line="64" w:lineRule="exact"/>
        <w:rPr>
          <w:rFonts w:ascii="Arial" w:cs="Arial" w:eastAsia="Arial" w:hAnsi="Arial"/>
          <w:sz w:val="16"/>
          <w:szCs w:val="16"/>
          <w:color w:val="auto"/>
        </w:rPr>
      </w:pPr>
    </w:p>
    <w:p>
      <w:pPr>
        <w:ind w:right="160" w:firstLine="464"/>
        <w:spacing w:after="0" w:line="286" w:lineRule="auto"/>
        <w:tabs>
          <w:tab w:leader="none" w:pos="71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during the Employment Period or at any time following termination of the Employment Period, regardless of the reason for such termination, Executive breaches any provision of this Section 8, the Company’s obligation, if any, to pay benefits under Section 5 hereof shall forthwith cease and Executive shall immediately forfeit and disgorge to the Company, with interest at the prime rate in effect at Bank of America, or its successor, all of the following: (i) any benefits theretofore paid to Executive under Section 5; (ii) any unexercised stock options and stock appreciation rights held by Executive;</w:t>
      </w:r>
    </w:p>
    <w:p>
      <w:pPr>
        <w:spacing w:after="0" w:line="1" w:lineRule="exact"/>
        <w:rPr>
          <w:rFonts w:ascii="Arial" w:cs="Arial" w:eastAsia="Arial" w:hAnsi="Arial"/>
          <w:sz w:val="16"/>
          <w:szCs w:val="16"/>
          <w:color w:val="auto"/>
        </w:rPr>
      </w:pPr>
    </w:p>
    <w:p>
      <w:pPr>
        <w:ind w:right="40" w:firstLine="8"/>
        <w:spacing w:after="0" w:line="254" w:lineRule="auto"/>
        <w:tabs>
          <w:tab w:leader="none" w:pos="3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any other stock-based award vested in connection with or following termination of the Employment Period, or at any time subsequent to such breach, the value of such stock-based award at time of vesting plus any additional gain realized on a subsequent sale or disposition of the award or the underlying stock; and (iv) in respect of each stock option or stock appreciation right exercised by Executive within six (6) months prior to any such breach or subsequent thereto and prior to the forfeiture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7" w:name="page178"/>
    <w:bookmarkEnd w:id="17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disgorgement required by this Section 8(d), the excess over the exercise price (or base value, in the case of a stock appreciation right) of the greater of (A) the fair market value at time of exercise of the shares of stock subject to the award, or (B) the number of shares of stock subject to such award multiplied by the per-share proceeds of any sale of such stock by Executive.</w:t>
      </w:r>
    </w:p>
    <w:p>
      <w:pPr>
        <w:spacing w:after="0" w:line="73" w:lineRule="exact"/>
        <w:rPr>
          <w:sz w:val="20"/>
          <w:szCs w:val="20"/>
          <w:color w:val="auto"/>
        </w:rPr>
      </w:pPr>
    </w:p>
    <w:p>
      <w:pPr>
        <w:ind w:right="100" w:firstLine="464"/>
        <w:spacing w:after="0" w:line="276" w:lineRule="auto"/>
        <w:tabs>
          <w:tab w:leader="none" w:pos="70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order to ensure Executive’s compliance with this Section 8 during the Noncompetition Period and the Nonsolicitation Period, Executive shall notify the Company in writing of any change in his address and of each new job or other business activity in which he plans to engage at least two (2) weeks prior to engaging in such job or activity. Such notice shall state the name and address of any new employer and the nature of Executive’s position. Executive further agrees to provide the Company with any other pertinent information concerning such business activity as the Company may reasonably request in order to determine Executive’s continued compliance with his obligations under this Agreement.</w:t>
      </w:r>
    </w:p>
    <w:p>
      <w:pPr>
        <w:spacing w:after="0" w:line="64" w:lineRule="exact"/>
        <w:rPr>
          <w:rFonts w:ascii="Arial" w:cs="Arial" w:eastAsia="Arial" w:hAnsi="Arial"/>
          <w:sz w:val="17"/>
          <w:szCs w:val="17"/>
          <w:color w:val="auto"/>
        </w:rPr>
      </w:pPr>
    </w:p>
    <w:p>
      <w:pPr>
        <w:ind w:right="20" w:firstLine="464"/>
        <w:spacing w:after="0" w:line="268" w:lineRule="auto"/>
        <w:tabs>
          <w:tab w:leader="none" w:pos="6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Executive hereby advises the Company that Executive has carefully read and considered all the terms and conditions of this Agreement, including the restraints imposed on Executive under this Section 8, and agrees without reservation that each of the restraints contained herein is necessary for the reasonable and proper protection of the good will, confidential information and other legitimate business interests of the Company and its Subsidiaries, that each and every one of those restraints is reasonable in respect to subject matter, length of time and geographic area; and that these restraints will not prevent Executive from obtaining other suitable employment during the period in which Executive is bound by them. Executive agrees that Executive will never assert, or permit to be asserted on his behalf, in any forum, any position contrary to the foregoing. Executive also acknowledges and agrees that, were Executive to breach any of the provisions of this Section 8, the harm to the Company and its Subsidiaries would be irreparable. Executive therefore agrees that, in the event of such a breach or threatened breach, the Company shall, in addition to any other remedies available to it and notwithstanding Section 14, have the right to preliminary and permanent injunctive relief against any such breach or threatened breach without having to post bond, and will additionally be entitled to an award of attorney’s fees incurred in connection with enforcing its rights hereunder. Executive further agrees that, in the event that any provision of this Agreement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Finally, Executive agrees that the Noncompetition Period and the Nonsolicitation Period shall be tolled, and shall not run, during any period of time in which Executive is in violation of any of the terms of this Section 8, in order that the Company shall have the agreed-upon temporal protection recited herein.</w:t>
      </w:r>
    </w:p>
    <w:p>
      <w:pPr>
        <w:spacing w:after="0" w:line="75" w:lineRule="exact"/>
        <w:rPr>
          <w:rFonts w:ascii="Arial" w:cs="Arial" w:eastAsia="Arial" w:hAnsi="Arial"/>
          <w:sz w:val="17"/>
          <w:szCs w:val="17"/>
          <w:color w:val="auto"/>
        </w:rPr>
      </w:pPr>
    </w:p>
    <w:p>
      <w:pPr>
        <w:jc w:val="both"/>
        <w:ind w:right="240" w:firstLine="464"/>
        <w:spacing w:after="0" w:line="279" w:lineRule="auto"/>
        <w:tabs>
          <w:tab w:leader="none" w:pos="71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Executive agrees that if any of the restrictions in this Section 8 is held to be void or ineffective for any reason but would be held to be valid and effective if part of its wording were deleted, that restriction shall apply with such deletions as may be necessary to make it valid and effective. Executive further agrees that the restrictions contained in each subsection of this Section 8 shall be construed as separate and individual restrictions and shall each be capable of being severed without prejudice to the other restrictions or to the remaining provisions.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78" w:name="page179"/>
    <w:bookmarkEnd w:id="178"/>
    <w:p>
      <w:pPr>
        <w:ind w:left="-20" w:right="480" w:firstLine="464"/>
        <w:spacing w:after="0" w:line="279" w:lineRule="auto"/>
        <w:tabs>
          <w:tab w:leader="none" w:pos="691" w:val="left"/>
        </w:tabs>
        <w:numPr>
          <w:ilvl w:val="0"/>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expressly consents to be bound by the provisions of this Agreement for the benefit of the Company and its Subsidiaries, and any successor or permitted assign to whose employ Executive may be transferred, without the necessity that this Agreement be re-signed at the time of such transfer. Executive further agrees that no changes in the nature or scope of his employment with the Company will operate to extinguish the terms and conditions set forth in Section 8, or otherwise require the parties to re-sign this Agreement.</w:t>
      </w:r>
    </w:p>
    <w:p>
      <w:pPr>
        <w:spacing w:after="0" w:line="63" w:lineRule="exact"/>
        <w:rPr>
          <w:rFonts w:ascii="Arial" w:cs="Arial" w:eastAsia="Arial" w:hAnsi="Arial"/>
          <w:sz w:val="17"/>
          <w:szCs w:val="17"/>
          <w:color w:val="auto"/>
        </w:rPr>
      </w:pPr>
    </w:p>
    <w:p>
      <w:pPr>
        <w:ind w:left="-20" w:right="320" w:firstLine="464"/>
        <w:spacing w:after="0" w:line="342" w:lineRule="auto"/>
        <w:tabs>
          <w:tab w:leader="none" w:pos="65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provisions of this Section 8 shall survive the termination of the Employment Period and the termination of this Agreement, regardless of the reason or reasons therefor, and shall be binding on Executive regardless of any breach by the Company of any other provision of this Agreement.</w:t>
      </w:r>
    </w:p>
    <w:p>
      <w:pPr>
        <w:spacing w:after="0" w:line="16" w:lineRule="exact"/>
        <w:rPr>
          <w:sz w:val="20"/>
          <w:szCs w:val="20"/>
          <w:color w:val="auto"/>
        </w:rPr>
      </w:pPr>
    </w:p>
    <w:p>
      <w:pPr>
        <w:ind w:left="-20" w:right="40" w:firstLine="464"/>
        <w:spacing w:after="0" w:line="264" w:lineRule="auto"/>
        <w:tabs>
          <w:tab w:leader="none" w:pos="7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ASSIGNMENT. The rights and obligations of the Company shall inure to the benefit of and shall be binding upon the successors and assigns of the Company. The rights and obligations of Executive are not assignable except only that stock issuable and awards and payments payable to him after his death shall be made to his estate except as otherwise provided by the applicable plan or award documentation, if any.</w:t>
      </w:r>
    </w:p>
    <w:p>
      <w:pPr>
        <w:spacing w:after="0" w:line="73" w:lineRule="exact"/>
        <w:rPr>
          <w:rFonts w:ascii="Arial" w:cs="Arial" w:eastAsia="Arial" w:hAnsi="Arial"/>
          <w:sz w:val="18"/>
          <w:szCs w:val="18"/>
          <w:color w:val="auto"/>
        </w:rPr>
      </w:pPr>
    </w:p>
    <w:p>
      <w:pPr>
        <w:ind w:left="-20" w:right="80" w:firstLine="464"/>
        <w:spacing w:after="0" w:line="297" w:lineRule="auto"/>
        <w:tabs>
          <w:tab w:leader="none" w:pos="84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NOTICES. All notices and other communications required hereunder shall be in writing and shall be given by mailing the same by certified or registered mail, return receipt requested, postage prepaid. If sent to the Company the same shall be mailed to the Company at 770 Cochituate Road, Framingham, Massachusetts 01701, Attention: Chairman of the Executive Compensation Committee, or other such address as the Company may hereafter designate by notice to Executive, with a copy to: TJX General Counsel at the same address; and if sent to Executive, the same shall be mailed to Executive at his address as set forth in the records of the Company or at such other address as Executive may hereafter designate by notice to the Company.</w:t>
      </w:r>
    </w:p>
    <w:p>
      <w:pPr>
        <w:spacing w:after="0" w:line="50" w:lineRule="exact"/>
        <w:rPr>
          <w:rFonts w:ascii="Arial" w:cs="Arial" w:eastAsia="Arial" w:hAnsi="Arial"/>
          <w:sz w:val="16"/>
          <w:szCs w:val="16"/>
          <w:color w:val="auto"/>
        </w:rPr>
      </w:pPr>
    </w:p>
    <w:p>
      <w:pPr>
        <w:ind w:left="-20" w:firstLine="464"/>
        <w:spacing w:after="0" w:line="288" w:lineRule="auto"/>
        <w:tabs>
          <w:tab w:leader="none" w:pos="8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WITHHOLDING; CERTAIN TAX MATTERS. Anything to the contrary notwithstanding, (a) all payments required to be made by the Company hereunder to Executive shall be subject to the withholding of such amounts, if any, relating to tax and other payroll deductions as the Company may reasonably determine it should withhold pursuant to any applicable law or regulation, and (b) to the extent any payment hereunder that is payable by reason of termination of Executive’s employment constitutes “nonqualified deferred compensation” subject to Section 409A and would otherwise have been required to be paid during the six (6)-month period following such termination of employment, it shall instead (unless at the relevant time Executive is no longer a Specified Employee) be delayed and paid, without interest, in a lump sum on the date that is six (6) months and one day after Executive’s termination (or, if earlier, the date of Executive’s death). Executive acknowledges that he has reviewed the provisions of this Agreement with his advisors and agrees that except for the payments described in Section 5(a)(ii) of this Agreement and any benefit under any tax equalization policy or program maintained by the Company in which Executive participates, as any such policy or program may be amended and in effect from time to time, the Company shall not be liable to make Executive whole for any taxes that may become due or payable by reason of this Agreement or any payment, benefit or entitlement 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79" w:name="page180"/>
    <w:bookmarkEnd w:id="179"/>
    <w:p>
      <w:pPr>
        <w:ind w:left="-20" w:right="40" w:firstLine="464"/>
        <w:spacing w:after="0" w:line="288" w:lineRule="auto"/>
        <w:tabs>
          <w:tab w:leader="none" w:pos="841"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Except for payment of any accrued and unpaid Base Salary and subject to such exceptions as the Company in its discretion may determine for the payment of other amounts accrued and vested prior to the Date of Termination, any obligation of the Company to provide compensation or benefits under Section 5, Section C.1 of Exhibit C of this Agreement, and (to the extent permitted by law) any vesting of unvested compensation or benefits in connection with or following Executive’s termination of employment, are expressly conditioned on Executive’s execution and delivery to the Company of an effective release of claims (in the form of release approved by the Committee on February 1, 2013) as to which all applicable rights of revocation, as determined by the Company, shall have expired prior to the sixtieth (60</w:t>
      </w:r>
      <w:r>
        <w:rPr>
          <w:rFonts w:ascii="Arial" w:cs="Arial" w:eastAsia="Arial" w:hAnsi="Arial"/>
          <w:sz w:val="13"/>
          <w:szCs w:val="13"/>
          <w:color w:val="auto"/>
        </w:rPr>
        <w:t>th</w:t>
      </w:r>
      <w:r>
        <w:rPr>
          <w:rFonts w:ascii="Arial" w:cs="Arial" w:eastAsia="Arial" w:hAnsi="Arial"/>
          <w:sz w:val="16"/>
          <w:szCs w:val="16"/>
          <w:color w:val="auto"/>
        </w:rPr>
        <w:t>) calendar day following the Date of Termination (any such timely and irrevocable release, the “Release of Claims”). Any compensation and benefits that are conditioned on the delivery of the Release of Claims under this Section 12 and that otherwise would have been payable prior to such sixtieth (60</w:t>
      </w:r>
      <w:r>
        <w:rPr>
          <w:rFonts w:ascii="Arial" w:cs="Arial" w:eastAsia="Arial" w:hAnsi="Arial"/>
          <w:sz w:val="13"/>
          <w:szCs w:val="13"/>
          <w:color w:val="auto"/>
        </w:rPr>
        <w:t>th</w:t>
      </w:r>
      <w:r>
        <w:rPr>
          <w:rFonts w:ascii="Arial" w:cs="Arial" w:eastAsia="Arial" w:hAnsi="Arial"/>
          <w:sz w:val="16"/>
          <w:szCs w:val="16"/>
          <w:color w:val="auto"/>
        </w:rPr>
        <w:t>) calendar day (determined, for the avoidance of doubt, after taking into account any other required delays in payment, including any six-month delay under Section 11) shall, if the Release of Claims is delivered, instead be paid on such sixtieth (60</w:t>
      </w:r>
      <w:r>
        <w:rPr>
          <w:rFonts w:ascii="Arial" w:cs="Arial" w:eastAsia="Arial" w:hAnsi="Arial"/>
          <w:sz w:val="13"/>
          <w:szCs w:val="13"/>
          <w:color w:val="auto"/>
        </w:rPr>
        <w:t>th</w:t>
      </w:r>
      <w:r>
        <w:rPr>
          <w:rFonts w:ascii="Arial" w:cs="Arial" w:eastAsia="Arial" w:hAnsi="Arial"/>
          <w:sz w:val="16"/>
          <w:szCs w:val="16"/>
          <w:color w:val="auto"/>
        </w:rPr>
        <w:t>) day, notwithstanding any provision of this Agreement regarding the time of such payments.</w:t>
      </w:r>
    </w:p>
    <w:p>
      <w:pPr>
        <w:spacing w:after="0" w:line="61" w:lineRule="exact"/>
        <w:rPr>
          <w:rFonts w:ascii="Arial" w:cs="Arial" w:eastAsia="Arial" w:hAnsi="Arial"/>
          <w:sz w:val="16"/>
          <w:szCs w:val="16"/>
          <w:color w:val="auto"/>
        </w:rPr>
      </w:pPr>
    </w:p>
    <w:p>
      <w:pPr>
        <w:ind w:left="-20" w:right="20" w:firstLine="464"/>
        <w:spacing w:after="0" w:line="277" w:lineRule="auto"/>
        <w:tabs>
          <w:tab w:leader="none" w:pos="84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GOVERNING LAW. This Agreement and the rights and obligations of the parties hereunder shall be governed by the laws of the Commonwealth of Massachusetts.</w:t>
      </w:r>
    </w:p>
    <w:p>
      <w:pPr>
        <w:spacing w:after="0" w:line="62" w:lineRule="exact"/>
        <w:rPr>
          <w:rFonts w:ascii="Arial" w:cs="Arial" w:eastAsia="Arial" w:hAnsi="Arial"/>
          <w:sz w:val="18"/>
          <w:szCs w:val="18"/>
          <w:color w:val="auto"/>
        </w:rPr>
      </w:pPr>
    </w:p>
    <w:p>
      <w:pPr>
        <w:ind w:left="-20" w:firstLine="464"/>
        <w:spacing w:after="0" w:line="288" w:lineRule="auto"/>
        <w:tabs>
          <w:tab w:leader="none" w:pos="83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ARBITRATION. In the event that there is any claim or dispute arising out of or relating to this Agreement, or the breach thereof, or otherwise arising out of or relating to Executive’s employment with, or compensation or benefits from, the Company or the termination thereof, including any claim for discrimination under any local, state, or federal employment discrimination law (including, but not limited to, M.G.L. c.151B), and the parties hereto shall not have resolved such claim or dispute within sixty (60) days after written notice from one party to the other setting forth the nature of such claim or dispute, then such claim or dispute shall (except as otherwise provided in Section 8(f)) be settled exclusively by binding arbitration in Boston, Massachusetts in accordance with the JAMS Employment Arbitration Rules &amp; Procedures applicable at the time of commencement of the arbitration by an arbitrator mutually agreed upon by the parties hereto or, in the absence of such agreement, by an arbitrator selected according to such Rules. Notwithstanding the foregoing, if either the Company or Executive shall request, such arbitration shall be conducted by a panel of three arbitrators, one selected by the Company, one selected by Executive and the third selected by agreement of the first two, or, in the absence of such agreement, in accordance with such Rules. Judgment upon any award rendered by such arbitrator(s) shall be entered in any court having jurisdiction thereof upon the application of either party.</w:t>
      </w:r>
    </w:p>
    <w:p>
      <w:pPr>
        <w:spacing w:after="0" w:line="61" w:lineRule="exact"/>
        <w:rPr>
          <w:rFonts w:ascii="Arial" w:cs="Arial" w:eastAsia="Arial" w:hAnsi="Arial"/>
          <w:sz w:val="16"/>
          <w:szCs w:val="16"/>
          <w:color w:val="auto"/>
        </w:rPr>
      </w:pPr>
    </w:p>
    <w:p>
      <w:pPr>
        <w:jc w:val="both"/>
        <w:ind w:left="-20" w:right="40" w:firstLine="464"/>
        <w:spacing w:after="0" w:line="259" w:lineRule="auto"/>
        <w:tabs>
          <w:tab w:leader="none" w:pos="83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TERMINATION OF EMPLOYMENT AND SEPARATION FROM SERVICE. All references in the Agreement to termination of employment, a termination of the Employment Period, or separation from service, and correlative terms, that result in the payment or vesting of any amounts or benefits that constitute “nonqualified deferred compensation” within the meaning of Section 409A shall be construed to require a Separation from Service, and the Date of Termination in any such case shall be construed to mean the date of the Separation from Service.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180" w:name="page181"/>
    <w:bookmarkEnd w:id="180"/>
    <w:p>
      <w:pPr>
        <w:ind w:left="-464" w:firstLine="464"/>
        <w:spacing w:after="0" w:line="277" w:lineRule="auto"/>
        <w:tabs>
          <w:tab w:leader="none" w:pos="394"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The Board or a committee thereof may waive any obligation of Executive under or restriction imposed upon Executive by the Agreement, but no such waiver shall be construed as a waiver of any other provision of the Agreement.</w:t>
      </w:r>
    </w:p>
    <w:p>
      <w:pPr>
        <w:spacing w:after="0" w:line="170" w:lineRule="exact"/>
        <w:rPr>
          <w:sz w:val="20"/>
          <w:szCs w:val="20"/>
          <w:color w:val="auto"/>
        </w:rPr>
      </w:pPr>
    </w:p>
    <w:p>
      <w:pPr>
        <w:jc w:val="center"/>
        <w:ind w:right="-255"/>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5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36"/>
          </w:cols>
          <w:pgMar w:left="704" w:top="274" w:right="959" w:bottom="1440" w:gutter="0" w:footer="0" w:header="0"/>
        </w:sectPr>
      </w:pPr>
    </w:p>
    <w:bookmarkStart w:id="181" w:name="page182"/>
    <w:bookmarkEnd w:id="181"/>
    <w:p>
      <w:pPr>
        <w:ind w:left="-180" w:firstLine="464"/>
        <w:spacing w:after="0" w:line="264" w:lineRule="auto"/>
        <w:tabs>
          <w:tab w:leader="none" w:pos="681"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This Agreement, including Exhibits (which are hereby incorporated by reference), represents the entire agreement between the parties relating to the terms of Executive’s employment by the Company and supersedes all prior written or oral agreements, including, without limitation, the Prior Agreement, between them.</w:t>
      </w:r>
    </w:p>
    <w:p>
      <w:pPr>
        <w:spacing w:after="0" w:line="20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Douglas W. Mizzi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-130810</wp:posOffset>
            </wp:positionV>
            <wp:extent cx="2718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THE TJX COMPANIES,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By:  /s/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4418965</wp:posOffset>
            </wp:positionH>
            <wp:positionV relativeFrom="paragraph">
              <wp:posOffset>14605</wp:posOffset>
            </wp:positionV>
            <wp:extent cx="2718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420" w:top="274" w:right="419" w:bottom="1440" w:gutter="0" w:footer="0" w:header="0"/>
        </w:sectPr>
      </w:pPr>
    </w:p>
    <w:bookmarkStart w:id="182" w:name="page183"/>
    <w:bookmarkEnd w:id="182"/>
    <w:p>
      <w:pPr>
        <w:jc w:val="center"/>
        <w:ind w:right="-5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692" w:hanging="236"/>
        <w:spacing w:after="0"/>
        <w:tabs>
          <w:tab w:leader="none" w:pos="6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 Salary” means, for any period, the amount described in Section 3(a).</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8" w:firstLine="464"/>
        <w:spacing w:after="0" w:line="257" w:lineRule="auto"/>
        <w:tabs>
          <w:tab w:leader="none" w:pos="69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“Cause” means dishonesty by Executive in the performance of his duties, conviction of a felony (other than a conviction arising solely under a statutory provision imposing criminal liability upon Executive on a </w:t>
      </w:r>
      <w:r>
        <w:rPr>
          <w:rFonts w:ascii="Arial" w:cs="Arial" w:eastAsia="Arial" w:hAnsi="Arial"/>
          <w:sz w:val="18"/>
          <w:szCs w:val="18"/>
          <w:i w:val="1"/>
          <w:iCs w:val="1"/>
          <w:color w:val="auto"/>
        </w:rPr>
        <w:t>per se</w:t>
      </w:r>
      <w:r>
        <w:rPr>
          <w:rFonts w:ascii="Arial" w:cs="Arial" w:eastAsia="Arial" w:hAnsi="Arial"/>
          <w:sz w:val="18"/>
          <w:szCs w:val="18"/>
          <w:color w:val="auto"/>
        </w:rPr>
        <w:t xml:space="preserve"> basis due to the Company offices held by Executive, so long as any act or omission of Executive with respect to such matter was not taken or omitted in contravention of any applicable policy or directive of the Board), gross neglect of duties (other than as a result of Disability or death), or conflict of interest which conflict shall continue for thirty (30) days after the Company gives written notice to Executive requesting the cessation of such conflict.</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respect of any termination during a Standstill Period, Executive shall not be deemed to have been terminated for Cause until the later to occur of</w:t>
      </w:r>
    </w:p>
    <w:p>
      <w:pPr>
        <w:spacing w:after="0" w:line="46" w:lineRule="exact"/>
        <w:rPr>
          <w:sz w:val="20"/>
          <w:szCs w:val="20"/>
          <w:color w:val="auto"/>
        </w:rPr>
      </w:pPr>
    </w:p>
    <w:p>
      <w:pPr>
        <w:ind w:left="-8" w:firstLine="8"/>
        <w:spacing w:after="0" w:line="285" w:lineRule="auto"/>
        <w:tabs>
          <w:tab w:leader="none" w:pos="20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30th day after notice of termination is given and (ii) the delivery to Executive of a copy of a resolution duly adopted by the affirmative vote of not less than a majority of the Board at a meeting called and held for that purpose (after reasonable notice to Executive), and at which Executive together with his counsel was given an opportunity to be heard, finding that Executive was guilty of conduct described in the definition of “Cause” above, and specifying the particulars thereof in detail;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suspend Executive and withhold payment of his Base Salary from the date that notice of termination is given until the earliest to occur of (A) termination of Executive for Cause effected in accordance with the foregoing procedures (in which case Executive shall not be entitled to his Base Salary for such period), (B) a determination by a majority of the Board that Executive was not guilty of the conduct described in the definition of “Cause” effected in accordance with the foregoing procedures (in which case Executive shall be reinstated and paid any of his previously unpaid Base Salary for such period), or (C) ninety (90) days after notice of termination is given (in which case Executive shall then be reinstated and paid any of his previously unpaid Base Salary for such period). If Base Salary is withheld and then paid pursuant to clause (B) or (C) of the preceding sentence, the amount thereof shall be accompanied by simple interest, calculated on a daily basis, at a rate per annum equal to the prime or base lending rate, as in effect at the time, of the Company’s principal commercial bank. The Company shall exercise its discretion under this paragraph consistent with the requirements of Section 409A or the requirements for exemption from Section 409A.</w:t>
      </w:r>
    </w:p>
    <w:p>
      <w:pPr>
        <w:spacing w:after="0" w:line="172" w:lineRule="exact"/>
        <w:rPr>
          <w:rFonts w:ascii="Arial" w:cs="Arial" w:eastAsia="Arial" w:hAnsi="Arial"/>
          <w:sz w:val="16"/>
          <w:szCs w:val="16"/>
          <w:color w:val="auto"/>
        </w:rPr>
      </w:pPr>
    </w:p>
    <w:p>
      <w:pPr>
        <w:ind w:left="-8" w:right="140" w:firstLine="464"/>
        <w:spacing w:after="0" w:line="277" w:lineRule="auto"/>
        <w:tabs>
          <w:tab w:leader="none" w:pos="70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“Change in Control Event” means a “change in control event” (as that term is defined in section 1.409A-3(i)(5) of the Treasury Regulations under Section 409A) with respect to the Company.</w:t>
      </w:r>
    </w:p>
    <w:p>
      <w:pPr>
        <w:spacing w:after="0" w:line="170" w:lineRule="exact"/>
        <w:rPr>
          <w:rFonts w:ascii="Arial" w:cs="Arial" w:eastAsia="Arial" w:hAnsi="Arial"/>
          <w:sz w:val="18"/>
          <w:szCs w:val="18"/>
          <w:color w:val="auto"/>
        </w:rPr>
      </w:pPr>
    </w:p>
    <w:p>
      <w:pPr>
        <w:ind w:left="692" w:hanging="236"/>
        <w:spacing w:after="0"/>
        <w:tabs>
          <w:tab w:leader="none" w:pos="69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“Change of Control” has the meaning given it in Exhibit B.</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72"/>
          </w:cols>
          <w:pgMar w:left="248" w:top="274" w:right="279" w:bottom="1440" w:gutter="0" w:footer="0" w:header="0"/>
        </w:sectPr>
      </w:pPr>
    </w:p>
    <w:bookmarkStart w:id="183" w:name="page184"/>
    <w:bookmarkEnd w:id="183"/>
    <w:p>
      <w:pPr>
        <w:ind w:right="220" w:firstLine="464"/>
        <w:spacing w:after="0" w:line="277" w:lineRule="auto"/>
        <w:tabs>
          <w:tab w:leader="none" w:pos="681"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 Termination” means the termination of Executive’s employment during a Standstill Period (1) by the Company other than for Cause, or (2) by Executive for good reason, or (3) by reason of death or Disability.</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For purposes of this definition, termination for “good reason” shall mean the voluntary termination by Executive of his employment within one hundred and twenty (120) days after the occurrence without Executive’s express written consent of any one of the events described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gives notice to the Company within sixty (60) days of the first occurrence of any such event or condition, requesting that the pertinent event or condition described therein be remedied, and the situation remains unremedied upon expiration of the thirty (30)-day period commencing upon receipt by the Company of such notice:</w:t>
      </w:r>
    </w:p>
    <w:p>
      <w:pPr>
        <w:spacing w:after="0" w:line="94" w:lineRule="exact"/>
        <w:rPr>
          <w:sz w:val="20"/>
          <w:szCs w:val="20"/>
          <w:color w:val="auto"/>
        </w:rPr>
      </w:pPr>
    </w:p>
    <w:p>
      <w:pPr>
        <w:ind w:left="1820" w:right="60" w:hanging="678"/>
        <w:spacing w:after="0" w:line="302" w:lineRule="auto"/>
        <w:tabs>
          <w:tab w:leader="none" w:pos="18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assignment to him of any duties inconsistent with his positions, duties, responsibilities, and status with the Company immediately prior to the Change of Control, or any removal of Executive from or any failure to reelect him to such positions, except in connection with the termination of Executive’s employment by the Company for Cause or by Executive other than for good reason, or any other action by the Company which results in a diminishment in such position, authority, duties or responsibilities; or</w:t>
      </w:r>
    </w:p>
    <w:p>
      <w:pPr>
        <w:spacing w:after="0" w:line="60" w:lineRule="exact"/>
        <w:rPr>
          <w:sz w:val="20"/>
          <w:szCs w:val="20"/>
          <w:color w:val="auto"/>
        </w:rPr>
      </w:pPr>
    </w:p>
    <w:p>
      <w:pPr>
        <w:ind w:left="1820" w:hanging="678"/>
        <w:spacing w:after="0" w:line="259" w:lineRule="auto"/>
        <w:tabs>
          <w:tab w:leader="none" w:pos="1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Executive’s rate of Base Salary for any fiscal year is less than 100% of the rate of Base Salary paid to Executive in the completed fiscal year immediately preceding the Change of Control or if Executive’s total cash compensation opportunities, including salary and incentives, for any fiscal year are less than 100% of the total cash compensation opportunities made available to Executive in the completed fiscal year immediately preceding the Change of Control; or</w:t>
      </w:r>
    </w:p>
    <w:p>
      <w:pPr>
        <w:spacing w:after="0" w:line="92" w:lineRule="exact"/>
        <w:rPr>
          <w:sz w:val="20"/>
          <w:szCs w:val="20"/>
          <w:color w:val="auto"/>
        </w:rPr>
      </w:pPr>
    </w:p>
    <w:p>
      <w:pPr>
        <w:ind w:left="1820" w:right="120" w:hanging="678"/>
        <w:spacing w:after="0" w:line="276" w:lineRule="auto"/>
        <w:tabs>
          <w:tab w:leader="none" w:pos="18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failure of the Company to continue in effect any benefits or perquisites, or any pension, life insurance, medical insurance or disability plan in which Executive was participating immediately prior to the Change of Control unless the Company provides Executive with a plan or plans that provide substantially similar benefits, or the taking of any action by the Company that would adversely affect Executive’s participation in or materially reduce Executive’s benefits under any of such plans or deprive Executive of any material fringe benefit enjoyed by Executive immediately prior to the Change of Control; or</w:t>
      </w:r>
    </w:p>
    <w:p>
      <w:pPr>
        <w:sectPr>
          <w:pgSz w:w="11900" w:h="16838" w:orient="portrait"/>
          <w:cols w:equalWidth="0" w:num="1">
            <w:col w:w="11400"/>
          </w:cols>
          <w:pgMar w:left="240" w:top="274" w:right="259" w:bottom="1440" w:gutter="0" w:footer="0" w:header="0"/>
        </w:sectPr>
      </w:pPr>
    </w:p>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purported termination of Executive’s employment by the Company for Cause during a Standstill Period which is not effected in compliance with paragraph (c) above; or</w:t>
      </w:r>
    </w:p>
    <w:p>
      <w:pPr>
        <w:spacing w:after="0" w:line="76" w:lineRule="exact"/>
        <w:rPr>
          <w:sz w:val="20"/>
          <w:szCs w:val="20"/>
          <w:color w:val="auto"/>
        </w:rPr>
      </w:pPr>
    </w:p>
    <w:p>
      <w:pPr>
        <w:sectPr>
          <w:pgSz w:w="11900" w:h="16838" w:orient="portrait"/>
          <w:cols w:equalWidth="0" w:num="2">
            <w:col w:w="1460" w:space="360"/>
            <w:col w:w="9580"/>
          </w:cols>
          <w:pgMar w:left="240" w:top="274" w:right="259" w:bottom="1440" w:gutter="0" w:footer="0" w:header="0"/>
          <w:type w:val="continuous"/>
        </w:sectPr>
      </w:pPr>
    </w:p>
    <w:p>
      <w:pPr>
        <w:ind w:left="1820" w:right="180" w:hanging="678"/>
        <w:spacing w:after="0" w:line="277" w:lineRule="auto"/>
        <w:tabs>
          <w:tab w:leader="none" w:pos="18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relocation of Executive of more than forty (40) miles from the place where Executive was located at the time of the Change of Control; or</w:t>
      </w:r>
    </w:p>
    <w:p>
      <w:pPr>
        <w:spacing w:after="0" w:line="76"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any other breach by the Company of any provision of this Agreement;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type w:val="continuous"/>
        </w:sectPr>
      </w:pPr>
    </w:p>
    <w:bookmarkStart w:id="184" w:name="page185"/>
    <w:bookmarkEnd w:id="184"/>
    <w:p>
      <w:pPr>
        <w:ind w:left="11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the Company sells or otherwise disposes of, in one transaction or a series of related transactions, assets or earning power aggregating more than 30% of the assets (taken at asset value as stated on the books of the Company determined in accordance with generally accepted accounting principles consistently applied) or earning power of the Company (on an individual basis) or the Company and its Subsidiaries (on a consolidated basis) to any other Person or Persons (as those terms are defined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-672465</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1520" w:space="300"/>
            <w:col w:w="9580"/>
          </w:cols>
          <w:pgMar w:left="240" w:top="274" w:right="259" w:bottom="1440" w:gutter="0" w:footer="0" w:header="0"/>
        </w:sect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“Committee” means the Executive Compensation Committee of the Board.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“Committee Resolution” means the designation of competitive businesses most recently adopted by the Committee at or prior to the date of</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execution of this Agreement for purposes of the restrictive covenants applicable to Executive, whether or not such designation also applies to other employees of the Company generally.</w:t>
      </w:r>
    </w:p>
    <w:p>
      <w:pPr>
        <w:spacing w:after="0" w:line="183" w:lineRule="exact"/>
        <w:rPr>
          <w:rFonts w:ascii="Arial" w:cs="Arial" w:eastAsia="Arial" w:hAnsi="Arial"/>
          <w:sz w:val="17"/>
          <w:szCs w:val="17"/>
          <w:color w:val="auto"/>
        </w:rPr>
      </w:pPr>
    </w:p>
    <w:p>
      <w:pPr>
        <w:ind w:right="20" w:firstLine="464"/>
        <w:spacing w:after="0" w:line="255" w:lineRule="auto"/>
        <w:tabs>
          <w:tab w:leader="none" w:pos="6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“Constructive Termination” means a termination of employment by Executive occurring within one hundred twenty (120) days of a requirement by the Company that Executive relocate, without his prior written consent, more than forty (40) miles from the current corporate headquarters of the Company, but only if (i) Executive shall have given to the Company notice of intent to terminate within sixty (60) days following notice to Executive of such required relocation and (ii) the Company shall have failed, within thirty (30) days thereafter, to withdraw its notice requiring Executive to relocate. For purposes of the preceding sentence, the one hundred twenty (120) day period shall commence upon the end of the thirty (30)-day cure period, if the Company fails to cure within such period.</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“Date of Termination” means the date on which Executive’s employment terminates.</w:t>
      </w:r>
    </w:p>
    <w:p>
      <w:pPr>
        <w:spacing w:after="0" w:line="225" w:lineRule="exact"/>
        <w:rPr>
          <w:rFonts w:ascii="Arial" w:cs="Arial" w:eastAsia="Arial" w:hAnsi="Arial"/>
          <w:sz w:val="18"/>
          <w:szCs w:val="18"/>
          <w:color w:val="auto"/>
        </w:rPr>
      </w:pPr>
    </w:p>
    <w:p>
      <w:pPr>
        <w:jc w:val="both"/>
        <w:ind w:firstLine="464"/>
        <w:spacing w:after="0" w:line="264" w:lineRule="auto"/>
        <w:tabs>
          <w:tab w:leader="none" w:pos="6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“Disabled”/“Disability” means a medically determinable physical or mental impairment that (i) can be expected either to result in death or to last for a continuous period of not less than six months and (ii) causes Executive to be unable to perform the duties of his position of employment or any substantially similar position of employment to the reasonable satisfaction of the Committee.</w:t>
      </w:r>
    </w:p>
    <w:p>
      <w:pPr>
        <w:spacing w:after="0" w:line="181" w:lineRule="exact"/>
        <w:rPr>
          <w:rFonts w:ascii="Arial" w:cs="Arial" w:eastAsia="Arial" w:hAnsi="Arial"/>
          <w:sz w:val="18"/>
          <w:szCs w:val="18"/>
          <w:color w:val="auto"/>
        </w:rPr>
      </w:pPr>
    </w:p>
    <w:p>
      <w:pPr>
        <w:ind w:left="760" w:hanging="296"/>
        <w:spacing w:after="0"/>
        <w:tabs>
          <w:tab w:leader="none" w:pos="7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“End Date” has the meaning set forth in Section 1 of the Agreement.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“ESP” means the Company’s Executive Savings Plan,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“LRPIP”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“MIP” has the meaning set forth in Section 3(b) of the Agreement, as it may be amended and including any successor.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“Section 409A” means Section 409A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type w:val="continuous"/>
        </w:sectPr>
      </w:pPr>
    </w:p>
    <w:bookmarkStart w:id="185" w:name="page186"/>
    <w:bookmarkEnd w:id="185"/>
    <w:p>
      <w:pPr>
        <w:ind w:right="20" w:firstLine="464"/>
        <w:spacing w:after="0" w:line="276" w:lineRule="auto"/>
        <w:tabs>
          <w:tab w:leader="none" w:pos="681"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from Service” shall mean a “separation from service” (as that term is defined at Section 1.409A-1(h) of the Treasury Regulations under Section 409A) from the Company and from all other corporations and trades or businesses, if any, that would be treated as a single “service recipient” with the Company under Section 1.409A-1(h)(3) of such Treasury Regulations. The Committee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part of the Agreement.</w:t>
      </w:r>
    </w:p>
    <w:p>
      <w:pPr>
        <w:spacing w:after="0" w:line="172" w:lineRule="exact"/>
        <w:rPr>
          <w:rFonts w:ascii="Arial" w:cs="Arial" w:eastAsia="Arial" w:hAnsi="Arial"/>
          <w:sz w:val="17"/>
          <w:szCs w:val="17"/>
          <w:color w:val="auto"/>
        </w:rPr>
      </w:pPr>
    </w:p>
    <w:p>
      <w:pPr>
        <w:ind w:left="700" w:hanging="236"/>
        <w:spacing w:after="0"/>
        <w:tabs>
          <w:tab w:leader="none" w:pos="7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“Specified Employee” shall mean an individual determined by the Committee or its delegate to be a specified employee as defined in subsection (a)</w:t>
      </w:r>
    </w:p>
    <w:p>
      <w:pPr>
        <w:spacing w:after="0" w:line="46" w:lineRule="exact"/>
        <w:rPr>
          <w:rFonts w:ascii="Arial" w:cs="Arial" w:eastAsia="Arial" w:hAnsi="Arial"/>
          <w:sz w:val="16"/>
          <w:szCs w:val="16"/>
          <w:color w:val="auto"/>
        </w:rPr>
      </w:pPr>
    </w:p>
    <w:p>
      <w:pPr>
        <w:ind w:right="280"/>
        <w:spacing w:after="0" w:line="255" w:lineRule="auto"/>
        <w:rPr>
          <w:rFonts w:ascii="Arial" w:cs="Arial" w:eastAsia="Arial" w:hAnsi="Arial"/>
          <w:sz w:val="16"/>
          <w:szCs w:val="16"/>
          <w:color w:val="auto"/>
        </w:rPr>
      </w:pPr>
      <w:r>
        <w:rPr>
          <w:rFonts w:ascii="Arial" w:cs="Arial" w:eastAsia="Arial" w:hAnsi="Arial"/>
          <w:sz w:val="18"/>
          <w:szCs w:val="18"/>
          <w:color w:val="auto"/>
        </w:rPr>
        <w:t>(2)(B)(i) of Section 409A. The Committee may, but need not, elect in writing, subject to the applicable limitations under Section 409A, any of the special elective rules prescribed in Section 1.409A-1(i) of the Treasury Regulations for purposes of determining “specified employee” status. Any such written election shall be deemed part of the Agreement.</w:t>
      </w:r>
    </w:p>
    <w:p>
      <w:pPr>
        <w:spacing w:after="0" w:line="190" w:lineRule="exact"/>
        <w:rPr>
          <w:rFonts w:ascii="Arial" w:cs="Arial" w:eastAsia="Arial" w:hAnsi="Arial"/>
          <w:sz w:val="16"/>
          <w:szCs w:val="16"/>
          <w:color w:val="auto"/>
        </w:rPr>
      </w:pPr>
    </w:p>
    <w:p>
      <w:pPr>
        <w:ind w:right="60" w:firstLine="464"/>
        <w:spacing w:after="0" w:line="277" w:lineRule="auto"/>
        <w:tabs>
          <w:tab w:leader="none" w:pos="67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“Standstill Period” means the period commencing on the date of a Change of Control and continuing until the close of business on the last business day of the 24th calendar month following such Change of Control.</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“Stock Incentive Plan” has the meaning set forth in Section 3(b) of the Agreement.</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“Subsidiary” means any corporation in which the Company owns, directly or indirectly, 50% or more of the total combined voting power of all classes of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74" w:right="3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Definition of “Change of Control”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shall mean the occurrence of any one of the following events:</w:t>
      </w:r>
    </w:p>
    <w:p>
      <w:pPr>
        <w:spacing w:after="0" w:line="117" w:lineRule="exact"/>
        <w:rPr>
          <w:sz w:val="20"/>
          <w:szCs w:val="20"/>
          <w:color w:val="auto"/>
        </w:rPr>
      </w:pPr>
    </w:p>
    <w:p>
      <w:pPr>
        <w:ind w:right="80" w:firstLine="464"/>
        <w:spacing w:after="0" w:line="297" w:lineRule="auto"/>
        <w:tabs>
          <w:tab w:leader="none" w:pos="70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there occurs a change of control of the Company of a nature that would be required to be reported in response to Item 5.01 of the Current Report on Form 8-K (as amended in 2004) pursuant to Section 13 or 15(d) of the Securities Exchange Act of 1934 (the “Exchange Act”) or in any other filing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transaction shall be deemed to be a Change of Control (i) if the person or each member of a group of persons acquiring control is excluded from the definition of the term “Person” hereunder or (ii) unless the Committee shall otherwise determine prior to such occurrence, if Executive or an Executive Related Party is the Person or a member of a group constituting the Person acquiring control; or</w:t>
      </w:r>
    </w:p>
    <w:p>
      <w:pPr>
        <w:spacing w:after="0" w:line="50" w:lineRule="exact"/>
        <w:rPr>
          <w:rFonts w:ascii="Arial" w:cs="Arial" w:eastAsia="Arial" w:hAnsi="Arial"/>
          <w:sz w:val="16"/>
          <w:szCs w:val="16"/>
          <w:color w:val="auto"/>
        </w:rPr>
      </w:pPr>
    </w:p>
    <w:p>
      <w:pPr>
        <w:ind w:right="80" w:firstLine="464"/>
        <w:spacing w:after="0" w:line="255" w:lineRule="auto"/>
        <w:tabs>
          <w:tab w:leader="none" w:pos="71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Person other than the Company, any wholly-owned subsidiary of the Company, or any employee benefit plan of the Company or such a subsidiary becomes the owner of 20% or more of the Common Stock and thereafter individuals who were not directors of the Company prior to the date such Person became a 20% owner are elected as directors pursuant to an arrangement or understanding with, or upon the request of or nomination by, such Person and constitute a majority of the Board; provided, however, that unless the Committee shall otherwise determine prior to the acquisition of such 20% ownership, such acquisition of ownership shall not constitute a Change of Control if Executive or an Executive Related Party is the Person or a member of a group constituting the Person acquiring such ownership; or</w:t>
      </w:r>
    </w:p>
    <w:p>
      <w:pPr>
        <w:spacing w:after="0" w:line="85" w:lineRule="exact"/>
        <w:rPr>
          <w:rFonts w:ascii="Arial" w:cs="Arial" w:eastAsia="Arial" w:hAnsi="Arial"/>
          <w:sz w:val="18"/>
          <w:szCs w:val="18"/>
          <w:color w:val="auto"/>
        </w:rPr>
      </w:pPr>
    </w:p>
    <w:p>
      <w:pPr>
        <w:ind w:firstLine="464"/>
        <w:spacing w:after="0" w:line="286" w:lineRule="auto"/>
        <w:tabs>
          <w:tab w:leader="none" w:pos="70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there occurs any solicitation or series of solicitations of proxies by or on behalf of any Person other than the Board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 majority of the Board; or</w:t>
      </w:r>
    </w:p>
    <w:p>
      <w:pPr>
        <w:spacing w:after="0" w:line="57" w:lineRule="exact"/>
        <w:rPr>
          <w:rFonts w:ascii="Arial" w:cs="Arial" w:eastAsia="Arial" w:hAnsi="Arial"/>
          <w:sz w:val="17"/>
          <w:szCs w:val="17"/>
          <w:color w:val="auto"/>
        </w:rPr>
      </w:pPr>
    </w:p>
    <w:p>
      <w:pPr>
        <w:ind w:right="180" w:firstLine="464"/>
        <w:spacing w:after="0" w:line="291" w:lineRule="auto"/>
        <w:tabs>
          <w:tab w:leader="none" w:pos="71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 executes an agreement of acquisition, merger or consolidation which contemplates that (i) after the effective date provided for in the agreement, all or substantially all of the business and/or assets of the Company shall be owned, leased or otherwise controlled by another Person and</w:t>
      </w:r>
    </w:p>
    <w:p>
      <w:pPr>
        <w:ind w:firstLine="8"/>
        <w:spacing w:after="0" w:line="287" w:lineRule="auto"/>
        <w:tabs>
          <w:tab w:leader="none" w:pos="26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individuals who are directors of the Company when such agreement is executed shall not constitute a majority of the board of directors of the survivor or successor entity immediately after the effective date provided for in such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unless otherwise determined by the Committee, no transaction shall constitute a Change of Control if, immediately after such transaction, Executive or any Executive Related Party shall own equity securities of any surviving corporation (“Surviving Entity”) having a fair value as a percentage of the fair value of the equity securities of such Surviving Entity greater than 125% of the fair value of the equity securities of the Company owned by Executive and any Executive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this paragraph (d), a Change of Control shall not be deemed to have taken place unless and until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87" w:name="page188"/>
    <w:bookmarkEnd w:id="187"/>
    <w:p>
      <w:pPr>
        <w:ind w:right="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or consolidation contemplated by such agreement is consummated (but immediately prior to the consummation of such acquisition, merger, or consolidation, a Change of Control shall be deemed to have occurred on the date of execution of such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this Exhibit B the following terms have the meanings set forth below:</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shall expressly so determine in any future transaction or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Person shall be deemed to be the “owner” of any Common Stock:</w:t>
      </w:r>
    </w:p>
    <w:p>
      <w:pPr>
        <w:spacing w:after="0" w:line="117" w:lineRule="exact"/>
        <w:rPr>
          <w:sz w:val="20"/>
          <w:szCs w:val="20"/>
          <w:color w:val="auto"/>
        </w:rPr>
      </w:pPr>
    </w:p>
    <w:p>
      <w:pPr>
        <w:ind w:left="460" w:right="240" w:firstLine="443"/>
        <w:spacing w:after="0" w:line="277" w:lineRule="auto"/>
        <w:tabs>
          <w:tab w:leader="none" w:pos="111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as such term is defined in Rule 13d-3 promulgated by the Securities and Exchange Commission (the “Commission”) under the Exchange Act, as in effect on March 1, 1989; or</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6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 which such Person would be the “beneficial owner” for purposes of Section 16 of the Exchange Act and the rules of the Commission promulgated thereunder, as in effect on March 1, 1989; or</w:t>
      </w:r>
    </w:p>
    <w:p>
      <w:pPr>
        <w:spacing w:after="0" w:line="62" w:lineRule="exact"/>
        <w:rPr>
          <w:rFonts w:ascii="Arial" w:cs="Arial" w:eastAsia="Arial" w:hAnsi="Arial"/>
          <w:sz w:val="18"/>
          <w:szCs w:val="18"/>
          <w:color w:val="auto"/>
        </w:rPr>
      </w:pPr>
    </w:p>
    <w:p>
      <w:pPr>
        <w:ind w:left="460" w:firstLine="443"/>
        <w:spacing w:after="0" w:line="312" w:lineRule="auto"/>
        <w:tabs>
          <w:tab w:leader="none" w:pos="121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 shall have the meaning used in Section 13(d) of the Exchange Act, as in effect on March 1, 1989.</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 “Executive Related Party” shall mean any affiliate or associate of Executive other than the Company or a majority-owned subsidiary of the Company. The terms “affiliate” and “associate” shall have the meanings ascribed thereto in Rule 12b-2 under the Exchange Act (the term “registrant” in the definition of “associate” meaning, in this case, the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74" w:right="33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Change of Control Benefits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C.1. </w:t>
      </w:r>
      <w:r>
        <w:rPr>
          <w:rFonts w:ascii="Arial" w:cs="Arial" w:eastAsia="Arial" w:hAnsi="Arial"/>
          <w:sz w:val="18"/>
          <w:szCs w:val="18"/>
          <w:u w:val="single" w:color="auto"/>
          <w:color w:val="auto"/>
        </w:rPr>
        <w:t>Benefits Upon a Change of Control Termination</w:t>
      </w:r>
      <w:r>
        <w:rPr>
          <w:rFonts w:ascii="Arial" w:cs="Arial" w:eastAsia="Arial" w:hAnsi="Arial"/>
          <w:sz w:val="18"/>
          <w:szCs w:val="18"/>
          <w:color w:val="auto"/>
        </w:rPr>
        <w:t>. Executive shall be entitled to the payments and benefits described in this Section C.1 in the event of a Change of Control Termination.</w:t>
      </w:r>
    </w:p>
    <w:p>
      <w:pPr>
        <w:spacing w:after="0" w:line="170" w:lineRule="exact"/>
        <w:rPr>
          <w:sz w:val="20"/>
          <w:szCs w:val="20"/>
          <w:color w:val="auto"/>
        </w:rPr>
      </w:pPr>
    </w:p>
    <w:p>
      <w:pPr>
        <w:ind w:right="20" w:firstLine="464"/>
        <w:spacing w:after="0" w:line="285" w:lineRule="auto"/>
        <w:tabs>
          <w:tab w:leader="none" w:pos="70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shall pay to Executive (1) as hereinafter provided, an amount equal to the sum of (A) two times his Base Salary for one year at the rate in effect immediately prior to the Date of Termination or the Change of Control, whichever is higher, plus (B) two times the target award opportunity most recently granted to Executive prior to the Change of Control under MIP, which opportunity (if expressed as a percentage of Base Salary) shall be determined by reference to Executive’s Base Salary for one year at the rate in effect immediately prior to the Date of Termination or the Change of Control, whichever is higher; plus (2) within thirty (30) days following the Change of Control Termination, the accrued and unpaid portion of his Base Salary through the Date of Termination, subject to the following. If Executive is eligible for long-term disability compensation benefits under the Company’s long-term disability plan, the amount payable under (1)(A) above shall be reduced by the annual long-term disability compensation benefit for which Executive is eligible under such plan for the two-year period over which the amount payable under (1)(A) above is measured. To avoid duplication of benefits, if for any period Executive receives long-term disability compensation payments under a long-term disability plan of the Company as well as payments under the first sentence of this subsection (a), and if the sum of such payments for any period exceeds the payment for such period to which Executive is entitled under the first sentence of this subsection (a) (determined without regard to the second sentence of this subsection (a)), Executive shall promptly pay such excess in reimbursement to the Company. If the Change of Control Termination occurs in connection with a Change of Control that is also a Change in Control Event, the amount described under (1) above shall be paid in a lump sum on the date that is six (6) months and one day following the date of the Change of Control Termination (or, if earlier, the date of Executive’s death), unless Executive is not a Specified Employee on the relevant date, in which case the amount described under (1) above shall instead be paid thirty (30) days following the date of the Change of Control Termination. If the Change of Control Termination occurs more than two years after a Change in Control Event or in connection with a Change of Control that is not a Change in Control Event, the amount described under (1) above shall be paid, except as otherwise required by Section 11 of the Agreement, in the same manner as Base Salary continuation would have been paid in the case of a termination by the Company other than for Cause under Section 5(a).</w:t>
      </w:r>
    </w:p>
    <w:p>
      <w:pPr>
        <w:spacing w:after="0" w:line="172" w:lineRule="exact"/>
        <w:rPr>
          <w:rFonts w:ascii="Arial" w:cs="Arial" w:eastAsia="Arial" w:hAnsi="Arial"/>
          <w:sz w:val="16"/>
          <w:szCs w:val="16"/>
          <w:color w:val="auto"/>
        </w:rPr>
      </w:pPr>
    </w:p>
    <w:p>
      <w:pPr>
        <w:ind w:firstLine="464"/>
        <w:spacing w:after="0" w:line="276" w:lineRule="auto"/>
        <w:tabs>
          <w:tab w:leader="none" w:pos="71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Until the second anniversary of the Date of Termination, the Company shall maintain in full force and effect for the continued benefit of Executive and his family all life insurance and medical insurance plans and programs in which Executive was entitled to participate immediately prior to the Change of Control; provided, that Executive’s continued participation is possible under the general terms and provisions of such plans and programs. In the event that Executive is ineligible to participate in such plans or programs, or if the Company in its discretion determines that continued participation on such basis could give rise to a tax or penalty, the Company shall provide for a comparable alternative arrangement (which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189" w:name="page190"/>
    <w:bookmarkEnd w:id="189"/>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 of a cash payment) in lieu of continued coverage. Notwithstanding the foregoing, the Company’s obligations hereunder with respect to life or medical coverage or benefits shall be deemed satisfied to the extent (but only to the extent) of any such coverage or benefits provided by another employer.</w:t>
      </w:r>
    </w:p>
    <w:p>
      <w:pPr>
        <w:spacing w:after="0" w:line="124" w:lineRule="exact"/>
        <w:rPr>
          <w:sz w:val="20"/>
          <w:szCs w:val="20"/>
          <w:color w:val="auto"/>
        </w:rPr>
      </w:pPr>
    </w:p>
    <w:p>
      <w:pPr>
        <w:ind w:right="60" w:firstLine="464"/>
        <w:spacing w:after="0" w:line="272" w:lineRule="auto"/>
        <w:tabs>
          <w:tab w:leader="none" w:pos="70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On the date that is six (6) months and one day following the date of the Change of Control Termination (or, if earlier, the date of Executive’s death), the Company shall pay to Executive or his estate, in lieu of any automobile allowance, the present value of the automobile allowance (at the rate in effect prior to the Change of Control) it would have paid for the two years following the Change of Control Termination (or until the earlier date of Executive’s death, if Executive dies prior to the date of the payment under this Section C.1(c));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Change of Control is not a Change of Control Event, such amount shall instead be paid in the same manner as Executive’s automobile allowance would have been paid in the case of a termination by the Company other than for Cause under Section 5(a); </w:t>
      </w:r>
      <w:r>
        <w:rPr>
          <w:rFonts w:ascii="Arial" w:cs="Arial" w:eastAsia="Arial" w:hAnsi="Arial"/>
          <w:sz w:val="17"/>
          <w:szCs w:val="17"/>
          <w:i w:val="1"/>
          <w:iCs w:val="1"/>
          <w:color w:val="auto"/>
        </w:rPr>
        <w:t>and further provided</w:t>
      </w:r>
      <w:r>
        <w:rPr>
          <w:rFonts w:ascii="Arial" w:cs="Arial" w:eastAsia="Arial" w:hAnsi="Arial"/>
          <w:sz w:val="17"/>
          <w:szCs w:val="17"/>
          <w:color w:val="auto"/>
        </w:rPr>
        <w:t>, that if Executive is not a Specified Employee on the relevant date, any lump sum payable under this Section C.1(c) shall instead by paid within thirty (30) days following the Change of Control Termination.</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C.2. </w:t>
      </w:r>
      <w:r>
        <w:rPr>
          <w:rFonts w:ascii="Arial" w:cs="Arial" w:eastAsia="Arial" w:hAnsi="Arial"/>
          <w:sz w:val="16"/>
          <w:szCs w:val="16"/>
          <w:u w:val="single" w:color="auto"/>
          <w:color w:val="auto"/>
        </w:rPr>
        <w:t>Payment Adjustment</w:t>
      </w:r>
      <w:r>
        <w:rPr>
          <w:rFonts w:ascii="Arial" w:cs="Arial" w:eastAsia="Arial" w:hAnsi="Arial"/>
          <w:sz w:val="16"/>
          <w:szCs w:val="16"/>
          <w:color w:val="auto"/>
        </w:rPr>
        <w:t xml:space="preserve">. Payments under this Exhibit C shall be made without regard to whether the deductibility of such payments (or any other payments or benefits to or for the benefit of Executive) would be limited or precluded by Section 280G of the Code (“Section 280G”) and without regard to whether such payments (or any other payments or benefits) would subject Executive to the federal excise tax levied on certain “excess parachute payments” under Section 4999 of the Code (the “Excise Tax”); </w:t>
      </w:r>
      <w:r>
        <w:rPr>
          <w:rFonts w:ascii="Arial" w:cs="Arial" w:eastAsia="Arial" w:hAnsi="Arial"/>
          <w:sz w:val="16"/>
          <w:szCs w:val="16"/>
          <w:i w:val="1"/>
          <w:iCs w:val="1"/>
          <w:color w:val="auto"/>
        </w:rPr>
        <w:t>provided</w:t>
      </w:r>
      <w:r>
        <w:rPr>
          <w:rFonts w:ascii="Arial" w:cs="Arial" w:eastAsia="Arial" w:hAnsi="Arial"/>
          <w:sz w:val="16"/>
          <w:szCs w:val="16"/>
          <w:color w:val="auto"/>
        </w:rPr>
        <w:t>, that if the total of all payments to or for the benefit of Executive, after reduction for all federal taxes (including the excise tax under Section 4999 of the Code) with respect to such payments (“Executive’s total after-tax payments”), would be increased by the limitation or elimination of any payment under Section C.1 or Section C.3 of this Exhibit, or by an adjustment to the vesting of any equity-based or other awards that would otherwise vest on an accelerated basis in connection with the Change of Control, amounts payable under Section C.1 and Section C.3 of this Exhibit shall be reduced and the vesting of equity-based and other awards shall be adjusted to the extent, and only to the extent, necessary to maximize Executive’s total after-tax payments. Any reduction in payments or adjustment of vesting required by the preceding sentence shall be applied, first, against any benefits payable under Section C.1(a)(1) of this Exhibit, then against any benefits payable under Section C.3 of this Exhibit, then against the vesting of any performance-based restricted stock awards that would otherwise have vested in connection with the Change of Control, then against the vesting of any other equity-based awards, if any, that would otherwise have vested in connection with the Change of Control, and finally against all other payments, if any. The determination as to whether Executive’s payments and benefits include “excess parachute payments” and, if so, the amount and ordering of any reductions in payment required by the provisions of this Section C.2 shall be made at the Company’s expense by PricewaterhouseCoopers LLP or by such other certified public accounting firm as the Committee may designate prior to a Change of Control (the “accounting firm”). In the event of any underpayment or overpayment hereunder, as determined by the accounting firm, the amount of such underpayment or overpayment shall forthwith and in all events within thirty (30) days of such determination be paid to Executive or refunded to the Company, as the case may be, with interest at the applicable Federal rate provided for in Section 7872(f)(2) of the Code.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190" w:name="page191"/>
    <w:bookmarkEnd w:id="190"/>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C.3. </w:t>
      </w:r>
      <w:r>
        <w:rPr>
          <w:rFonts w:ascii="Arial" w:cs="Arial" w:eastAsia="Arial" w:hAnsi="Arial"/>
          <w:sz w:val="17"/>
          <w:szCs w:val="17"/>
          <w:u w:val="single" w:color="auto"/>
          <w:color w:val="auto"/>
        </w:rPr>
        <w:t>Settlement of MIP and LRPIP</w:t>
      </w:r>
      <w:r>
        <w:rPr>
          <w:rFonts w:ascii="Arial" w:cs="Arial" w:eastAsia="Arial" w:hAnsi="Arial"/>
          <w:sz w:val="17"/>
          <w:szCs w:val="17"/>
          <w:color w:val="auto"/>
        </w:rPr>
        <w:t xml:space="preserve">. Upon the occurrence of a Change of Control, Executive’s interest in MIP and LRPIP shall be settled automatically by the payment to Executive, in a lump sum within thirty (30) days following the Change of Control, of an amount equal to the sum of Executive’s target award opportunities with respect to each award granted to Executive under MIP and LRPIP for the fiscal year (in the case of MIP), and any performance cycle (in the case of LRPIP), that begins before and ends after the date of the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this Section C.3, unless Executive has been granted new award opportunities under MIP for such fiscal year and under LRPIP for the performance cycle commencing with such fiscal year, Executive’s most recent target award opportunities under MIP and LRPIP shall be deemed to have been granted to Executive under MIP and LRPIP with respect to such fiscal year and such performance cycle, respectively.</w:t>
      </w:r>
    </w:p>
    <w:p>
      <w:pPr>
        <w:spacing w:after="0" w:line="17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C.4. </w:t>
      </w:r>
      <w:r>
        <w:rPr>
          <w:rFonts w:ascii="Arial" w:cs="Arial" w:eastAsia="Arial" w:hAnsi="Arial"/>
          <w:sz w:val="16"/>
          <w:szCs w:val="16"/>
          <w:u w:val="single" w:color="auto"/>
          <w:color w:val="auto"/>
        </w:rPr>
        <w:t>Other Benefits</w:t>
      </w:r>
      <w:r>
        <w:rPr>
          <w:rFonts w:ascii="Arial" w:cs="Arial" w:eastAsia="Arial" w:hAnsi="Arial"/>
          <w:sz w:val="16"/>
          <w:szCs w:val="16"/>
          <w:color w:val="auto"/>
        </w:rPr>
        <w:t>. In addition to the amounts that may be payable under Sections C.1 or C.3 (but without duplication of any payments or benefits to which Executive may be entitled under any provision of this Agreement, and subject to Section C.2), upon and following a Change of Control Executive or his legal representative shall be entitled to: (i) his Stock Incentive Plan benefits, if any, under Section 3(b) (Existing Awards) and Section 3(c) (New Stock Awards); and (ii) any unpaid amounts to which Executive is entitled under MIP with respect to any fiscal year completed prior to the Change of Control, or under LRPIP with respect to any performance cycle completed prior to the Change of Control; and (iii) the payment of his vested benefits under the plans described in Section 3(f) (Qualified Plans; Other Deferred Compensation Plans) and under any TJX Canada-based retirement, savings and deferred compensation plans, in each case in accordance with and subject to the terms of the applicable plan, program or arrangement.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C.5. </w:t>
      </w:r>
      <w:r>
        <w:rPr>
          <w:rFonts w:ascii="Arial" w:cs="Arial" w:eastAsia="Arial" w:hAnsi="Arial"/>
          <w:sz w:val="18"/>
          <w:szCs w:val="18"/>
          <w:u w:val="single" w:color="auto"/>
          <w:color w:val="auto"/>
        </w:rPr>
        <w:t>Noncompetition; No Mitigation of Damages; etc</w:t>
      </w:r>
      <w:r>
        <w:rPr>
          <w:rFonts w:ascii="Arial" w:cs="Arial" w:eastAsia="Arial" w:hAnsi="Arial"/>
          <w:sz w:val="18"/>
          <w:szCs w:val="18"/>
          <w:color w:val="auto"/>
        </w:rPr>
        <w:t>.</w:t>
      </w:r>
    </w:p>
    <w:p>
      <w:pPr>
        <w:spacing w:after="0" w:line="225" w:lineRule="exact"/>
        <w:rPr>
          <w:sz w:val="20"/>
          <w:szCs w:val="20"/>
          <w:color w:val="auto"/>
        </w:rPr>
      </w:pPr>
    </w:p>
    <w:p>
      <w:pPr>
        <w:ind w:right="620" w:firstLine="464"/>
        <w:spacing w:after="0" w:line="308" w:lineRule="auto"/>
        <w:tabs>
          <w:tab w:leader="none" w:pos="701"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Upon a Change of Control, any agreement by Executive not to engage in competition with the Company subsequent to the termination of his employment, whether contained in an employment agreement or other agreement, shall no longer be effective.</w:t>
      </w:r>
    </w:p>
    <w:p>
      <w:pPr>
        <w:spacing w:after="0" w:line="146"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Executive’s benefits under this Exhibit C shall be considered severance pay in consideration of his past service and his continued service from the date of this Agreement, and his entitlement thereto shall neither be governed by any duty to mitigate his damages by seeking further employment nor offset by any compensation which he may receive from future employment.</w:t>
      </w:r>
    </w:p>
    <w:p>
      <w:pPr>
        <w:spacing w:after="0" w:line="181" w:lineRule="exact"/>
        <w:rPr>
          <w:rFonts w:ascii="Arial" w:cs="Arial" w:eastAsia="Arial" w:hAnsi="Arial"/>
          <w:sz w:val="18"/>
          <w:szCs w:val="18"/>
          <w:color w:val="auto"/>
        </w:rPr>
      </w:pPr>
    </w:p>
    <w:p>
      <w:pPr>
        <w:ind w:firstLine="464"/>
        <w:spacing w:after="0" w:line="255" w:lineRule="auto"/>
        <w:tabs>
          <w:tab w:leader="none" w:pos="701"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The Company shall pay all legal fees and expenses, including but not limited to counsel fees, reasonably incurred by Executive in contesting or disputing that the termination of his employment during a Standstill Period is for Cause or other than for good reason (as defined in the definition of Change of Control Termination) or obtaining any right or benefit to which Executive is entitled under this Agreement following a Change of Control. Any amount payable under this Agreement that is not paid when due shall accrue interest at the prime rate as from time to time in effect at Bank of America, or its successor, until paid in full. All payments and reimbursements under this Section shall be made consistent with the applicable requirements of Section 409A.</w:t>
      </w:r>
    </w:p>
    <w:p>
      <w:pPr>
        <w:spacing w:after="0" w:line="193"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During a Standstill Period, Executive’s employment may be terminated by the Company only upon thirty (30) days’ written notice to Executive.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DESCRIPTION OF DIRECTOR COMPENSATION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2018, our non-employee directors were entitled to the following payments:</w:t>
      </w:r>
    </w:p>
    <w:p>
      <w:pPr>
        <w:spacing w:after="0" w:line="131"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Annual retainer of $80,000 for each non-employee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$70,000 for the Lead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$28,000 for the Audit Committee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$15,000 for each Audit Committee member (other than the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$26,000 for the Chair of the subcommittee of the Audit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$23,000 for the Executive Compensation Committee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$10,000 for each Executive Compensation Committee member (other than the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$18,000 for the Corporate Governance Committee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$8,000 for each Corporate Governance Committee member (other than the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$18,000 for the Finance Committee Chair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Additional annual retainer of $8,000 for each Finance Committee member (other than the Chair)</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Two annual deferred stock awards for each non-employee director, each representing shares of our common stock valued at $80,000 (pro-rated for period of service if granted after the date of the annual meeting held during that fiscal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2018, the annual retainer for non-employee directors was increased to $90,000, effective at the beginning of fiscal 2019.</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Directors are reimbursed for customary expenses for attending Board and committee meetings. The deferred stock awards (and deferred dividends on those awards) are granted under our Stock Incentive Plan. One of the deferred stock awards vests immediately and is payable with accumulated dividends in stock at the earlier of separation from service as a director or change of control. The second award vests at the annual meeting next following the grant of the award, based on service as a director for that year, and is payable with accumulated dividends in stock upon vesting or, if an irrevocable advance election is made, at the same time as the first award. In the event that a non-employee director separates from service as a director prior to vesting in the second award, that award will be forfeited.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who are Employees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who are employees of TJX are not paid for their service as a director.</w:t>
      </w:r>
    </w:p>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Amendment to The Canadian Executive Savings Plan effective January 1, 2018</w:t>
      </w:r>
    </w:p>
    <w:p>
      <w:pPr>
        <w:spacing w:after="0" w:line="200" w:lineRule="exact"/>
        <w:rPr>
          <w:sz w:val="20"/>
          <w:szCs w:val="20"/>
          <w:color w:val="auto"/>
        </w:rPr>
      </w:pPr>
    </w:p>
    <w:p>
      <w:pPr>
        <w:spacing w:after="0" w:line="27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By resolution of The TJX Companies, Inc. ERISA Committee, the Winners Merchants International L.P. Canadian Executive Savings Plan (the “CESP”) is hereby amended to incorporate the following changes effective January 1, 2018 in lieu of the corresponding provisions of the CESP as in effect prior to amendment (capitalized terms have the meanings ascribed to them in the CESP):</w:t>
      </w:r>
    </w:p>
    <w:p>
      <w:pPr>
        <w:spacing w:after="0" w:line="87" w:lineRule="exact"/>
        <w:rPr>
          <w:sz w:val="20"/>
          <w:szCs w:val="20"/>
          <w:color w:val="auto"/>
        </w:rPr>
      </w:pPr>
    </w:p>
    <w:p>
      <w:pPr>
        <w:ind w:left="900" w:right="20" w:hanging="325"/>
        <w:spacing w:after="0" w:line="264"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Member with the title of Buyer III, Assistant Vice President or Divisional Vice President may elect to contribute up to 2.5% of his or her Earnings. For this purpose, Earnings shall be determined before taxes. The amount so elected to be deferred shall be deducted from the Member’s after-tax Earnings.</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Member with the title of Vice President, Senior Vice President or President may elect to contribute up to 5% of his or her Earnings. For this purpose, Earnings shall be determined before taxes. The amount so elected to be deferred shall be deducted from the Member’s after-tax Earnings.</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notional amounts credited by the Company to a Member’s Company Account as a matching contribution shall be calculated by substituting “50%” for “25%” of a Member’s eligible deferrals, as described in the preceding bullets.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Member shall become vested in his or her Company Account upon the first to occur of (1) five consecutive years of Membership,</w:t>
      </w:r>
    </w:p>
    <w:p>
      <w:pPr>
        <w:spacing w:after="0" w:line="23" w:lineRule="exact"/>
        <w:rPr>
          <w:rFonts w:ascii="Arial" w:cs="Arial" w:eastAsia="Arial" w:hAnsi="Arial"/>
          <w:sz w:val="18"/>
          <w:szCs w:val="18"/>
          <w:color w:val="auto"/>
        </w:rPr>
      </w:pPr>
    </w:p>
    <w:p>
      <w:pPr>
        <w:ind w:left="900" w:right="100"/>
        <w:spacing w:after="0" w:line="254" w:lineRule="auto"/>
        <w:rPr>
          <w:rFonts w:ascii="Arial" w:cs="Arial" w:eastAsia="Arial" w:hAnsi="Arial"/>
          <w:sz w:val="18"/>
          <w:szCs w:val="18"/>
          <w:color w:val="auto"/>
        </w:rPr>
      </w:pPr>
      <w:r>
        <w:rPr>
          <w:rFonts w:ascii="Arial" w:cs="Arial" w:eastAsia="Arial" w:hAnsi="Arial"/>
          <w:sz w:val="18"/>
          <w:szCs w:val="18"/>
          <w:color w:val="auto"/>
        </w:rPr>
        <w:t>(2) attainment of age 55 while a Member, (3) termination of employment while a Member due to Total and Permanent Disability, (4) death while a Member or (5) termination of the CESP while a Member. The foregoing sentence shall not result in an increase to the vested percentage of the Company Account of any Member or former Member who had ceased to provide Continuous Service prior to January 1, 2018, except as the Company may otherwise determine.</w:t>
      </w:r>
    </w:p>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the following subsidiaries are either directly or indirectly owned by The TJX Companies,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State or Jurisdiction</w:t>
            </w:r>
          </w:p>
        </w:tc>
        <w:tc>
          <w:tcPr>
            <w:tcW w:w="4680" w:type="dxa"/>
            <w:vAlign w:val="bottom"/>
            <w:gridSpan w:val="3"/>
            <w:vMerge w:val="restart"/>
          </w:tcPr>
          <w:p>
            <w:pPr>
              <w:ind w:left="2400"/>
              <w:spacing w:after="0"/>
              <w:rPr>
                <w:sz w:val="20"/>
                <w:szCs w:val="20"/>
                <w:color w:val="auto"/>
              </w:rPr>
            </w:pPr>
            <w:r>
              <w:rPr>
                <w:rFonts w:ascii="Arial" w:cs="Arial" w:eastAsia="Arial" w:hAnsi="Arial"/>
                <w:sz w:val="14"/>
                <w:szCs w:val="14"/>
                <w:b w:val="1"/>
                <w:bCs w:val="1"/>
                <w:color w:val="auto"/>
              </w:rPr>
              <w:t>Name Under Which Does</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Subsidiaries</w:t>
            </w: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Incorporation or</w:t>
            </w:r>
          </w:p>
        </w:tc>
        <w:tc>
          <w:tcPr>
            <w:tcW w:w="4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Organization</w:t>
            </w:r>
          </w:p>
        </w:tc>
        <w:tc>
          <w:tcPr>
            <w:tcW w:w="4680" w:type="dxa"/>
            <w:vAlign w:val="bottom"/>
            <w:gridSpan w:val="3"/>
          </w:tcPr>
          <w:p>
            <w:pPr>
              <w:ind w:left="2400"/>
              <w:spacing w:after="0"/>
              <w:rPr>
                <w:sz w:val="20"/>
                <w:szCs w:val="20"/>
                <w:color w:val="auto"/>
              </w:rPr>
            </w:pPr>
            <w:r>
              <w:rPr>
                <w:rFonts w:ascii="Arial" w:cs="Arial" w:eastAsia="Arial" w:hAnsi="Arial"/>
                <w:sz w:val="14"/>
                <w:szCs w:val="14"/>
                <w:b w:val="1"/>
                <w:bCs w:val="1"/>
                <w:color w:val="auto"/>
              </w:rPr>
              <w:t>Business (if Different)</w:t>
            </w:r>
          </w:p>
        </w:tc>
        <w:tc>
          <w:tcPr>
            <w:tcW w:w="0" w:type="dxa"/>
            <w:vAlign w:val="bottom"/>
          </w:tcPr>
          <w:p>
            <w:pPr>
              <w:spacing w:after="0"/>
              <w:rPr>
                <w:sz w:val="1"/>
                <w:szCs w:val="1"/>
                <w:color w:val="auto"/>
              </w:rPr>
            </w:pPr>
          </w:p>
        </w:tc>
      </w:tr>
      <w:tr>
        <w:trPr>
          <w:trHeight w:val="178"/>
        </w:trPr>
        <w:tc>
          <w:tcPr>
            <w:tcW w:w="142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b w:val="1"/>
                <w:bCs w:val="1"/>
                <w:color w:val="auto"/>
              </w:rPr>
              <w:t>T.J. Maxx of CA,</w:t>
            </w:r>
          </w:p>
        </w:tc>
        <w:tc>
          <w:tcPr>
            <w:tcW w:w="2700" w:type="dxa"/>
            <w:vAlign w:val="bottom"/>
          </w:tcPr>
          <w:p>
            <w:pPr>
              <w:spacing w:after="0" w:line="178" w:lineRule="exact"/>
              <w:rPr>
                <w:sz w:val="20"/>
                <w:szCs w:val="20"/>
                <w:color w:val="auto"/>
              </w:rPr>
            </w:pPr>
            <w:r>
              <w:rPr>
                <w:rFonts w:ascii="Arial" w:cs="Arial" w:eastAsia="Arial" w:hAnsi="Arial"/>
                <w:sz w:val="18"/>
                <w:szCs w:val="18"/>
                <w:b w:val="1"/>
                <w:bCs w:val="1"/>
                <w:color w:val="auto"/>
              </w:rPr>
              <w:t>LLC</w:t>
            </w:r>
          </w:p>
        </w:tc>
        <w:tc>
          <w:tcPr>
            <w:tcW w:w="82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b w:val="1"/>
                <w:bCs w:val="1"/>
                <w:color w:val="auto"/>
              </w:rPr>
              <w:t>Virginia</w:t>
            </w:r>
          </w:p>
        </w:tc>
        <w:tc>
          <w:tcPr>
            <w:tcW w:w="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 Maxx of IL,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Digital,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18"/>
                <w:szCs w:val="18"/>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rPr>
              <w:t>T.J.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Arizona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Arizona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Charlotte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North Carolina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Distributors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Massachusetts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Manteca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California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Nevada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Philadelphia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Pennsylvania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Pittston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Pennsylvania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Digital Memphis Merchants,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Beacon, VA,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CA,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Elizabeth, NJ,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New Jersey</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Glen Burnie, MD,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Maryland</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IL,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MA,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Massachusetts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Matteson, IL,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Illinois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Richfield, MN,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Minnesota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Newton Buying Company of CA,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Marshalls</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Atlanta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Georgia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Bridgewater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of Nevada,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Marshalls Woburn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Massachusetts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Marmaxx Operating Corp.</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2400" w:type="dxa"/>
            <w:vAlign w:val="bottom"/>
          </w:tcPr>
          <w:p>
            <w:pPr>
              <w:spacing w:after="0"/>
              <w:rPr>
                <w:sz w:val="18"/>
                <w:szCs w:val="18"/>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rPr>
              <w:t>T.J.Maxx, Marshalls</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HomeGoods,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18"/>
                <w:szCs w:val="18"/>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w w:val="86"/>
              </w:rPr>
              <w:t>HomeGoods, HomeSense</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H.G. AZ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Arizona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H.G. Conn.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Connecticut</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H.G. Georgia Merchants,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Georgia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H.G. Indiana Distributors,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HomeGoods Georgia,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Georgia</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HomeGoods Imports Corp.</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Sierra Trading Post,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Wyoming</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Derailed,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Wyoming</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STP Retail,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Wyoming</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STP Technology Systems,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Wyoming</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Concord Buying Group,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New Hampshire</w:t>
            </w:r>
          </w:p>
        </w:tc>
        <w:tc>
          <w:tcPr>
            <w:tcW w:w="2400" w:type="dxa"/>
            <w:vAlign w:val="bottom"/>
          </w:tcPr>
          <w:p>
            <w:pPr>
              <w:spacing w:after="0"/>
              <w:rPr>
                <w:sz w:val="18"/>
                <w:szCs w:val="18"/>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b w:val="1"/>
                <w:bCs w:val="1"/>
                <w:color w:val="auto"/>
              </w:rPr>
              <w:t>A.J. Wright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Apparel, Inc.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Apparel, LLC</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tcPr>
          <w:p>
            <w:pPr>
              <w:jc w:val="right"/>
              <w:ind w:right="2002"/>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4" w:name="page195"/>
    <w:bookmarkEnd w:id="1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State or Jurisdiction</w:t>
            </w:r>
          </w:p>
        </w:tc>
        <w:tc>
          <w:tcPr>
            <w:tcW w:w="3860" w:type="dxa"/>
            <w:vAlign w:val="bottom"/>
            <w:gridSpan w:val="3"/>
            <w:vMerge w:val="restart"/>
          </w:tcPr>
          <w:p>
            <w:pPr>
              <w:ind w:left="1040"/>
              <w:spacing w:after="0"/>
              <w:rPr>
                <w:sz w:val="20"/>
                <w:szCs w:val="20"/>
                <w:color w:val="auto"/>
              </w:rPr>
            </w:pPr>
            <w:r>
              <w:rPr>
                <w:rFonts w:ascii="Arial" w:cs="Arial" w:eastAsia="Arial" w:hAnsi="Arial"/>
                <w:sz w:val="14"/>
                <w:szCs w:val="14"/>
                <w:b w:val="1"/>
                <w:bCs w:val="1"/>
                <w:color w:val="auto"/>
              </w:rPr>
              <w:t>Name Under Which Does</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Subsidiaries</w:t>
            </w:r>
          </w:p>
        </w:tc>
        <w:tc>
          <w:tcPr>
            <w:tcW w:w="2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Incorporation or</w:t>
            </w:r>
          </w:p>
        </w:tc>
        <w:tc>
          <w:tcPr>
            <w:tcW w:w="3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Organization</w:t>
            </w:r>
          </w:p>
        </w:tc>
        <w:tc>
          <w:tcPr>
            <w:tcW w:w="3860" w:type="dxa"/>
            <w:vAlign w:val="bottom"/>
            <w:gridSpan w:val="3"/>
          </w:tcPr>
          <w:p>
            <w:pPr>
              <w:ind w:left="1040"/>
              <w:spacing w:after="0"/>
              <w:rPr>
                <w:sz w:val="20"/>
                <w:szCs w:val="20"/>
                <w:color w:val="auto"/>
              </w:rPr>
            </w:pPr>
            <w:r>
              <w:rPr>
                <w:rFonts w:ascii="Arial" w:cs="Arial" w:eastAsia="Arial" w:hAnsi="Arial"/>
                <w:sz w:val="14"/>
                <w:szCs w:val="14"/>
                <w:b w:val="1"/>
                <w:bCs w:val="1"/>
                <w:color w:val="auto"/>
              </w:rPr>
              <w:t>Business (if Different)</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20" w:type="dxa"/>
            <w:vAlign w:val="bottom"/>
          </w:tcPr>
          <w:p>
            <w:pPr>
              <w:spacing w:after="0" w:line="178" w:lineRule="exact"/>
              <w:rPr>
                <w:sz w:val="20"/>
                <w:szCs w:val="20"/>
                <w:color w:val="auto"/>
              </w:rPr>
            </w:pPr>
            <w:r>
              <w:rPr>
                <w:rFonts w:ascii="Arial" w:cs="Arial" w:eastAsia="Arial" w:hAnsi="Arial"/>
                <w:sz w:val="18"/>
                <w:szCs w:val="18"/>
                <w:b w:val="1"/>
                <w:bCs w:val="1"/>
                <w:color w:val="auto"/>
              </w:rPr>
              <w:t>NBC Attire Inc.</w:t>
            </w:r>
          </w:p>
        </w:tc>
        <w:tc>
          <w:tcPr>
            <w:tcW w:w="2700" w:type="dxa"/>
            <w:vAlign w:val="bottom"/>
            <w:vMerge w:val="continue"/>
          </w:tcPr>
          <w:p>
            <w:pPr>
              <w:spacing w:after="0"/>
              <w:rPr>
                <w:sz w:val="15"/>
                <w:szCs w:val="15"/>
                <w:color w:val="auto"/>
              </w:rPr>
            </w:pPr>
          </w:p>
        </w:tc>
        <w:tc>
          <w:tcPr>
            <w:tcW w:w="27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Massachusetts</w:t>
            </w: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GP, LLC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Holding, Inc.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Manager, LLC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Operating, LP</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Trading, Inc.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Trust</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Massachusetts</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Newton Buying Corp.</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Newton Buying Imports, Inc.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Strathmex Corp.</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Incentive Sales, Inc.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Virginia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Wagon Wheel Realty, LLC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Australia Holding Company Pty Ltd.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Australia Merchants Pty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Australia Pty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Australia</w:t>
            </w:r>
          </w:p>
        </w:tc>
        <w:tc>
          <w:tcPr>
            <w:tcW w:w="104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T.K.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Austria Holding GmbH</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Austria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Oesterreich Ltd. &amp; Co. KG</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Austria</w:t>
            </w:r>
          </w:p>
        </w:tc>
        <w:tc>
          <w:tcPr>
            <w:tcW w:w="104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T.K.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Atlantic Holding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Bermuda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Atlantic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Bermuda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WMI-1 Holding Company</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Nova Scotia, Canada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WMI-99 Holding Company</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Nova Scotia, Canada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Winners Merchants International, L.P.</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Ontario, Canada</w:t>
            </w:r>
          </w:p>
        </w:tc>
        <w:tc>
          <w:tcPr>
            <w:tcW w:w="3860" w:type="dxa"/>
            <w:vAlign w:val="bottom"/>
            <w:gridSpan w:val="3"/>
          </w:tcPr>
          <w:p>
            <w:pPr>
              <w:ind w:left="1040"/>
              <w:spacing w:after="0"/>
              <w:rPr>
                <w:sz w:val="20"/>
                <w:szCs w:val="20"/>
                <w:color w:val="auto"/>
              </w:rPr>
            </w:pPr>
            <w:r>
              <w:rPr>
                <w:rFonts w:ascii="Arial" w:cs="Arial" w:eastAsia="Arial" w:hAnsi="Arial"/>
                <w:sz w:val="18"/>
                <w:szCs w:val="18"/>
                <w:b w:val="1"/>
                <w:bCs w:val="1"/>
                <w:color w:val="auto"/>
                <w:w w:val="96"/>
              </w:rPr>
              <w:t>Winners, HomeSense &amp; Marshalls</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T.K. Maxx Holding GmbH</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T.K. Maxx Management GmbH</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Deutschland Ltd &amp; Co. KG</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104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T.K.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Distribution Ltd. &amp; Co. KG</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Hong Kong Merchants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Hong Kong</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Fashion India Private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India</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Ireland Unlimited Company</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Ireland</w:t>
            </w:r>
          </w:p>
        </w:tc>
        <w:tc>
          <w:tcPr>
            <w:tcW w:w="3860" w:type="dxa"/>
            <w:vAlign w:val="bottom"/>
            <w:gridSpan w:val="3"/>
          </w:tcPr>
          <w:p>
            <w:pPr>
              <w:ind w:left="1040"/>
              <w:spacing w:after="0"/>
              <w:rPr>
                <w:sz w:val="20"/>
                <w:szCs w:val="20"/>
                <w:color w:val="auto"/>
              </w:rPr>
            </w:pPr>
            <w:r>
              <w:rPr>
                <w:rFonts w:ascii="Arial" w:cs="Arial" w:eastAsia="Arial" w:hAnsi="Arial"/>
                <w:sz w:val="18"/>
                <w:szCs w:val="18"/>
                <w:b w:val="1"/>
                <w:bCs w:val="1"/>
                <w:color w:val="auto"/>
              </w:rPr>
              <w:t>T.K. Maxx, HomeSense</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Jusy Meazza Buying Company S.r.L.</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Italy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Nederland B.V.</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c>
          <w:tcPr>
            <w:tcW w:w="104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T.K.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European Distribution Sp. Z o.o</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Poland</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Poland Sp. Z o.o</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Poland</w:t>
            </w:r>
          </w:p>
        </w:tc>
        <w:tc>
          <w:tcPr>
            <w:tcW w:w="104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Arial" w:cs="Arial" w:eastAsia="Arial" w:hAnsi="Arial"/>
                <w:sz w:val="18"/>
                <w:szCs w:val="18"/>
                <w:b w:val="1"/>
                <w:bCs w:val="1"/>
                <w:color w:val="auto"/>
              </w:rPr>
              <w:t>T.K. Maxx</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w w:val="97"/>
              </w:rPr>
              <w:t>New York Department Stores de Puerto Rico, Inc.</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Puerto Rico</w:t>
            </w:r>
          </w:p>
        </w:tc>
        <w:tc>
          <w:tcPr>
            <w:tcW w:w="3860" w:type="dxa"/>
            <w:vAlign w:val="bottom"/>
            <w:gridSpan w:val="3"/>
          </w:tcPr>
          <w:p>
            <w:pPr>
              <w:ind w:left="1040"/>
              <w:spacing w:after="0"/>
              <w:rPr>
                <w:sz w:val="20"/>
                <w:szCs w:val="20"/>
                <w:color w:val="auto"/>
              </w:rPr>
            </w:pPr>
            <w:r>
              <w:rPr>
                <w:rFonts w:ascii="Arial" w:cs="Arial" w:eastAsia="Arial" w:hAnsi="Arial"/>
                <w:sz w:val="18"/>
                <w:szCs w:val="18"/>
                <w:b w:val="1"/>
                <w:bCs w:val="1"/>
                <w:color w:val="auto"/>
                <w:w w:val="92"/>
              </w:rPr>
              <w:t>T.J. Maxx, Marshalls &amp; HomeGoods</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NBC Europe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United Kingdom</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Europe Buying Ltd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United Kingdom</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Europe Buying Group Limited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United Kingdom</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TJX Europe Buying (Deutschland) Ltd</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United Kingdom</w:t>
            </w: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40" w:type="dxa"/>
            <w:vAlign w:val="bottom"/>
            <w:gridSpan w:val="2"/>
          </w:tcPr>
          <w:p>
            <w:pPr>
              <w:ind w:left="148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253" w:right="939" w:bottom="1440" w:gutter="0" w:footer="0" w:header="0"/>
        </w:sectPr>
      </w:pPr>
    </w:p>
    <w:bookmarkStart w:id="195" w:name="page196"/>
    <w:bookmarkEnd w:id="1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State or Jurisdiction</w:t>
            </w:r>
          </w:p>
        </w:tc>
        <w:tc>
          <w:tcPr>
            <w:tcW w:w="4180" w:type="dxa"/>
            <w:vAlign w:val="bottom"/>
            <w:gridSpan w:val="3"/>
            <w:vMerge w:val="restart"/>
          </w:tcPr>
          <w:p>
            <w:pPr>
              <w:ind w:left="2380"/>
              <w:spacing w:after="0"/>
              <w:rPr>
                <w:sz w:val="20"/>
                <w:szCs w:val="20"/>
                <w:color w:val="auto"/>
              </w:rPr>
            </w:pPr>
            <w:r>
              <w:rPr>
                <w:rFonts w:ascii="Arial" w:cs="Arial" w:eastAsia="Arial" w:hAnsi="Arial"/>
                <w:sz w:val="14"/>
                <w:szCs w:val="14"/>
                <w:b w:val="1"/>
                <w:bCs w:val="1"/>
                <w:color w:val="auto"/>
              </w:rPr>
              <w:t>Name Under Which Does</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Subsidiaries</w:t>
            </w:r>
          </w:p>
        </w:tc>
        <w:tc>
          <w:tcPr>
            <w:tcW w:w="1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Incorporation or</w:t>
            </w:r>
          </w:p>
        </w:tc>
        <w:tc>
          <w:tcPr>
            <w:tcW w:w="4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Organization</w:t>
            </w:r>
          </w:p>
        </w:tc>
        <w:tc>
          <w:tcPr>
            <w:tcW w:w="4180" w:type="dxa"/>
            <w:vAlign w:val="bottom"/>
            <w:gridSpan w:val="3"/>
          </w:tcPr>
          <w:p>
            <w:pPr>
              <w:ind w:left="2380"/>
              <w:spacing w:after="0"/>
              <w:rPr>
                <w:sz w:val="20"/>
                <w:szCs w:val="20"/>
                <w:color w:val="auto"/>
              </w:rPr>
            </w:pPr>
            <w:r>
              <w:rPr>
                <w:rFonts w:ascii="Arial" w:cs="Arial" w:eastAsia="Arial" w:hAnsi="Arial"/>
                <w:sz w:val="14"/>
                <w:szCs w:val="14"/>
                <w:b w:val="1"/>
                <w:bCs w:val="1"/>
                <w:color w:val="auto"/>
              </w:rPr>
              <w:t>Business (if Different)</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00" w:type="dxa"/>
            <w:vAlign w:val="bottom"/>
            <w:vMerge w:val="restart"/>
          </w:tcPr>
          <w:p>
            <w:pPr>
              <w:ind w:left="180"/>
              <w:spacing w:after="0" w:line="198" w:lineRule="exact"/>
              <w:rPr>
                <w:sz w:val="20"/>
                <w:szCs w:val="20"/>
                <w:color w:val="auto"/>
              </w:rPr>
            </w:pPr>
            <w:r>
              <w:rPr>
                <w:rFonts w:ascii="Arial" w:cs="Arial" w:eastAsia="Arial" w:hAnsi="Arial"/>
                <w:sz w:val="18"/>
                <w:szCs w:val="18"/>
                <w:b w:val="1"/>
                <w:bCs w:val="1"/>
                <w:color w:val="auto"/>
              </w:rPr>
              <w:t>(Polska) Ltd</w:t>
            </w: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84"/>
              </w:rPr>
              <w:t>TJX Europe Buying</w:t>
            </w:r>
          </w:p>
        </w:tc>
        <w:tc>
          <w:tcPr>
            <w:tcW w:w="2700" w:type="dxa"/>
            <w:vAlign w:val="bottom"/>
            <w:vMerge w:val="continue"/>
          </w:tcPr>
          <w:p>
            <w:pPr>
              <w:spacing w:after="0"/>
              <w:rPr>
                <w:sz w:val="15"/>
                <w:szCs w:val="15"/>
                <w:color w:val="auto"/>
              </w:rPr>
            </w:pPr>
          </w:p>
        </w:tc>
        <w:tc>
          <w:tcPr>
            <w:tcW w:w="140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99"/>
              </w:rPr>
              <w:t>United Kingdom</w:t>
            </w: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TJX Europe Limited</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United Kingdom</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TJX Germany Ltd.</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United Kingdom</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TJX UK</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United Kingdom</w:t>
            </w:r>
          </w:p>
        </w:tc>
        <w:tc>
          <w:tcPr>
            <w:tcW w:w="4180" w:type="dxa"/>
            <w:vAlign w:val="bottom"/>
            <w:gridSpan w:val="3"/>
          </w:tcPr>
          <w:p>
            <w:pPr>
              <w:ind w:left="2380"/>
              <w:spacing w:after="0"/>
              <w:rPr>
                <w:sz w:val="20"/>
                <w:szCs w:val="20"/>
                <w:color w:val="auto"/>
              </w:rPr>
            </w:pPr>
            <w:r>
              <w:rPr>
                <w:rFonts w:ascii="Arial" w:cs="Arial" w:eastAsia="Arial" w:hAnsi="Arial"/>
                <w:sz w:val="18"/>
                <w:szCs w:val="18"/>
                <w:b w:val="1"/>
                <w:bCs w:val="1"/>
                <w:color w:val="auto"/>
                <w:w w:val="90"/>
              </w:rPr>
              <w:t>T.K. Maxx, HomeSense</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TJX UK Property Limited</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United Kingdom</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TK Maxx</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99"/>
              </w:rPr>
              <w:t>United Kingdom</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TJX Vietnam Company Limited</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Vietnam</w:t>
            </w:r>
          </w:p>
        </w:tc>
        <w:tc>
          <w:tcPr>
            <w:tcW w:w="2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Leasing Subsidiaries</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8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b w:val="1"/>
                <w:bCs w:val="1"/>
                <w:color w:val="auto"/>
                <w:w w:val="86"/>
              </w:rPr>
              <w:t>AJW South Bend</w:t>
            </w:r>
          </w:p>
        </w:tc>
        <w:tc>
          <w:tcPr>
            <w:tcW w:w="2840" w:type="dxa"/>
            <w:vAlign w:val="bottom"/>
            <w:gridSpan w:val="2"/>
          </w:tcPr>
          <w:p>
            <w:pPr>
              <w:ind w:left="120"/>
              <w:spacing w:after="0" w:line="178" w:lineRule="exact"/>
              <w:rPr>
                <w:sz w:val="20"/>
                <w:szCs w:val="20"/>
                <w:color w:val="auto"/>
              </w:rPr>
            </w:pPr>
            <w:r>
              <w:rPr>
                <w:rFonts w:ascii="Arial" w:cs="Arial" w:eastAsia="Arial" w:hAnsi="Arial"/>
                <w:sz w:val="18"/>
                <w:szCs w:val="18"/>
                <w:b w:val="1"/>
                <w:bCs w:val="1"/>
                <w:color w:val="auto"/>
              </w:rPr>
              <w:t>Realty Corp.</w:t>
            </w:r>
          </w:p>
        </w:tc>
        <w:tc>
          <w:tcPr>
            <w:tcW w:w="140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Indiana</w:t>
            </w:r>
          </w:p>
        </w:tc>
        <w:tc>
          <w:tcPr>
            <w:tcW w:w="2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H.G. Brownsburg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H.G. Conn.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Fifth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Illinois</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First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Indiana</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Fourth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Nevada</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Second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Massachusetts</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Seventh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Pennsylvania</w:t>
            </w:r>
          </w:p>
        </w:tc>
        <w:tc>
          <w:tcPr>
            <w:tcW w:w="2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NBC Sixth Realty Corp.</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North Carolina</w:t>
            </w:r>
          </w:p>
        </w:tc>
        <w:tc>
          <w:tcPr>
            <w:tcW w:w="2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tcPr>
          <w:p>
            <w:pPr>
              <w:jc w:val="right"/>
              <w:ind w:right="1999"/>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53"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333-213521) and Form S-8 (Nos. 333-189511, 333-169297, 333-162218, 333-116277, 333-86966, 333-63293, and 333-35073) of The TJX Companies, Inc. of our report dated April 4, 2018 relating to the financial statements, financial statement schedule and the effectiveness of internal control over financial reporting, which appears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2018</w:t>
      </w:r>
    </w:p>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Ernie Herrman and Scott Goldenberg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February 3, 2018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80"/>
        <w:spacing w:after="0" w:line="342" w:lineRule="auto"/>
        <w:rPr>
          <w:sz w:val="20"/>
          <w:szCs w:val="20"/>
          <w:color w:val="auto"/>
        </w:rPr>
      </w:pPr>
      <w:r>
        <w:rPr>
          <w:rFonts w:ascii="Arial" w:cs="Arial" w:eastAsia="Arial" w:hAnsi="Arial"/>
          <w:sz w:val="16"/>
          <w:szCs w:val="16"/>
          <w:color w:val="auto"/>
        </w:rPr>
        <w:t>Ernie Herrman, Chief Executive Officer, President 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3413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Zein Abdalla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Zein Abdalla,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José B. Alvarez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José B. Alvarez,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Alan M. Bennett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M. Bennett,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David T. Ching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T. Ching,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Michael F. Hines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F. Hines,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Scott Goldenberg,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-130175</wp:posOffset>
            </wp:positionV>
            <wp:extent cx="34734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Amy B. Lane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B. Lane,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Carol Meyrowitz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Carol Meyrowitz, 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-116205</wp:posOffset>
            </wp:positionV>
            <wp:extent cx="34734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Jackwyn L. Nemerov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Jackwyn L. Nemerov,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John F.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F. O’Brien,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Willow B. Shire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Willow B. Shire,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2">
            <w:col w:w="5340" w:space="720"/>
            <w:col w:w="5360"/>
          </w:cols>
          <w:pgMar w:left="240" w:top="121" w:right="239"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Ernie Herrman, certify that:</w:t>
      </w:r>
    </w:p>
    <w:p>
      <w:pPr>
        <w:spacing w:after="0" w:line="1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TJX Companies,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 April 4, 2018</w:t>
            </w:r>
          </w:p>
        </w:tc>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Ernie Herrman</w:t>
            </w:r>
          </w:p>
        </w:tc>
      </w:tr>
      <w:tr>
        <w:trPr>
          <w:trHeight w:val="195"/>
        </w:trPr>
        <w:tc>
          <w:tcPr>
            <w:tcW w:w="5920" w:type="dxa"/>
            <w:vAlign w:val="bottom"/>
          </w:tcPr>
          <w:p>
            <w:pPr>
              <w:spacing w:after="0"/>
              <w:rPr>
                <w:sz w:val="16"/>
                <w:szCs w:val="16"/>
                <w:color w:val="auto"/>
              </w:rPr>
            </w:pPr>
          </w:p>
        </w:tc>
        <w:tc>
          <w:tcPr>
            <w:tcW w:w="5500" w:type="dxa"/>
            <w:vAlign w:val="bottom"/>
          </w:tcPr>
          <w:p>
            <w:pPr>
              <w:ind w:left="60"/>
              <w:spacing w:after="0" w:line="195" w:lineRule="exact"/>
              <w:rPr>
                <w:sz w:val="20"/>
                <w:szCs w:val="20"/>
                <w:color w:val="auto"/>
              </w:rPr>
            </w:pPr>
            <w:r>
              <w:rPr>
                <w:rFonts w:ascii="Arial" w:cs="Arial" w:eastAsia="Arial" w:hAnsi="Arial"/>
                <w:sz w:val="18"/>
                <w:szCs w:val="18"/>
                <w:color w:val="auto"/>
              </w:rPr>
              <w:t>Name:  Ernie Herrman</w:t>
            </w:r>
          </w:p>
        </w:tc>
      </w:tr>
      <w:tr>
        <w:trPr>
          <w:trHeight w:val="230"/>
        </w:trPr>
        <w:tc>
          <w:tcPr>
            <w:tcW w:w="5920" w:type="dxa"/>
            <w:vAlign w:val="bottom"/>
          </w:tcPr>
          <w:p>
            <w:pPr>
              <w:spacing w:after="0"/>
              <w:rPr>
                <w:sz w:val="20"/>
                <w:szCs w:val="20"/>
                <w:color w:val="auto"/>
              </w:rPr>
            </w:pPr>
          </w:p>
        </w:tc>
        <w:tc>
          <w:tcPr>
            <w:tcW w:w="5500" w:type="dxa"/>
            <w:vAlign w:val="bottom"/>
          </w:tcPr>
          <w:p>
            <w:pPr>
              <w:ind w:left="60"/>
              <w:spacing w:after="0"/>
              <w:rPr>
                <w:sz w:val="20"/>
                <w:szCs w:val="20"/>
                <w:color w:val="auto"/>
              </w:rPr>
            </w:pPr>
            <w:r>
              <w:rPr>
                <w:rFonts w:ascii="Arial" w:cs="Arial" w:eastAsia="Arial" w:hAnsi="Arial"/>
                <w:sz w:val="18"/>
                <w:szCs w:val="18"/>
                <w:color w:val="auto"/>
              </w:rPr>
              <w:t>Title:   Chief Executive Officer and President</w:t>
            </w:r>
          </w:p>
        </w:tc>
      </w:tr>
    </w:tbl>
    <w:p>
      <w:pPr>
        <w:sectPr>
          <w:pgSz w:w="11900" w:h="16838" w:orient="portrait"/>
          <w:cols w:equalWidth="0" w:num="1">
            <w:col w:w="11420"/>
          </w:cols>
          <w:pgMar w:left="240" w:top="12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Goldenberg, certify that:</w:t>
      </w:r>
    </w:p>
    <w:p>
      <w:pPr>
        <w:spacing w:after="0" w:line="13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TJX Companies,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April 04, 2018</w:t>
            </w:r>
          </w:p>
        </w:tc>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Goldenberg</w:t>
            </w:r>
          </w:p>
        </w:tc>
      </w:tr>
      <w:tr>
        <w:trPr>
          <w:trHeight w:val="195"/>
        </w:trPr>
        <w:tc>
          <w:tcPr>
            <w:tcW w:w="5840" w:type="dxa"/>
            <w:vAlign w:val="bottom"/>
          </w:tcPr>
          <w:p>
            <w:pPr>
              <w:spacing w:after="0"/>
              <w:rPr>
                <w:sz w:val="16"/>
                <w:szCs w:val="16"/>
                <w:color w:val="auto"/>
              </w:rPr>
            </w:pPr>
          </w:p>
        </w:tc>
        <w:tc>
          <w:tcPr>
            <w:tcW w:w="5580" w:type="dxa"/>
            <w:vAlign w:val="bottom"/>
          </w:tcPr>
          <w:p>
            <w:pPr>
              <w:ind w:left="60"/>
              <w:spacing w:after="0" w:line="195" w:lineRule="exact"/>
              <w:rPr>
                <w:sz w:val="20"/>
                <w:szCs w:val="20"/>
                <w:color w:val="auto"/>
              </w:rPr>
            </w:pPr>
            <w:r>
              <w:rPr>
                <w:rFonts w:ascii="Arial" w:cs="Arial" w:eastAsia="Arial" w:hAnsi="Arial"/>
                <w:sz w:val="18"/>
                <w:szCs w:val="18"/>
                <w:color w:val="auto"/>
              </w:rPr>
              <w:t>Name:  Scott Goldenberg</w:t>
            </w:r>
          </w:p>
        </w:tc>
      </w:tr>
      <w:tr>
        <w:trPr>
          <w:trHeight w:val="230"/>
        </w:trPr>
        <w:tc>
          <w:tcPr>
            <w:tcW w:w="584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121"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spacing w:after="0" w:line="76" w:lineRule="exact"/>
        <w:rPr>
          <w:sz w:val="20"/>
          <w:szCs w:val="20"/>
          <w:color w:val="auto"/>
        </w:rPr>
      </w:pPr>
    </w:p>
    <w:p>
      <w:pPr>
        <w:ind w:left="900" w:right="44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Company’s Form 10-K for the fiscal year ended February 03, 2018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Company’s Form 10-K for the fiscal year ended February 03, 2018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Ernie Herrman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Ernie Herrman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04, 2018</w:t>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spacing w:after="0" w:line="76" w:lineRule="exact"/>
        <w:rPr>
          <w:sz w:val="20"/>
          <w:szCs w:val="20"/>
          <w:color w:val="auto"/>
        </w:rPr>
      </w:pPr>
    </w:p>
    <w:p>
      <w:pPr>
        <w:ind w:left="900" w:right="440" w:hanging="446"/>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Company’s Form 10-K for the fiscal year ended February 03, 2018 fully complies with the requirements of Section 13(a) or 15(d) of the Securities Exchange Act of 1934;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information contained in the Company’s Form 10-K for the fiscal year ended February 03, 2018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Goldenberg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Scott Goldenberg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04,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emdash "/>
      <w:numFmt w:val="bullet"/>
      <w:start w:val="1"/>
    </w:lvl>
  </w:abstractNum>
  <w:abstractNum w:abstractNumId="5">
    <w:nsid w:val="5FB8370B"/>
    <w:multiLevelType w:val="hybridMultilevel"/>
    <w:lvl w:ilvl="0">
      <w:lvlJc w:val="left"/>
      <w:lvlText w:val="\emdash "/>
      <w:numFmt w:val="bullet"/>
      <w:start w:val="1"/>
    </w:lvl>
  </w:abstractNum>
  <w:abstractNum w:abstractNumId="6">
    <w:nsid w:val="50801EE1"/>
    <w:multiLevelType w:val="hybridMultilevel"/>
    <w:lvl w:ilvl="0">
      <w:lvlJc w:val="left"/>
      <w:lvlText w:val="(%1)"/>
      <w:numFmt w:val="decimal"/>
      <w:start w:val="1"/>
    </w:lvl>
  </w:abstractNum>
  <w:abstractNum w:abstractNumId="7">
    <w:nsid w:val="488AC1A"/>
    <w:multiLevelType w:val="hybridMultilevel"/>
    <w:lvl w:ilvl="0">
      <w:lvlJc w:val="left"/>
      <w:lvlText w:val="(%1)"/>
      <w:numFmt w:val="decimal"/>
      <w:start w:val="1"/>
    </w:lvl>
  </w:abstractNum>
  <w:abstractNum w:abstractNumId="8">
    <w:nsid w:val="5FB8011C"/>
    <w:multiLevelType w:val="hybridMultilevel"/>
    <w:lvl w:ilvl="0">
      <w:lvlJc w:val="left"/>
      <w:lvlText w:val="\emdash "/>
      <w:numFmt w:val="bullet"/>
      <w:start w:val="1"/>
    </w:lvl>
  </w:abstractNum>
  <w:abstractNum w:abstractNumId="9">
    <w:nsid w:val="6AA78F7F"/>
    <w:multiLevelType w:val="hybridMultilevel"/>
    <w:lvl w:ilvl="0">
      <w:lvlJc w:val="left"/>
      <w:lvlText w:val="\emdash "/>
      <w:numFmt w:val="bullet"/>
      <w:start w:val="1"/>
    </w:lvl>
  </w:abstractNum>
  <w:abstractNum w:abstractNumId="10">
    <w:nsid w:val="7672BD23"/>
    <w:multiLevelType w:val="hybridMultilevel"/>
    <w:lvl w:ilvl="0">
      <w:lvlJc w:val="left"/>
      <w:lvlText w:val="\emdash "/>
      <w:numFmt w:val="bullet"/>
      <w:start w:val="1"/>
    </w:lvl>
  </w:abstractNum>
  <w:abstractNum w:abstractNumId="11">
    <w:nsid w:val="6FC75AF8"/>
    <w:multiLevelType w:val="hybridMultilevel"/>
    <w:lvl w:ilvl="0">
      <w:lvlJc w:val="left"/>
      <w:lvlText w:val="(%1)"/>
      <w:numFmt w:val="decimal"/>
      <w:start w:val="1"/>
    </w:lvl>
  </w:abstractNum>
  <w:abstractNum w:abstractNumId="12">
    <w:nsid w:val="6A5F7029"/>
    <w:multiLevelType w:val="hybridMultilevel"/>
    <w:lvl w:ilvl="0">
      <w:lvlJc w:val="left"/>
      <w:lvlText w:val="\emdash "/>
      <w:numFmt w:val="bullet"/>
      <w:start w:val="1"/>
    </w:lvl>
  </w:abstractNum>
  <w:abstractNum w:abstractNumId="13">
    <w:nsid w:val="7D5E18F8"/>
    <w:multiLevelType w:val="hybridMultilevel"/>
    <w:lvl w:ilvl="0">
      <w:lvlJc w:val="left"/>
      <w:lvlText w:val="(%1)"/>
      <w:numFmt w:val="lowerLetter"/>
      <w:start w:val="4"/>
    </w:lvl>
  </w:abstractNum>
  <w:abstractNum w:abstractNumId="14">
    <w:nsid w:val="5F3534A4"/>
    <w:multiLevelType w:val="hybridMultilevel"/>
    <w:lvl w:ilvl="0">
      <w:lvlJc w:val="left"/>
      <w:lvlText w:val="%1"/>
      <w:numFmt w:val="decimal"/>
      <w:start w:val="21"/>
    </w:lvl>
  </w:abstractNum>
  <w:abstractNum w:abstractNumId="15">
    <w:nsid w:val="73A1821B"/>
    <w:multiLevelType w:val="hybridMultilevel"/>
    <w:lvl w:ilvl="0">
      <w:lvlJc w:val="left"/>
      <w:lvlText w:val="%1"/>
      <w:numFmt w:val="decimal"/>
      <w:start w:val="23"/>
    </w:lvl>
  </w:abstractNum>
  <w:abstractNum w:abstractNumId="16">
    <w:nsid w:val="7DE67713"/>
    <w:multiLevelType w:val="hybridMultilevel"/>
    <w:lvl w:ilvl="0">
      <w:lvlJc w:val="left"/>
      <w:lvlText w:val="%1"/>
      <w:numFmt w:val="decimal"/>
      <w:start w:val="10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1)"/>
      <w:numFmt w:val="lowerLetter"/>
      <w:start w:val="16"/>
    </w:lvl>
  </w:abstractNum>
  <w:abstractNum w:abstractNumId="19">
    <w:nsid w:val="14FCE74E"/>
    <w:multiLevelType w:val="hybridMultilevel"/>
    <w:lvl w:ilvl="0">
      <w:lvlJc w:val="left"/>
      <w:lvlText w:val="(%1)"/>
      <w:numFmt w:val="lowerRoman"/>
      <w:start w:val="3"/>
    </w:lvl>
  </w:abstractNum>
  <w:abstractNum w:abstractNumId="20">
    <w:nsid w:val="6A3DD3E8"/>
    <w:multiLevelType w:val="hybridMultilevel"/>
    <w:lvl w:ilvl="0">
      <w:lvlJc w:val="left"/>
      <w:lvlText w:val="(%1)"/>
      <w:numFmt w:val="decimal"/>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1)"/>
      <w:numFmt w:val="decimal"/>
      <w:start w:val="1"/>
    </w:lvl>
  </w:abstractNum>
  <w:abstractNum w:abstractNumId="23">
    <w:nsid w:val="53299938"/>
    <w:multiLevelType w:val="hybridMultilevel"/>
    <w:lvl w:ilvl="0">
      <w:lvlJc w:val="left"/>
      <w:lvlText w:val="%1."/>
      <w:numFmt w:val="decimal"/>
      <w:start w:val="1"/>
    </w:lvl>
    <w:lvl w:ilvl="1">
      <w:lvlJc w:val="left"/>
      <w:lvlText w:val="%2."/>
      <w:numFmt w:val="lowerLetter"/>
      <w:start w:val="1"/>
    </w:lvl>
  </w:abstractNum>
  <w:abstractNum w:abstractNumId="24">
    <w:nsid w:val="1FBFE8E0"/>
    <w:multiLevelType w:val="hybridMultilevel"/>
    <w:lvl w:ilvl="0">
      <w:lvlJc w:val="left"/>
      <w:lvlText w:val="%1."/>
      <w:numFmt w:val="lowerLetter"/>
      <w:start w:val="2"/>
    </w:lvl>
  </w:abstractNum>
  <w:abstractNum w:abstractNumId="25">
    <w:nsid w:val="5092CA79"/>
    <w:multiLevelType w:val="hybridMultilevel"/>
    <w:lvl w:ilvl="0">
      <w:lvlJc w:val="left"/>
      <w:lvlText w:val="%1."/>
      <w:numFmt w:val="decimal"/>
      <w:start w:val="3"/>
    </w:lvl>
  </w:abstractNum>
  <w:abstractNum w:abstractNumId="26">
    <w:nsid w:val="1D545C4D"/>
    <w:multiLevelType w:val="hybridMultilevel"/>
    <w:lvl w:ilvl="0">
      <w:lvlJc w:val="left"/>
      <w:lvlText w:val="%1."/>
      <w:numFmt w:val="decimal"/>
      <w:start w:val="1"/>
    </w:lvl>
  </w:abstractNum>
  <w:abstractNum w:abstractNumId="27">
    <w:nsid w:val="59ADEA3D"/>
    <w:multiLevelType w:val="hybridMultilevel"/>
    <w:lvl w:ilvl="0">
      <w:lvlJc w:val="left"/>
      <w:lvlText w:val="(%1)"/>
      <w:numFmt w:val="lowerLetter"/>
      <w:start w:val="1"/>
    </w:lvl>
  </w:abstractNum>
  <w:abstractNum w:abstractNumId="28">
    <w:nsid w:val="288F1A34"/>
    <w:multiLevelType w:val="hybridMultilevel"/>
    <w:lvl w:ilvl="0">
      <w:lvlJc w:val="left"/>
      <w:lvlText w:val="(%1)"/>
      <w:numFmt w:val="lowerLetter"/>
      <w:start w:val="1"/>
    </w:lvl>
  </w:abstractNum>
  <w:abstractNum w:abstractNumId="29">
    <w:nsid w:val="2A155DBC"/>
    <w:multiLevelType w:val="hybridMultilevel"/>
    <w:lvl w:ilvl="0">
      <w:lvlJc w:val="left"/>
      <w:lvlText w:val="(%1)"/>
      <w:numFmt w:val="lowerLetter"/>
      <w:start w:val="7"/>
    </w:lvl>
  </w:abstractNum>
  <w:abstractNum w:abstractNumId="30">
    <w:nsid w:val="1D9F6E5F"/>
    <w:multiLevelType w:val="hybridMultilevel"/>
    <w:lvl w:ilvl="0">
      <w:lvlJc w:val="left"/>
      <w:lvlText w:val="(%1)"/>
      <w:numFmt w:val="lowerLetter"/>
      <w:start w:val="1"/>
    </w:lvl>
  </w:abstractNum>
  <w:abstractNum w:abstractNumId="31">
    <w:nsid w:val="97E1B4E"/>
    <w:multiLevelType w:val="hybridMultilevel"/>
    <w:lvl w:ilvl="0">
      <w:lvlJc w:val="left"/>
      <w:lvlText w:val="(%1)"/>
      <w:numFmt w:val="lowerLetter"/>
      <w:start w:val="1"/>
    </w:lvl>
    <w:lvl w:ilvl="1">
      <w:lvlJc w:val="left"/>
      <w:lvlText w:val="(%2)"/>
      <w:numFmt w:val="lowerLetter"/>
      <w:start w:val="9"/>
    </w:lvl>
  </w:abstractNum>
  <w:abstractNum w:abstractNumId="32">
    <w:nsid w:val="51088277"/>
    <w:multiLevelType w:val="hybridMultilevel"/>
    <w:lvl w:ilvl="0">
      <w:lvlJc w:val="left"/>
      <w:lvlText w:val="%1"/>
      <w:numFmt w:val="upperLetter"/>
      <w:start w:val="1"/>
    </w:lvl>
    <w:lvl w:ilvl="1">
      <w:lvlJc w:val="left"/>
      <w:lvlText w:val="(%2)"/>
      <w:numFmt w:val="lowerRoman"/>
      <w:start w:val="2"/>
    </w:lvl>
  </w:abstractNum>
  <w:abstractNum w:abstractNumId="33">
    <w:nsid w:val="1CA0C5FA"/>
    <w:multiLevelType w:val="hybridMultilevel"/>
    <w:lvl w:ilvl="0">
      <w:lvlJc w:val="left"/>
      <w:lvlText w:val="(%1)"/>
      <w:numFmt w:val="upperLetter"/>
      <w:start w:val="2"/>
    </w:lvl>
    <w:lvl w:ilvl="1">
      <w:lvlJc w:val="left"/>
      <w:lvlText w:val="%2"/>
      <w:numFmt w:val="lowerRoman"/>
      <w:start w:val="1"/>
    </w:lvl>
  </w:abstractNum>
  <w:abstractNum w:abstractNumId="34">
    <w:nsid w:val="53584BCB"/>
    <w:multiLevelType w:val="hybridMultilevel"/>
    <w:lvl w:ilvl="0">
      <w:lvlJc w:val="left"/>
      <w:lvlText w:val="%1"/>
      <w:numFmt w:val="lowerLetter"/>
      <w:start w:val="1"/>
    </w:lvl>
    <w:lvl w:ilvl="1">
      <w:lvlJc w:val="left"/>
      <w:lvlText w:val="(%2)"/>
      <w:numFmt w:val="lowerRoman"/>
      <w:start w:val="5"/>
    </w:lvl>
  </w:abstractNum>
  <w:abstractNum w:abstractNumId="35">
    <w:nsid w:val="415E286C"/>
    <w:multiLevelType w:val="hybridMultilevel"/>
    <w:lvl w:ilvl="0">
      <w:lvlJc w:val="left"/>
      <w:lvlText w:val="(%1)"/>
      <w:numFmt w:val="lowerLetter"/>
      <w:start w:val="2"/>
    </w:lvl>
    <w:lvl w:ilvl="1">
      <w:lvlJc w:val="left"/>
      <w:lvlText w:val="%2"/>
      <w:numFmt w:val="lowerRoman"/>
      <w:start w:val="1"/>
    </w:lvl>
  </w:abstractNum>
  <w:abstractNum w:abstractNumId="36">
    <w:nsid w:val="7C58FD05"/>
    <w:multiLevelType w:val="hybridMultilevel"/>
    <w:lvl w:ilvl="0">
      <w:lvlJc w:val="left"/>
      <w:lvlText w:val="(%1)"/>
      <w:numFmt w:val="lowerLetter"/>
      <w:start w:val="1"/>
    </w:lvl>
  </w:abstractNum>
  <w:abstractNum w:abstractNumId="37">
    <w:nsid w:val="23D86AAC"/>
    <w:multiLevelType w:val="hybridMultilevel"/>
    <w:lvl w:ilvl="0">
      <w:lvlJc w:val="left"/>
      <w:lvlText w:val="%1."/>
      <w:numFmt w:val="decimal"/>
      <w:start w:val="7"/>
    </w:lvl>
  </w:abstractNum>
  <w:abstractNum w:abstractNumId="38">
    <w:nsid w:val="45E6D486"/>
    <w:multiLevelType w:val="hybridMultilevel"/>
    <w:lvl w:ilvl="0">
      <w:lvlJc w:val="left"/>
      <w:lvlText w:val="%1"/>
      <w:numFmt w:val="lowerRoman"/>
      <w:start w:val="1"/>
    </w:lvl>
    <w:lvl w:ilvl="1">
      <w:lvlJc w:val="left"/>
      <w:lvlText w:val="(%2)"/>
      <w:numFmt w:val="lowerLetter"/>
      <w:start w:val="1"/>
    </w:lvl>
  </w:abstractNum>
  <w:abstractNum w:abstractNumId="39">
    <w:nsid w:val="5C10FE21"/>
    <w:multiLevelType w:val="hybridMultilevel"/>
    <w:lvl w:ilvl="0">
      <w:lvlJc w:val="left"/>
      <w:lvlText w:val="(%1)"/>
      <w:numFmt w:val="lowerRoman"/>
      <w:start w:val="4"/>
    </w:lvl>
    <w:lvl w:ilvl="1">
      <w:lvlJc w:val="left"/>
      <w:lvlText w:val="(%2)"/>
      <w:numFmt w:val="lowerLetter"/>
      <w:start w:val="2"/>
    </w:lvl>
  </w:abstractNum>
  <w:abstractNum w:abstractNumId="40">
    <w:nsid w:val="E7FFA2B"/>
    <w:multiLevelType w:val="hybridMultilevel"/>
    <w:lvl w:ilvl="0">
      <w:lvlJc w:val="left"/>
      <w:lvlText w:val="(%1)"/>
      <w:numFmt w:val="lowerLetter"/>
      <w:start w:val="35"/>
    </w:lvl>
    <w:lvl w:ilvl="1">
      <w:lvlJc w:val="left"/>
      <w:lvlText w:val="(%2)"/>
      <w:numFmt w:val="lowerLetter"/>
      <w:start w:val="3"/>
    </w:lvl>
  </w:abstractNum>
  <w:abstractNum w:abstractNumId="41">
    <w:nsid w:val="3C5991AA"/>
    <w:multiLevelType w:val="hybridMultilevel"/>
    <w:lvl w:ilvl="0">
      <w:lvlJc w:val="left"/>
      <w:lvlText w:val="%1"/>
      <w:numFmt w:val="lowerLetter"/>
      <w:start w:val="1"/>
    </w:lvl>
    <w:lvl w:ilvl="1">
      <w:lvlJc w:val="left"/>
      <w:lvlText w:val="(%2)"/>
      <w:numFmt w:val="lowerLetter"/>
      <w:start w:val="4"/>
    </w:lvl>
  </w:abstractNum>
  <w:abstractNum w:abstractNumId="42">
    <w:nsid w:val="4BD8591A"/>
    <w:multiLevelType w:val="hybridMultilevel"/>
    <w:lvl w:ilvl="0">
      <w:lvlJc w:val="left"/>
      <w:lvlText w:val="(%1)"/>
      <w:numFmt w:val="lowerLetter"/>
      <w:start w:val="61"/>
    </w:lvl>
    <w:lvl w:ilvl="1">
      <w:lvlJc w:val="left"/>
      <w:lvlText w:val="(%2)"/>
      <w:numFmt w:val="lowerLetter"/>
      <w:start w:val="5"/>
    </w:lvl>
  </w:abstractNum>
  <w:abstractNum w:abstractNumId="43">
    <w:nsid w:val="78DF6A55"/>
    <w:multiLevelType w:val="hybridMultilevel"/>
    <w:lvl w:ilvl="0">
      <w:lvlJc w:val="left"/>
      <w:lvlText w:val="(%1)"/>
      <w:numFmt w:val="lowerLetter"/>
      <w:start w:val="7"/>
    </w:lvl>
  </w:abstractNum>
  <w:abstractNum w:abstractNumId="44">
    <w:nsid w:val="39B7AAA2"/>
    <w:multiLevelType w:val="hybridMultilevel"/>
    <w:lvl w:ilvl="0">
      <w:lvlJc w:val="left"/>
      <w:lvlText w:val="%1."/>
      <w:numFmt w:val="decimal"/>
      <w:start w:val="9"/>
    </w:lvl>
  </w:abstractNum>
  <w:abstractNum w:abstractNumId="45">
    <w:nsid w:val="2B0D8DBE"/>
    <w:multiLevelType w:val="hybridMultilevel"/>
    <w:lvl w:ilvl="0">
      <w:lvlJc w:val="left"/>
      <w:lvlText w:val="%1."/>
      <w:numFmt w:val="decimal"/>
      <w:start w:val="12"/>
    </w:lvl>
  </w:abstractNum>
  <w:abstractNum w:abstractNumId="46">
    <w:nsid w:val="6C80EC70"/>
    <w:multiLevelType w:val="hybridMultilevel"/>
    <w:lvl w:ilvl="0">
      <w:lvlJc w:val="left"/>
      <w:lvlText w:val="%1."/>
      <w:numFmt w:val="decimal"/>
      <w:start w:val="16"/>
    </w:lvl>
  </w:abstractNum>
  <w:abstractNum w:abstractNumId="47">
    <w:nsid w:val="379E21B5"/>
    <w:multiLevelType w:val="hybridMultilevel"/>
    <w:lvl w:ilvl="0">
      <w:lvlJc w:val="left"/>
      <w:lvlText w:val="%1."/>
      <w:numFmt w:val="decimal"/>
      <w:start w:val="17"/>
    </w:lvl>
  </w:abstractNum>
  <w:abstractNum w:abstractNumId="48">
    <w:nsid w:val="69E373"/>
    <w:multiLevelType w:val="hybridMultilevel"/>
    <w:lvl w:ilvl="0">
      <w:lvlJc w:val="left"/>
      <w:lvlText w:val="(%1)"/>
      <w:numFmt w:val="lowerLetter"/>
      <w:start w:val="1"/>
    </w:lvl>
  </w:abstractNum>
  <w:abstractNum w:abstractNumId="49">
    <w:nsid w:val="2C27173B"/>
    <w:multiLevelType w:val="hybridMultilevel"/>
    <w:lvl w:ilvl="0">
      <w:lvlJc w:val="left"/>
      <w:lvlText w:val="(%1)"/>
      <w:numFmt w:val="lowerLetter"/>
      <w:start w:val="9"/>
    </w:lvl>
    <w:lvl w:ilvl="1">
      <w:lvlJc w:val="left"/>
      <w:lvlText w:val="(%2)"/>
      <w:numFmt w:val="lowerLetter"/>
      <w:start w:val="4"/>
    </w:lvl>
  </w:abstractNum>
  <w:abstractNum w:abstractNumId="50">
    <w:nsid w:val="4C9B0904"/>
    <w:multiLevelType w:val="hybridMultilevel"/>
    <w:lvl w:ilvl="0">
      <w:lvlJc w:val="left"/>
      <w:lvlText w:val="(%1)"/>
      <w:numFmt w:val="lowerLetter"/>
      <w:start w:val="6"/>
    </w:lvl>
  </w:abstractNum>
  <w:abstractNum w:abstractNumId="51">
    <w:nsid w:val="6AA7B75C"/>
    <w:multiLevelType w:val="hybridMultilevel"/>
    <w:lvl w:ilvl="0">
      <w:lvlJc w:val="left"/>
      <w:lvlText w:val="(%1)"/>
      <w:numFmt w:val="upperLetter"/>
      <w:start w:val="9"/>
    </w:lvl>
  </w:abstractNum>
  <w:abstractNum w:abstractNumId="52">
    <w:nsid w:val="1DF029D3"/>
    <w:multiLevelType w:val="hybridMultilevel"/>
    <w:lvl w:ilvl="0">
      <w:lvlJc w:val="left"/>
      <w:lvlText w:val="(%1)"/>
      <w:numFmt w:val="upperLetter"/>
      <w:start w:val="35"/>
    </w:lvl>
  </w:abstractNum>
  <w:abstractNum w:abstractNumId="53">
    <w:nsid w:val="5675FF36"/>
    <w:multiLevelType w:val="hybridMultilevel"/>
    <w:lvl w:ilvl="0">
      <w:lvlJc w:val="left"/>
      <w:lvlText w:val="(%1)"/>
      <w:numFmt w:val="upperLetter"/>
      <w:start w:val="61"/>
    </w:lvl>
  </w:abstractNum>
  <w:abstractNum w:abstractNumId="54">
    <w:nsid w:val="3DD15094"/>
    <w:multiLevelType w:val="hybridMultilevel"/>
    <w:lvl w:ilvl="0">
      <w:lvlJc w:val="left"/>
      <w:lvlText w:val="(%1)"/>
      <w:numFmt w:val="upperLetter"/>
      <w:start w:val="22"/>
    </w:lvl>
  </w:abstractNum>
  <w:abstractNum w:abstractNumId="55">
    <w:nsid w:val="3DB012B3"/>
    <w:multiLevelType w:val="hybridMultilevel"/>
    <w:lvl w:ilvl="0">
      <w:lvlJc w:val="left"/>
      <w:lvlText w:val="(%1)"/>
      <w:numFmt w:val="lowerLetter"/>
      <w:start w:val="7"/>
    </w:lvl>
  </w:abstractNum>
  <w:abstractNum w:abstractNumId="56">
    <w:nsid w:val="2708C9AF"/>
    <w:multiLevelType w:val="hybridMultilevel"/>
    <w:lvl w:ilvl="0">
      <w:lvlJc w:val="left"/>
      <w:lvlText w:val="(%1)"/>
      <w:numFmt w:val="lowerLetter"/>
      <w:start w:val="18"/>
    </w:lvl>
  </w:abstractNum>
  <w:abstractNum w:abstractNumId="57">
    <w:nsid w:val="5B25ACE2"/>
    <w:multiLevelType w:val="hybridMultilevel"/>
    <w:lvl w:ilvl="0">
      <w:lvlJc w:val="left"/>
      <w:lvlText w:val="%1"/>
      <w:numFmt w:val="lowerLetter"/>
      <w:start w:val="1"/>
    </w:lvl>
    <w:lvl w:ilvl="1">
      <w:lvlJc w:val="left"/>
      <w:lvlText w:val="(%2)"/>
      <w:numFmt w:val="lowerLetter"/>
      <w:start w:val="1"/>
    </w:lvl>
  </w:abstractNum>
  <w:abstractNum w:abstractNumId="58">
    <w:nsid w:val="175DFCF0"/>
    <w:multiLevelType w:val="hybridMultilevel"/>
    <w:lvl w:ilvl="0">
      <w:lvlJc w:val="left"/>
      <w:lvlText w:val="(%1)"/>
      <w:numFmt w:val="lowerLetter"/>
      <w:start w:val="35"/>
    </w:lvl>
    <w:lvl w:ilvl="1">
      <w:lvlJc w:val="left"/>
      <w:lvlText w:val="%2"/>
      <w:numFmt w:val="lowerLetter"/>
      <w:start w:val="1"/>
    </w:lvl>
  </w:abstractNum>
  <w:abstractNum w:abstractNumId="59">
    <w:nsid w:val="4F97E3E4"/>
    <w:multiLevelType w:val="hybridMultilevel"/>
    <w:lvl w:ilvl="0">
      <w:lvlJc w:val="left"/>
      <w:lvlText w:val="(%1)"/>
      <w:numFmt w:val="lowerRoman"/>
      <w:start w:val="1"/>
    </w:lvl>
  </w:abstractNum>
  <w:abstractNum w:abstractNumId="60">
    <w:nsid w:val="53B0A9E"/>
    <w:multiLevelType w:val="hybridMultilevel"/>
    <w:lvl w:ilvl="0">
      <w:lvlJc w:val="left"/>
      <w:lvlText w:val="(%1)"/>
      <w:numFmt w:val="lowerLetter"/>
      <w:start w:val="1"/>
    </w:lvl>
  </w:abstractNum>
  <w:abstractNum w:abstractNumId="61">
    <w:nsid w:val="34FD6B4F"/>
    <w:multiLevelType w:val="hybridMultilevel"/>
    <w:lvl w:ilvl="0">
      <w:lvlJc w:val="left"/>
      <w:lvlText w:val="(%1)"/>
      <w:numFmt w:val="lowerLetter"/>
      <w:start w:val="3"/>
    </w:lvl>
  </w:abstractNum>
  <w:abstractNum w:abstractNumId="62">
    <w:nsid w:val="5915FF32"/>
    <w:multiLevelType w:val="hybridMultilevel"/>
    <w:lvl w:ilvl="0">
      <w:lvlJc w:val="left"/>
      <w:lvlText w:val="(%1)"/>
      <w:numFmt w:val="lowerLetter"/>
      <w:start w:val="1"/>
    </w:lvl>
  </w:abstractNum>
  <w:abstractNum w:abstractNumId="63">
    <w:nsid w:val="56438D15"/>
    <w:multiLevelType w:val="hybridMultilevel"/>
    <w:lvl w:ilvl="0">
      <w:lvlJc w:val="left"/>
      <w:lvlText w:val="(%1)"/>
      <w:numFmt w:val="lowerLetter"/>
      <w:start w:val="4"/>
    </w:lvl>
  </w:abstractNum>
  <w:abstractNum w:abstractNumId="64">
    <w:nsid w:val="519E3149"/>
    <w:multiLevelType w:val="hybridMultilevel"/>
    <w:lvl w:ilvl="0">
      <w:lvlJc w:val="left"/>
      <w:lvlText w:val="%1."/>
      <w:numFmt w:val="decimal"/>
      <w:start w:val="1"/>
    </w:lvl>
  </w:abstractNum>
  <w:abstractNum w:abstractNumId="65">
    <w:nsid w:val="2C6E4AFD"/>
    <w:multiLevelType w:val="hybridMultilevel"/>
    <w:lvl w:ilvl="0">
      <w:lvlJc w:val="left"/>
      <w:lvlText w:val="(%1)"/>
      <w:numFmt w:val="lowerLetter"/>
      <w:start w:val="1"/>
    </w:lvl>
  </w:abstractNum>
  <w:abstractNum w:abstractNumId="66">
    <w:nsid w:val="17A1B582"/>
    <w:multiLevelType w:val="hybridMultilevel"/>
    <w:lvl w:ilvl="0">
      <w:lvlJc w:val="left"/>
      <w:lvlText w:val="(%1)"/>
      <w:numFmt w:val="lowerLetter"/>
      <w:start w:val="1"/>
    </w:lvl>
  </w:abstractNum>
  <w:abstractNum w:abstractNumId="67">
    <w:nsid w:val="4DF72E4E"/>
    <w:multiLevelType w:val="hybridMultilevel"/>
    <w:lvl w:ilvl="0">
      <w:lvlJc w:val="left"/>
      <w:lvlText w:val="(%1)"/>
      <w:numFmt w:val="lowerLetter"/>
      <w:start w:val="7"/>
    </w:lvl>
  </w:abstractNum>
  <w:abstractNum w:abstractNumId="68">
    <w:nsid w:val="5046B5A9"/>
    <w:multiLevelType w:val="hybridMultilevel"/>
    <w:lvl w:ilvl="0">
      <w:lvlJc w:val="left"/>
      <w:lvlText w:val="(%1)"/>
      <w:numFmt w:val="lowerLetter"/>
      <w:start w:val="1"/>
    </w:lvl>
  </w:abstractNum>
  <w:abstractNum w:abstractNumId="69">
    <w:nsid w:val="5D888A08"/>
    <w:multiLevelType w:val="hybridMultilevel"/>
    <w:lvl w:ilvl="0">
      <w:lvlJc w:val="left"/>
      <w:lvlText w:val="(%1)"/>
      <w:numFmt w:val="lowerLetter"/>
      <w:start w:val="1"/>
    </w:lvl>
    <w:lvl w:ilvl="1">
      <w:lvlJc w:val="left"/>
      <w:lvlText w:val="(%2)"/>
      <w:numFmt w:val="lowerLetter"/>
      <w:start w:val="9"/>
    </w:lvl>
  </w:abstractNum>
  <w:abstractNum w:abstractNumId="70">
    <w:nsid w:val="2A082C70"/>
    <w:multiLevelType w:val="hybridMultilevel"/>
    <w:lvl w:ilvl="0">
      <w:lvlJc w:val="left"/>
      <w:lvlText w:val="%1"/>
      <w:numFmt w:val="upperLetter"/>
      <w:start w:val="1"/>
    </w:lvl>
    <w:lvl w:ilvl="1">
      <w:lvlJc w:val="left"/>
      <w:lvlText w:val="(%2)"/>
      <w:numFmt w:val="lowerRoman"/>
      <w:start w:val="2"/>
    </w:lvl>
  </w:abstractNum>
  <w:abstractNum w:abstractNumId="71">
    <w:nsid w:val="5EC6AFD4"/>
    <w:multiLevelType w:val="hybridMultilevel"/>
    <w:lvl w:ilvl="0">
      <w:lvlJc w:val="left"/>
      <w:lvlText w:val="(%1)"/>
      <w:numFmt w:val="upperLetter"/>
      <w:start w:val="2"/>
    </w:lvl>
    <w:lvl w:ilvl="1">
      <w:lvlJc w:val="left"/>
      <w:lvlText w:val="%2"/>
      <w:numFmt w:val="lowerRoman"/>
      <w:start w:val="1"/>
    </w:lvl>
  </w:abstractNum>
  <w:abstractNum w:abstractNumId="72">
    <w:nsid w:val="19E21BB2"/>
    <w:multiLevelType w:val="hybridMultilevel"/>
    <w:lvl w:ilvl="0">
      <w:lvlJc w:val="left"/>
      <w:lvlText w:val="%1"/>
      <w:numFmt w:val="lowerLetter"/>
      <w:start w:val="1"/>
    </w:lvl>
    <w:lvl w:ilvl="1">
      <w:lvlJc w:val="left"/>
      <w:lvlText w:val="(%2)"/>
      <w:numFmt w:val="lowerRoman"/>
      <w:start w:val="5"/>
    </w:lvl>
  </w:abstractNum>
  <w:abstractNum w:abstractNumId="73">
    <w:nsid w:val="75E0858A"/>
    <w:multiLevelType w:val="hybridMultilevel"/>
    <w:lvl w:ilvl="0">
      <w:lvlJc w:val="left"/>
      <w:lvlText w:val="(%1)"/>
      <w:numFmt w:val="lowerLetter"/>
      <w:start w:val="2"/>
    </w:lvl>
    <w:lvl w:ilvl="1">
      <w:lvlJc w:val="left"/>
      <w:lvlText w:val="%2"/>
      <w:numFmt w:val="lowerRoman"/>
      <w:start w:val="1"/>
    </w:lvl>
  </w:abstractNum>
  <w:abstractNum w:abstractNumId="74">
    <w:nsid w:val="57A61A29"/>
    <w:multiLevelType w:val="hybridMultilevel"/>
    <w:lvl w:ilvl="0">
      <w:lvlJc w:val="left"/>
      <w:lvlText w:val="(%1)"/>
      <w:numFmt w:val="lowerLetter"/>
      <w:start w:val="1"/>
    </w:lvl>
  </w:abstractNum>
  <w:abstractNum w:abstractNumId="75">
    <w:nsid w:val="5399C654"/>
    <w:multiLevelType w:val="hybridMultilevel"/>
    <w:lvl w:ilvl="0">
      <w:lvlJc w:val="left"/>
      <w:lvlText w:val="%1."/>
      <w:numFmt w:val="decimal"/>
      <w:start w:val="7"/>
    </w:lvl>
  </w:abstractNum>
  <w:abstractNum w:abstractNumId="76">
    <w:nsid w:val="20EE1348"/>
    <w:multiLevelType w:val="hybridMultilevel"/>
    <w:lvl w:ilvl="0">
      <w:lvlJc w:val="left"/>
      <w:lvlText w:val="%1"/>
      <w:numFmt w:val="lowerRoman"/>
      <w:start w:val="1"/>
    </w:lvl>
    <w:lvl w:ilvl="1">
      <w:lvlJc w:val="left"/>
      <w:lvlText w:val="(%2)"/>
      <w:numFmt w:val="lowerLetter"/>
      <w:start w:val="1"/>
    </w:lvl>
  </w:abstractNum>
  <w:abstractNum w:abstractNumId="77">
    <w:nsid w:val="4427069A"/>
    <w:multiLevelType w:val="hybridMultilevel"/>
    <w:lvl w:ilvl="0">
      <w:lvlJc w:val="left"/>
      <w:lvlText w:val="(%1)"/>
      <w:numFmt w:val="lowerRoman"/>
      <w:start w:val="4"/>
    </w:lvl>
    <w:lvl w:ilvl="1">
      <w:lvlJc w:val="left"/>
      <w:lvlText w:val="(%2)"/>
      <w:numFmt w:val="lowerLetter"/>
      <w:start w:val="2"/>
    </w:lvl>
  </w:abstractNum>
  <w:abstractNum w:abstractNumId="78">
    <w:nsid w:val="B37E80A"/>
    <w:multiLevelType w:val="hybridMultilevel"/>
    <w:lvl w:ilvl="0">
      <w:lvlJc w:val="left"/>
      <w:lvlText w:val="(%1)"/>
      <w:numFmt w:val="lowerLetter"/>
      <w:start w:val="35"/>
    </w:lvl>
    <w:lvl w:ilvl="1">
      <w:lvlJc w:val="left"/>
      <w:lvlText w:val="(%2)"/>
      <w:numFmt w:val="lowerLetter"/>
      <w:start w:val="3"/>
    </w:lvl>
  </w:abstractNum>
  <w:abstractNum w:abstractNumId="79">
    <w:nsid w:val="2157F6BC"/>
    <w:multiLevelType w:val="hybridMultilevel"/>
    <w:lvl w:ilvl="0">
      <w:lvlJc w:val="left"/>
      <w:lvlText w:val="%1"/>
      <w:numFmt w:val="lowerLetter"/>
      <w:start w:val="1"/>
    </w:lvl>
    <w:lvl w:ilvl="1">
      <w:lvlJc w:val="left"/>
      <w:lvlText w:val="(%2)"/>
      <w:numFmt w:val="lowerLetter"/>
      <w:start w:val="4"/>
    </w:lvl>
  </w:abstractNum>
  <w:abstractNum w:abstractNumId="80">
    <w:nsid w:val="704E1DD5"/>
    <w:multiLevelType w:val="hybridMultilevel"/>
    <w:lvl w:ilvl="0">
      <w:lvlJc w:val="left"/>
      <w:lvlText w:val="(%1)"/>
      <w:numFmt w:val="lowerLetter"/>
      <w:start w:val="61"/>
    </w:lvl>
    <w:lvl w:ilvl="1">
      <w:lvlJc w:val="left"/>
      <w:lvlText w:val="(%2)"/>
      <w:numFmt w:val="lowerLetter"/>
      <w:start w:val="5"/>
    </w:lvl>
  </w:abstractNum>
  <w:abstractNum w:abstractNumId="81">
    <w:nsid w:val="57D2F10E"/>
    <w:multiLevelType w:val="hybridMultilevel"/>
    <w:lvl w:ilvl="0">
      <w:lvlJc w:val="left"/>
      <w:lvlText w:val="(%1)"/>
      <w:numFmt w:val="lowerLetter"/>
      <w:start w:val="7"/>
    </w:lvl>
  </w:abstractNum>
  <w:abstractNum w:abstractNumId="82">
    <w:nsid w:val="BFFAE18"/>
    <w:multiLevelType w:val="hybridMultilevel"/>
    <w:lvl w:ilvl="0">
      <w:lvlJc w:val="left"/>
      <w:lvlText w:val="%1."/>
      <w:numFmt w:val="decimal"/>
      <w:start w:val="9"/>
    </w:lvl>
  </w:abstractNum>
  <w:abstractNum w:abstractNumId="83">
    <w:nsid w:val="E3E47A8"/>
    <w:multiLevelType w:val="hybridMultilevel"/>
    <w:lvl w:ilvl="0">
      <w:lvlJc w:val="left"/>
      <w:lvlText w:val="%1."/>
      <w:numFmt w:val="decimal"/>
      <w:start w:val="12"/>
    </w:lvl>
  </w:abstractNum>
  <w:abstractNum w:abstractNumId="84">
    <w:nsid w:val="2E48F044"/>
    <w:multiLevelType w:val="hybridMultilevel"/>
    <w:lvl w:ilvl="0">
      <w:lvlJc w:val="left"/>
      <w:lvlText w:val="%1."/>
      <w:numFmt w:val="decimal"/>
      <w:start w:val="16"/>
    </w:lvl>
  </w:abstractNum>
  <w:abstractNum w:abstractNumId="85">
    <w:nsid w:val="49D0FEAC"/>
    <w:multiLevelType w:val="hybridMultilevel"/>
    <w:lvl w:ilvl="0">
      <w:lvlJc w:val="left"/>
      <w:lvlText w:val="%1."/>
      <w:numFmt w:val="decimal"/>
      <w:start w:val="17"/>
    </w:lvl>
  </w:abstractNum>
  <w:abstractNum w:abstractNumId="86">
    <w:nsid w:val="4BEE5A5B"/>
    <w:multiLevelType w:val="hybridMultilevel"/>
    <w:lvl w:ilvl="0">
      <w:lvlJc w:val="left"/>
      <w:lvlText w:val="(%1)"/>
      <w:numFmt w:val="lowerLetter"/>
      <w:start w:val="1"/>
    </w:lvl>
  </w:abstractNum>
  <w:abstractNum w:abstractNumId="87">
    <w:nsid w:val="5551B9F3"/>
    <w:multiLevelType w:val="hybridMultilevel"/>
    <w:lvl w:ilvl="0">
      <w:lvlJc w:val="left"/>
      <w:lvlText w:val="(%1)"/>
      <w:numFmt w:val="lowerLetter"/>
      <w:start w:val="9"/>
    </w:lvl>
    <w:lvl w:ilvl="1">
      <w:lvlJc w:val="left"/>
      <w:lvlText w:val="(%2)"/>
      <w:numFmt w:val="lowerLetter"/>
      <w:start w:val="4"/>
    </w:lvl>
  </w:abstractNum>
  <w:abstractNum w:abstractNumId="88">
    <w:nsid w:val="24F6AB8E"/>
    <w:multiLevelType w:val="hybridMultilevel"/>
    <w:lvl w:ilvl="0">
      <w:lvlJc w:val="left"/>
      <w:lvlText w:val="(%1)"/>
      <w:numFmt w:val="lowerLetter"/>
      <w:start w:val="6"/>
    </w:lvl>
  </w:abstractNum>
  <w:abstractNum w:abstractNumId="89">
    <w:nsid w:val="634C574C"/>
    <w:multiLevelType w:val="hybridMultilevel"/>
    <w:lvl w:ilvl="0">
      <w:lvlJc w:val="left"/>
      <w:lvlText w:val="(%1)"/>
      <w:numFmt w:val="upperLetter"/>
      <w:start w:val="9"/>
    </w:lvl>
  </w:abstractNum>
  <w:abstractNum w:abstractNumId="90">
    <w:nsid w:val="24E99DD7"/>
    <w:multiLevelType w:val="hybridMultilevel"/>
    <w:lvl w:ilvl="0">
      <w:lvlJc w:val="left"/>
      <w:lvlText w:val="(%1)"/>
      <w:numFmt w:val="upperLetter"/>
      <w:start w:val="35"/>
    </w:lvl>
  </w:abstractNum>
  <w:abstractNum w:abstractNumId="91">
    <w:nsid w:val="2A31B62D"/>
    <w:multiLevelType w:val="hybridMultilevel"/>
    <w:lvl w:ilvl="0">
      <w:lvlJc w:val="left"/>
      <w:lvlText w:val="(%1)"/>
      <w:numFmt w:val="upperLetter"/>
      <w:start w:val="61"/>
    </w:lvl>
  </w:abstractNum>
  <w:abstractNum w:abstractNumId="92">
    <w:nsid w:val="1849C29B"/>
    <w:multiLevelType w:val="hybridMultilevel"/>
    <w:lvl w:ilvl="0">
      <w:lvlJc w:val="left"/>
      <w:lvlText w:val="(%1)"/>
      <w:numFmt w:val="upperLetter"/>
      <w:start w:val="22"/>
    </w:lvl>
  </w:abstractNum>
  <w:abstractNum w:abstractNumId="93">
    <w:nsid w:val="7DFF9D09"/>
    <w:multiLevelType w:val="hybridMultilevel"/>
    <w:lvl w:ilvl="0">
      <w:lvlJc w:val="left"/>
      <w:lvlText w:val="(%1)"/>
      <w:numFmt w:val="lowerLetter"/>
      <w:start w:val="7"/>
    </w:lvl>
  </w:abstractNum>
  <w:abstractNum w:abstractNumId="94">
    <w:nsid w:val="754342"/>
    <w:multiLevelType w:val="hybridMultilevel"/>
    <w:lvl w:ilvl="0">
      <w:lvlJc w:val="left"/>
      <w:lvlText w:val="(%1)"/>
      <w:numFmt w:val="lowerLetter"/>
      <w:start w:val="18"/>
    </w:lvl>
  </w:abstractNum>
  <w:abstractNum w:abstractNumId="95">
    <w:nsid w:val="69E7F3E5"/>
    <w:multiLevelType w:val="hybridMultilevel"/>
    <w:lvl w:ilvl="0">
      <w:lvlJc w:val="left"/>
      <w:lvlText w:val="%1"/>
      <w:numFmt w:val="lowerLetter"/>
      <w:start w:val="1"/>
    </w:lvl>
    <w:lvl w:ilvl="1">
      <w:lvlJc w:val="left"/>
      <w:lvlText w:val="(%2)"/>
      <w:numFmt w:val="lowerLetter"/>
      <w:start w:val="1"/>
    </w:lvl>
  </w:abstractNum>
  <w:abstractNum w:abstractNumId="96">
    <w:nsid w:val="2A6DE806"/>
    <w:multiLevelType w:val="hybridMultilevel"/>
    <w:lvl w:ilvl="0">
      <w:lvlJc w:val="left"/>
      <w:lvlText w:val="(%1)"/>
      <w:numFmt w:val="lowerLetter"/>
      <w:start w:val="35"/>
    </w:lvl>
    <w:lvl w:ilvl="1">
      <w:lvlJc w:val="left"/>
      <w:lvlText w:val="%2"/>
      <w:numFmt w:val="lowerLetter"/>
      <w:start w:val="1"/>
    </w:lvl>
  </w:abstractNum>
  <w:abstractNum w:abstractNumId="97">
    <w:nsid w:val="1816F8C4"/>
    <w:multiLevelType w:val="hybridMultilevel"/>
    <w:lvl w:ilvl="0">
      <w:lvlJc w:val="left"/>
      <w:lvlText w:val="(%1)"/>
      <w:numFmt w:val="lowerRoman"/>
      <w:start w:val="1"/>
    </w:lvl>
  </w:abstractNum>
  <w:abstractNum w:abstractNumId="98">
    <w:nsid w:val="37DF2233"/>
    <w:multiLevelType w:val="hybridMultilevel"/>
    <w:lvl w:ilvl="0">
      <w:lvlJc w:val="left"/>
      <w:lvlText w:val="(%1)"/>
      <w:numFmt w:val="lowerLetter"/>
      <w:start w:val="1"/>
    </w:lvl>
  </w:abstractNum>
  <w:abstractNum w:abstractNumId="99">
    <w:nsid w:val="7AB49DAF"/>
    <w:multiLevelType w:val="hybridMultilevel"/>
    <w:lvl w:ilvl="0">
      <w:lvlJc w:val="left"/>
      <w:lvlText w:val="(%1)"/>
      <w:numFmt w:val="lowerLetter"/>
      <w:start w:val="3"/>
    </w:lvl>
  </w:abstractNum>
  <w:abstractNum w:abstractNumId="100">
    <w:nsid w:val="759F82CD"/>
    <w:multiLevelType w:val="hybridMultilevel"/>
    <w:lvl w:ilvl="0">
      <w:lvlJc w:val="left"/>
      <w:lvlText w:val="(%1)"/>
      <w:numFmt w:val="lowerLetter"/>
      <w:start w:val="1"/>
    </w:lvl>
  </w:abstractNum>
  <w:abstractNum w:abstractNumId="101">
    <w:nsid w:val="61E74EA3"/>
    <w:multiLevelType w:val="hybridMultilevel"/>
    <w:lvl w:ilvl="0">
      <w:lvlJc w:val="left"/>
      <w:lvlText w:val="(%1)"/>
      <w:numFmt w:val="lowerLetter"/>
      <w:start w:val="4"/>
    </w:lvl>
  </w:abstractNum>
  <w:abstractNum w:abstractNumId="102">
    <w:nsid w:val="597B4D84"/>
    <w:multiLevelType w:val="hybridMultilevel"/>
    <w:lvl w:ilvl="0">
      <w:lvlJc w:val="left"/>
      <w:lvlText w:val="%1."/>
      <w:numFmt w:val="decimal"/>
      <w:start w:val="1"/>
    </w:lvl>
  </w:abstractNum>
  <w:abstractNum w:abstractNumId="103">
    <w:nsid w:val="F819E7F"/>
    <w:multiLevelType w:val="hybridMultilevel"/>
    <w:lvl w:ilvl="0">
      <w:lvlJc w:val="left"/>
      <w:lvlText w:val="(%1)"/>
      <w:numFmt w:val="lowerLetter"/>
      <w:start w:val="1"/>
    </w:lvl>
  </w:abstractNum>
  <w:abstractNum w:abstractNumId="104">
    <w:nsid w:val="57C7D42D"/>
    <w:multiLevelType w:val="hybridMultilevel"/>
    <w:lvl w:ilvl="0">
      <w:lvlJc w:val="left"/>
      <w:lvlText w:val="(%1)"/>
      <w:numFmt w:val="lowerLetter"/>
      <w:start w:val="1"/>
    </w:lvl>
  </w:abstractNum>
  <w:abstractNum w:abstractNumId="105">
    <w:nsid w:val="312167AD"/>
    <w:multiLevelType w:val="hybridMultilevel"/>
    <w:lvl w:ilvl="0">
      <w:lvlJc w:val="left"/>
      <w:lvlText w:val="(%1)"/>
      <w:numFmt w:val="lowerLetter"/>
      <w:start w:val="7"/>
    </w:lvl>
  </w:abstractNum>
  <w:abstractNum w:abstractNumId="106">
    <w:nsid w:val="631B64D4"/>
    <w:multiLevelType w:val="hybridMultilevel"/>
    <w:lvl w:ilvl="0">
      <w:lvlJc w:val="left"/>
      <w:lvlText w:val="(%1)"/>
      <w:numFmt w:val="lowerLetter"/>
      <w:start w:val="1"/>
    </w:lvl>
  </w:abstractNum>
  <w:abstractNum w:abstractNumId="107">
    <w:nsid w:val="78B5E776"/>
    <w:multiLevelType w:val="hybridMultilevel"/>
    <w:lvl w:ilvl="0">
      <w:lvlJc w:val="left"/>
      <w:lvlText w:val="(%1)"/>
      <w:numFmt w:val="lowerLetter"/>
      <w:start w:val="1"/>
    </w:lvl>
  </w:abstractNum>
  <w:abstractNum w:abstractNumId="108">
    <w:nsid w:val="75486E47"/>
    <w:multiLevelType w:val="hybridMultilevel"/>
    <w:lvl w:ilvl="0">
      <w:lvlJc w:val="left"/>
      <w:lvlText w:val="%1"/>
      <w:numFmt w:val="decimal"/>
      <w:start w:val="1"/>
    </w:lvl>
    <w:lvl w:ilvl="1">
      <w:lvlJc w:val="left"/>
      <w:lvlText w:val="(%2)"/>
      <w:numFmt w:val="lowerRoman"/>
      <w:start w:val="1"/>
    </w:lvl>
  </w:abstractNum>
  <w:abstractNum w:abstractNumId="109">
    <w:nsid w:val="6E534CDE"/>
    <w:multiLevelType w:val="hybridMultilevel"/>
    <w:lvl w:ilvl="0">
      <w:lvlJc w:val="left"/>
      <w:lvlText w:val="(%1)"/>
      <w:numFmt w:val="decimal"/>
      <w:start w:val="6"/>
    </w:lvl>
    <w:lvl w:ilvl="1">
      <w:lvlJc w:val="left"/>
      <w:lvlText w:val="(%2)"/>
      <w:numFmt w:val="lowerRoman"/>
      <w:start w:val="2"/>
    </w:lvl>
  </w:abstractNum>
  <w:abstractNum w:abstractNumId="110">
    <w:nsid w:val="1A0DDE32"/>
    <w:multiLevelType w:val="hybridMultilevel"/>
    <w:lvl w:ilvl="0">
      <w:lvlJc w:val="left"/>
      <w:lvlText w:val="(%1)"/>
      <w:numFmt w:val="lowerRoman"/>
      <w:start w:val="4"/>
    </w:lvl>
    <w:lvl w:ilvl="1">
      <w:lvlJc w:val="left"/>
      <w:lvlText w:val="(%2)"/>
      <w:numFmt w:val="lowerRoman"/>
      <w:start w:val="5"/>
    </w:lvl>
  </w:abstractNum>
  <w:abstractNum w:abstractNumId="111">
    <w:nsid w:val="65968C1C"/>
    <w:multiLevelType w:val="hybridMultilevel"/>
    <w:lvl w:ilvl="0">
      <w:lvlJc w:val="left"/>
      <w:lvlText w:val="(%1)"/>
      <w:numFmt w:val="lowerLetter"/>
      <w:start w:val="2"/>
    </w:lvl>
  </w:abstractNum>
  <w:abstractNum w:abstractNumId="112">
    <w:nsid w:val="46263DEC"/>
    <w:multiLevelType w:val="hybridMultilevel"/>
    <w:lvl w:ilvl="0">
      <w:lvlJc w:val="left"/>
      <w:lvlText w:val="(%1)"/>
      <w:numFmt w:val="lowerLetter"/>
      <w:start w:val="1"/>
    </w:lvl>
  </w:abstractNum>
  <w:abstractNum w:abstractNumId="113">
    <w:nsid w:val="260D8C4A"/>
    <w:multiLevelType w:val="hybridMultilevel"/>
    <w:lvl w:ilvl="0">
      <w:lvlJc w:val="left"/>
      <w:lvlText w:val="%1."/>
      <w:numFmt w:val="decimal"/>
      <w:start w:val="7"/>
    </w:lvl>
  </w:abstractNum>
  <w:abstractNum w:abstractNumId="114">
    <w:nsid w:val="73D4D3C4"/>
    <w:multiLevelType w:val="hybridMultilevel"/>
    <w:lvl w:ilvl="0">
      <w:lvlJc w:val="left"/>
      <w:lvlText w:val="%1"/>
      <w:numFmt w:val="lowerRoman"/>
      <w:start w:val="1"/>
    </w:lvl>
    <w:lvl w:ilvl="1">
      <w:lvlJc w:val="left"/>
      <w:lvlText w:val="(%2)"/>
      <w:numFmt w:val="lowerLetter"/>
      <w:start w:val="1"/>
    </w:lvl>
  </w:abstractNum>
  <w:abstractNum w:abstractNumId="115">
    <w:nsid w:val="746F2E30"/>
    <w:multiLevelType w:val="hybridMultilevel"/>
    <w:lvl w:ilvl="0">
      <w:lvlJc w:val="left"/>
      <w:lvlText w:val="(%1)"/>
      <w:numFmt w:val="lowerRoman"/>
      <w:start w:val="4"/>
    </w:lvl>
    <w:lvl w:ilvl="1">
      <w:lvlJc w:val="left"/>
      <w:lvlText w:val="(%2)"/>
      <w:numFmt w:val="lowerLetter"/>
      <w:start w:val="2"/>
    </w:lvl>
  </w:abstractNum>
  <w:abstractNum w:abstractNumId="116">
    <w:nsid w:val="6FDE8AF6"/>
    <w:multiLevelType w:val="hybridMultilevel"/>
    <w:lvl w:ilvl="0">
      <w:lvlJc w:val="left"/>
      <w:lvlText w:val="(%1)"/>
      <w:numFmt w:val="lowerLetter"/>
      <w:start w:val="35"/>
    </w:lvl>
    <w:lvl w:ilvl="1">
      <w:lvlJc w:val="left"/>
      <w:lvlText w:val="(%2)"/>
      <w:numFmt w:val="lowerLetter"/>
      <w:start w:val="3"/>
    </w:lvl>
  </w:abstractNum>
  <w:abstractNum w:abstractNumId="117">
    <w:nsid w:val="3FC32E20"/>
    <w:multiLevelType w:val="hybridMultilevel"/>
    <w:lvl w:ilvl="0">
      <w:lvlJc w:val="left"/>
      <w:lvlText w:val="%1"/>
      <w:numFmt w:val="lowerLetter"/>
      <w:start w:val="1"/>
    </w:lvl>
    <w:lvl w:ilvl="1">
      <w:lvlJc w:val="left"/>
      <w:lvlText w:val="(%2)"/>
      <w:numFmt w:val="lowerLetter"/>
      <w:start w:val="4"/>
    </w:lvl>
  </w:abstractNum>
  <w:abstractNum w:abstractNumId="118">
    <w:nsid w:val="49C0E823"/>
    <w:multiLevelType w:val="hybridMultilevel"/>
    <w:lvl w:ilvl="0">
      <w:lvlJc w:val="left"/>
      <w:lvlText w:val="(%1)"/>
      <w:numFmt w:val="lowerLetter"/>
      <w:start w:val="61"/>
    </w:lvl>
    <w:lvl w:ilvl="1">
      <w:lvlJc w:val="left"/>
      <w:lvlText w:val="(%2)"/>
      <w:numFmt w:val="lowerLetter"/>
      <w:start w:val="5"/>
    </w:lvl>
  </w:abstractNum>
  <w:abstractNum w:abstractNumId="119">
    <w:nsid w:val="14D53685"/>
    <w:multiLevelType w:val="hybridMultilevel"/>
    <w:lvl w:ilvl="0">
      <w:lvlJc w:val="left"/>
      <w:lvlText w:val="(%1)"/>
      <w:numFmt w:val="lowerLetter"/>
      <w:start w:val="7"/>
    </w:lvl>
  </w:abstractNum>
  <w:abstractNum w:abstractNumId="120">
    <w:nsid w:val="230F856C"/>
    <w:multiLevelType w:val="hybridMultilevel"/>
    <w:lvl w:ilvl="0">
      <w:lvlJc w:val="left"/>
      <w:lvlText w:val="%1."/>
      <w:numFmt w:val="decimal"/>
      <w:start w:val="9"/>
    </w:lvl>
  </w:abstractNum>
  <w:abstractNum w:abstractNumId="121">
    <w:nsid w:val="6EAA85FB"/>
    <w:multiLevelType w:val="hybridMultilevel"/>
    <w:lvl w:ilvl="0">
      <w:lvlJc w:val="left"/>
      <w:lvlText w:val="%1."/>
      <w:numFmt w:val="decimal"/>
      <w:start w:val="11"/>
    </w:lvl>
  </w:abstractNum>
  <w:abstractNum w:abstractNumId="122">
    <w:nsid w:val="3F06ECB2"/>
    <w:multiLevelType w:val="hybridMultilevel"/>
    <w:lvl w:ilvl="0">
      <w:lvlJc w:val="left"/>
      <w:lvlText w:val="%1."/>
      <w:numFmt w:val="decimal"/>
      <w:start w:val="15"/>
    </w:lvl>
  </w:abstractNum>
  <w:abstractNum w:abstractNumId="123">
    <w:nsid w:val="3B594807"/>
    <w:multiLevelType w:val="hybridMultilevel"/>
    <w:lvl w:ilvl="0">
      <w:lvlJc w:val="left"/>
      <w:lvlText w:val="%1."/>
      <w:numFmt w:val="decimal"/>
      <w:start w:val="17"/>
    </w:lvl>
  </w:abstractNum>
  <w:abstractNum w:abstractNumId="124">
    <w:nsid w:val="6CAA2304"/>
    <w:multiLevelType w:val="hybridMultilevel"/>
    <w:lvl w:ilvl="0">
      <w:lvlJc w:val="left"/>
      <w:lvlText w:val="(%1)"/>
      <w:numFmt w:val="lowerLetter"/>
      <w:start w:val="1"/>
    </w:lvl>
  </w:abstractNum>
  <w:abstractNum w:abstractNumId="125">
    <w:nsid w:val="3F7C2FF4"/>
    <w:multiLevelType w:val="hybridMultilevel"/>
    <w:lvl w:ilvl="0">
      <w:lvlJc w:val="left"/>
      <w:lvlText w:val="(%1)"/>
      <w:numFmt w:val="lowerLetter"/>
      <w:start w:val="9"/>
    </w:lvl>
    <w:lvl w:ilvl="1">
      <w:lvlJc w:val="left"/>
      <w:lvlText w:val="(%2)"/>
      <w:numFmt w:val="lowerLetter"/>
      <w:start w:val="4"/>
    </w:lvl>
  </w:abstractNum>
  <w:abstractNum w:abstractNumId="126">
    <w:nsid w:val="25413BEC"/>
    <w:multiLevelType w:val="hybridMultilevel"/>
    <w:lvl w:ilvl="0">
      <w:lvlJc w:val="left"/>
      <w:lvlText w:val="(%1)"/>
      <w:numFmt w:val="lowerLetter"/>
      <w:start w:val="6"/>
    </w:lvl>
  </w:abstractNum>
  <w:abstractNum w:abstractNumId="127">
    <w:nsid w:val="17180B0B"/>
    <w:multiLevelType w:val="hybridMultilevel"/>
    <w:lvl w:ilvl="0">
      <w:lvlJc w:val="left"/>
      <w:lvlText w:val="(%1)"/>
      <w:numFmt w:val="upperLetter"/>
      <w:start w:val="9"/>
    </w:lvl>
  </w:abstractNum>
  <w:abstractNum w:abstractNumId="128">
    <w:nsid w:val="579328B9"/>
    <w:multiLevelType w:val="hybridMultilevel"/>
    <w:lvl w:ilvl="0">
      <w:lvlJc w:val="left"/>
      <w:lvlText w:val="(%1)"/>
      <w:numFmt w:val="upperLetter"/>
      <w:start w:val="35"/>
    </w:lvl>
  </w:abstractNum>
  <w:abstractNum w:abstractNumId="129">
    <w:nsid w:val="5D205E20"/>
    <w:multiLevelType w:val="hybridMultilevel"/>
    <w:lvl w:ilvl="0">
      <w:lvlJc w:val="left"/>
      <w:lvlText w:val="(%1)"/>
      <w:numFmt w:val="upperLetter"/>
      <w:start w:val="61"/>
    </w:lvl>
  </w:abstractNum>
  <w:abstractNum w:abstractNumId="130">
    <w:nsid w:val="11CCA8BA"/>
    <w:multiLevelType w:val="hybridMultilevel"/>
    <w:lvl w:ilvl="0">
      <w:lvlJc w:val="left"/>
      <w:lvlText w:val="(%1)"/>
      <w:numFmt w:val="upperLetter"/>
      <w:start w:val="22"/>
    </w:lvl>
  </w:abstractNum>
  <w:abstractNum w:abstractNumId="131">
    <w:nsid w:val="4D32AB86"/>
    <w:multiLevelType w:val="hybridMultilevel"/>
    <w:lvl w:ilvl="0">
      <w:lvlJc w:val="left"/>
      <w:lvlText w:val="(%1)"/>
      <w:numFmt w:val="lowerLetter"/>
      <w:start w:val="7"/>
    </w:lvl>
  </w:abstractNum>
  <w:abstractNum w:abstractNumId="132">
    <w:nsid w:val="3F07ACC3"/>
    <w:multiLevelType w:val="hybridMultilevel"/>
    <w:lvl w:ilvl="0">
      <w:lvlJc w:val="left"/>
      <w:lvlText w:val="(%1)"/>
      <w:numFmt w:val="lowerLetter"/>
      <w:start w:val="18"/>
    </w:lvl>
  </w:abstractNum>
  <w:abstractNum w:abstractNumId="133">
    <w:nsid w:val="6B47F63E"/>
    <w:multiLevelType w:val="hybridMultilevel"/>
    <w:lvl w:ilvl="0">
      <w:lvlJc w:val="left"/>
      <w:lvlText w:val="%1"/>
      <w:numFmt w:val="lowerLetter"/>
      <w:start w:val="1"/>
    </w:lvl>
    <w:lvl w:ilvl="1">
      <w:lvlJc w:val="left"/>
      <w:lvlText w:val="(%2)"/>
      <w:numFmt w:val="lowerLetter"/>
      <w:start w:val="1"/>
    </w:lvl>
  </w:abstractNum>
  <w:abstractNum w:abstractNumId="134">
    <w:nsid w:val="5CB44A05"/>
    <w:multiLevelType w:val="hybridMultilevel"/>
    <w:lvl w:ilvl="0">
      <w:lvlJc w:val="left"/>
      <w:lvlText w:val="(%1)"/>
      <w:numFmt w:val="lowerLetter"/>
      <w:start w:val="35"/>
    </w:lvl>
    <w:lvl w:ilvl="1">
      <w:lvlJc w:val="left"/>
      <w:lvlText w:val="%2"/>
      <w:numFmt w:val="lowerLetter"/>
      <w:start w:val="1"/>
    </w:lvl>
  </w:abstractNum>
  <w:abstractNum w:abstractNumId="135">
    <w:nsid w:val="16CF80F1"/>
    <w:multiLevelType w:val="hybridMultilevel"/>
    <w:lvl w:ilvl="0">
      <w:lvlJc w:val="left"/>
      <w:lvlText w:val="(%1)"/>
      <w:numFmt w:val="lowerRoman"/>
      <w:start w:val="1"/>
    </w:lvl>
  </w:abstractNum>
  <w:abstractNum w:abstractNumId="136">
    <w:nsid w:val="1C695DEC"/>
    <w:multiLevelType w:val="hybridMultilevel"/>
    <w:lvl w:ilvl="0">
      <w:lvlJc w:val="left"/>
      <w:lvlText w:val="(%1)"/>
      <w:numFmt w:val="lowerLetter"/>
      <w:start w:val="1"/>
    </w:lvl>
  </w:abstractNum>
  <w:abstractNum w:abstractNumId="137">
    <w:nsid w:val="3FCFAED9"/>
    <w:multiLevelType w:val="hybridMultilevel"/>
    <w:lvl w:ilvl="0">
      <w:lvlJc w:val="left"/>
      <w:lvlText w:val="(%1)"/>
      <w:numFmt w:val="lowerLetter"/>
      <w:start w:val="3"/>
    </w:lvl>
  </w:abstractNum>
  <w:abstractNum w:abstractNumId="138">
    <w:nsid w:val="F856867"/>
    <w:multiLevelType w:val="hybridMultilevel"/>
    <w:lvl w:ilvl="0">
      <w:lvlJc w:val="left"/>
      <w:lvlText w:val="(%1)"/>
      <w:numFmt w:val="lowerLetter"/>
      <w:start w:val="1"/>
    </w:lvl>
  </w:abstractNum>
  <w:abstractNum w:abstractNumId="139">
    <w:nsid w:val="11B1CC33"/>
    <w:multiLevelType w:val="hybridMultilevel"/>
    <w:lvl w:ilvl="0">
      <w:lvlJc w:val="left"/>
      <w:lvlText w:val="(%1)"/>
      <w:numFmt w:val="lowerLetter"/>
      <w:start w:val="4"/>
    </w:lvl>
  </w:abstractNum>
  <w:abstractNum w:abstractNumId="140">
    <w:nsid w:val="2E22FBB7"/>
    <w:multiLevelType w:val="hybridMultilevel"/>
    <w:lvl w:ilvl="0">
      <w:lvlJc w:val="left"/>
      <w:lvlText w:val="%1."/>
      <w:numFmt w:val="decimal"/>
      <w:start w:val="1"/>
    </w:lvl>
  </w:abstractNum>
  <w:abstractNum w:abstractNumId="141">
    <w:nsid w:val="29934699"/>
    <w:multiLevelType w:val="hybridMultilevel"/>
    <w:lvl w:ilvl="0">
      <w:lvlJc w:val="left"/>
      <w:lvlText w:val="(%1)"/>
      <w:numFmt w:val="lowerLetter"/>
      <w:start w:val="1"/>
    </w:lvl>
  </w:abstractNum>
  <w:abstractNum w:abstractNumId="142">
    <w:nsid w:val="77485850"/>
    <w:multiLevelType w:val="hybridMultilevel"/>
    <w:lvl w:ilvl="0">
      <w:lvlJc w:val="left"/>
      <w:lvlText w:val="(%1)"/>
      <w:numFmt w:val="lowerLetter"/>
      <w:start w:val="1"/>
    </w:lvl>
  </w:abstractNum>
  <w:abstractNum w:abstractNumId="143">
    <w:nsid w:val="744939A3"/>
    <w:multiLevelType w:val="hybridMultilevel"/>
    <w:lvl w:ilvl="0">
      <w:lvlJc w:val="left"/>
      <w:lvlText w:val="(%1)"/>
      <w:numFmt w:val="lowerLetter"/>
      <w:start w:val="5"/>
    </w:lvl>
  </w:abstractNum>
  <w:abstractNum w:abstractNumId="144">
    <w:nsid w:val="4FA0D2E3"/>
    <w:multiLevelType w:val="hybridMultilevel"/>
    <w:lvl w:ilvl="0">
      <w:lvlJc w:val="left"/>
      <w:lvlText w:val="(%1)"/>
      <w:numFmt w:val="lowerLetter"/>
      <w:start w:val="7"/>
    </w:lvl>
  </w:abstractNum>
  <w:abstractNum w:abstractNumId="145">
    <w:nsid w:val="6B1D2C14"/>
    <w:multiLevelType w:val="hybridMultilevel"/>
    <w:lvl w:ilvl="0">
      <w:lvlJc w:val="left"/>
      <w:lvlText w:val="(%1)"/>
      <w:numFmt w:val="lowerLetter"/>
      <w:start w:val="1"/>
    </w:lvl>
  </w:abstractNum>
  <w:abstractNum w:abstractNumId="146">
    <w:nsid w:val="68B867D3"/>
    <w:multiLevelType w:val="hybridMultilevel"/>
    <w:lvl w:ilvl="0">
      <w:lvlJc w:val="left"/>
      <w:lvlText w:val="(%1)"/>
      <w:numFmt w:val="lowerLetter"/>
      <w:start w:val="3"/>
    </w:lvl>
  </w:abstractNum>
  <w:abstractNum w:abstractNumId="147">
    <w:nsid w:val="3F7F5DD9"/>
    <w:multiLevelType w:val="hybridMultilevel"/>
    <w:lvl w:ilvl="0">
      <w:lvlJc w:val="left"/>
      <w:lvlText w:val="(%1)"/>
      <w:numFmt w:val="lowerLetter"/>
      <w:start w:val="1"/>
    </w:lvl>
    <w:lvl w:ilvl="1">
      <w:lvlJc w:val="left"/>
      <w:lvlText w:val="(%2)"/>
      <w:numFmt w:val="lowerRoman"/>
      <w:start w:val="1"/>
    </w:lvl>
  </w:abstractNum>
  <w:abstractNum w:abstractNumId="148">
    <w:nsid w:val="2AE05A34"/>
    <w:multiLevelType w:val="hybridMultilevel"/>
    <w:lvl w:ilvl="0">
      <w:lvlJc w:val="left"/>
      <w:lvlText w:val="%1"/>
      <w:numFmt w:val="upperLetter"/>
      <w:start w:val="1"/>
    </w:lvl>
    <w:lvl w:ilvl="1">
      <w:lvlJc w:val="left"/>
      <w:lvlText w:val="(%2)"/>
      <w:numFmt w:val="lowerRoman"/>
      <w:start w:val="4"/>
    </w:lvl>
  </w:abstractNum>
  <w:abstractNum w:abstractNumId="149">
    <w:nsid w:val="32794FF7"/>
    <w:multiLevelType w:val="hybridMultilevel"/>
    <w:lvl w:ilvl="0">
      <w:lvlJc w:val="left"/>
      <w:lvlText w:val="(%1)"/>
      <w:numFmt w:val="upperLetter"/>
      <w:start w:val="2"/>
    </w:lvl>
    <w:lvl w:ilvl="1">
      <w:lvlJc w:val="left"/>
      <w:lvlText w:val="(%2)"/>
      <w:numFmt w:val="lowerRoman"/>
      <w:start w:val="5"/>
    </w:lvl>
  </w:abstractNum>
  <w:abstractNum w:abstractNumId="150">
    <w:nsid w:val="5454945E"/>
    <w:multiLevelType w:val="hybridMultilevel"/>
    <w:lvl w:ilvl="0">
      <w:lvlJc w:val="left"/>
      <w:lvlText w:val="%1"/>
      <w:numFmt w:val="lowerLetter"/>
      <w:start w:val="1"/>
    </w:lvl>
    <w:lvl w:ilvl="1">
      <w:lvlJc w:val="left"/>
      <w:lvlText w:val="(%2)"/>
      <w:numFmt w:val="lowerRoman"/>
      <w:start w:val="8"/>
    </w:lvl>
  </w:abstractNum>
  <w:abstractNum w:abstractNumId="151">
    <w:nsid w:val="4DEFDFA0"/>
    <w:multiLevelType w:val="hybridMultilevel"/>
    <w:lvl w:ilvl="0">
      <w:lvlJc w:val="left"/>
      <w:lvlText w:val="(%1)"/>
      <w:numFmt w:val="lowerLetter"/>
      <w:start w:val="2"/>
    </w:lvl>
    <w:lvl w:ilvl="1">
      <w:lvlJc w:val="left"/>
      <w:lvlText w:val="%2"/>
      <w:numFmt w:val="lowerRoman"/>
      <w:start w:val="1"/>
    </w:lvl>
  </w:abstractNum>
  <w:abstractNum w:abstractNumId="152">
    <w:nsid w:val="2123D5F2"/>
    <w:multiLevelType w:val="hybridMultilevel"/>
    <w:lvl w:ilvl="0">
      <w:lvlJc w:val="left"/>
      <w:lvlText w:val="(%1)"/>
      <w:numFmt w:val="lowerLetter"/>
      <w:start w:val="1"/>
    </w:lvl>
  </w:abstractNum>
  <w:abstractNum w:abstractNumId="153">
    <w:nsid w:val="135B8110"/>
    <w:multiLevelType w:val="hybridMultilevel"/>
    <w:lvl w:ilvl="0">
      <w:lvlJc w:val="left"/>
      <w:lvlText w:val="(%1)"/>
      <w:numFmt w:val="lowerLetter"/>
      <w:start w:val="2"/>
    </w:lvl>
  </w:abstractNum>
  <w:abstractNum w:abstractNumId="154">
    <w:nsid w:val="94927A8"/>
    <w:multiLevelType w:val="hybridMultilevel"/>
    <w:lvl w:ilvl="0">
      <w:lvlJc w:val="left"/>
      <w:lvlText w:val="%1."/>
      <w:numFmt w:val="decimal"/>
      <w:start w:val="7"/>
    </w:lvl>
  </w:abstractNum>
  <w:abstractNum w:abstractNumId="155">
    <w:nsid w:val="DCDF8F6"/>
    <w:multiLevelType w:val="hybridMultilevel"/>
    <w:lvl w:ilvl="0">
      <w:lvlJc w:val="left"/>
      <w:lvlText w:val="%1"/>
      <w:numFmt w:val="lowerRoman"/>
      <w:start w:val="1"/>
    </w:lvl>
    <w:lvl w:ilvl="1">
      <w:lvlJc w:val="left"/>
      <w:lvlText w:val="(%2)"/>
      <w:numFmt w:val="lowerLetter"/>
      <w:start w:val="1"/>
    </w:lvl>
  </w:abstractNum>
  <w:abstractNum w:abstractNumId="156">
    <w:nsid w:val="52D7B105"/>
    <w:multiLevelType w:val="hybridMultilevel"/>
    <w:lvl w:ilvl="0">
      <w:lvlJc w:val="left"/>
      <w:lvlText w:val="(%1)"/>
      <w:numFmt w:val="lowerRoman"/>
      <w:start w:val="4"/>
    </w:lvl>
    <w:lvl w:ilvl="1">
      <w:lvlJc w:val="left"/>
      <w:lvlText w:val="%2"/>
      <w:numFmt w:val="lowerLetter"/>
      <w:start w:val="1"/>
    </w:lvl>
  </w:abstractNum>
  <w:abstractNum w:abstractNumId="157">
    <w:nsid w:val="2E8A6394"/>
    <w:multiLevelType w:val="hybridMultilevel"/>
    <w:lvl w:ilvl="0">
      <w:lvlJc w:val="left"/>
      <w:lvlText w:val="(%1)"/>
      <w:numFmt w:val="upperLetter"/>
      <w:start w:val="1"/>
    </w:lvl>
    <w:lvl w:ilvl="1">
      <w:lvlJc w:val="left"/>
      <w:lvlText w:val="(%2)"/>
      <w:numFmt w:val="lowerLetter"/>
      <w:start w:val="2"/>
    </w:lvl>
  </w:abstractNum>
  <w:abstractNum w:abstractNumId="158">
    <w:nsid w:val="24E60401"/>
    <w:multiLevelType w:val="hybridMultilevel"/>
    <w:lvl w:ilvl="0">
      <w:lvlJc w:val="left"/>
      <w:lvlText w:val="%1"/>
      <w:numFmt w:val="lowerLetter"/>
      <w:start w:val="1"/>
    </w:lvl>
    <w:lvl w:ilvl="1">
      <w:lvlJc w:val="left"/>
      <w:lvlText w:val="(%2)"/>
      <w:numFmt w:val="lowerLetter"/>
      <w:start w:val="3"/>
    </w:lvl>
  </w:abstractNum>
  <w:abstractNum w:abstractNumId="159">
    <w:nsid w:val="2A6AD9BE"/>
    <w:multiLevelType w:val="hybridMultilevel"/>
    <w:lvl w:ilvl="0">
      <w:lvlJc w:val="left"/>
      <w:lvlText w:val="(%1)"/>
      <w:numFmt w:val="lowerLetter"/>
      <w:start w:val="61"/>
    </w:lvl>
    <w:lvl w:ilvl="1">
      <w:lvlJc w:val="left"/>
      <w:lvlText w:val="%2"/>
      <w:numFmt w:val="lowerLetter"/>
      <w:start w:val="1"/>
    </w:lvl>
  </w:abstractNum>
  <w:abstractNum w:abstractNumId="160">
    <w:nsid w:val="BAAC1B4"/>
    <w:multiLevelType w:val="hybridMultilevel"/>
    <w:lvl w:ilvl="0">
      <w:lvlJc w:val="left"/>
      <w:lvlText w:val="(%1)"/>
      <w:numFmt w:val="lowerLetter"/>
      <w:start w:val="5"/>
    </w:lvl>
  </w:abstractNum>
  <w:abstractNum w:abstractNumId="161">
    <w:nsid w:val="36B2ACBC"/>
    <w:multiLevelType w:val="hybridMultilevel"/>
    <w:lvl w:ilvl="0">
      <w:lvlJc w:val="left"/>
      <w:lvlText w:val="(%1)"/>
      <w:numFmt w:val="lowerLetter"/>
      <w:start w:val="8"/>
    </w:lvl>
  </w:abstractNum>
  <w:abstractNum w:abstractNumId="162">
    <w:nsid w:val="779D8544"/>
    <w:multiLevelType w:val="hybridMultilevel"/>
    <w:lvl w:ilvl="0">
      <w:lvlJc w:val="left"/>
      <w:lvlText w:val="%1."/>
      <w:numFmt w:val="decimal"/>
      <w:start w:val="9"/>
    </w:lvl>
  </w:abstractNum>
  <w:abstractNum w:abstractNumId="163">
    <w:nsid w:val="4AB26E78"/>
    <w:multiLevelType w:val="hybridMultilevel"/>
    <w:lvl w:ilvl="0">
      <w:lvlJc w:val="left"/>
      <w:lvlText w:val="%1."/>
      <w:numFmt w:val="decimal"/>
      <w:start w:val="12"/>
    </w:lvl>
  </w:abstractNum>
  <w:abstractNum w:abstractNumId="164">
    <w:nsid w:val="21FAA2FA"/>
    <w:multiLevelType w:val="hybridMultilevel"/>
    <w:lvl w:ilvl="0">
      <w:lvlJc w:val="left"/>
      <w:lvlText w:val="%1."/>
      <w:numFmt w:val="decimal"/>
      <w:start w:val="16"/>
    </w:lvl>
  </w:abstractNum>
  <w:abstractNum w:abstractNumId="165">
    <w:nsid w:val="5451CF49"/>
    <w:multiLevelType w:val="hybridMultilevel"/>
    <w:lvl w:ilvl="0">
      <w:lvlJc w:val="left"/>
      <w:lvlText w:val="%1."/>
      <w:numFmt w:val="decimal"/>
      <w:start w:val="17"/>
    </w:lvl>
  </w:abstractNum>
  <w:abstractNum w:abstractNumId="166">
    <w:nsid w:val="6181EF69"/>
    <w:multiLevelType w:val="hybridMultilevel"/>
    <w:lvl w:ilvl="0">
      <w:lvlJc w:val="left"/>
      <w:lvlText w:val="(%1)"/>
      <w:numFmt w:val="lowerLetter"/>
      <w:start w:val="1"/>
    </w:lvl>
  </w:abstractNum>
  <w:abstractNum w:abstractNumId="167">
    <w:nsid w:val="3E6400E6"/>
    <w:multiLevelType w:val="hybridMultilevel"/>
    <w:lvl w:ilvl="0">
      <w:lvlJc w:val="left"/>
      <w:lvlText w:val="(%1)"/>
      <w:numFmt w:val="lowerLetter"/>
      <w:start w:val="9"/>
    </w:lvl>
    <w:lvl w:ilvl="1">
      <w:lvlJc w:val="left"/>
      <w:lvlText w:val="(%2)"/>
      <w:numFmt w:val="lowerLetter"/>
      <w:start w:val="4"/>
    </w:lvl>
  </w:abstractNum>
  <w:abstractNum w:abstractNumId="168">
    <w:nsid w:val="14217E23"/>
    <w:multiLevelType w:val="hybridMultilevel"/>
    <w:lvl w:ilvl="0">
      <w:lvlJc w:val="left"/>
      <w:lvlText w:val="(%1)"/>
      <w:numFmt w:val="lowerLetter"/>
      <w:start w:val="6"/>
    </w:lvl>
  </w:abstractNum>
  <w:abstractNum w:abstractNumId="169">
    <w:nsid w:val="710757D0"/>
    <w:multiLevelType w:val="hybridMultilevel"/>
    <w:lvl w:ilvl="0">
      <w:lvlJc w:val="left"/>
      <w:lvlText w:val="(%1)"/>
      <w:numFmt w:val="upperLetter"/>
      <w:start w:val="9"/>
    </w:lvl>
  </w:abstractNum>
  <w:abstractNum w:abstractNumId="170">
    <w:nsid w:val="5015CD1A"/>
    <w:multiLevelType w:val="hybridMultilevel"/>
    <w:lvl w:ilvl="0">
      <w:lvlJc w:val="left"/>
      <w:lvlText w:val="(%1)"/>
      <w:numFmt w:val="upperLetter"/>
      <w:start w:val="35"/>
    </w:lvl>
  </w:abstractNum>
  <w:abstractNum w:abstractNumId="171">
    <w:nsid w:val="424479DA"/>
    <w:multiLevelType w:val="hybridMultilevel"/>
    <w:lvl w:ilvl="0">
      <w:lvlJc w:val="left"/>
      <w:lvlText w:val="(%1)"/>
      <w:numFmt w:val="upperLetter"/>
      <w:start w:val="61"/>
    </w:lvl>
  </w:abstractNum>
  <w:abstractNum w:abstractNumId="172">
    <w:nsid w:val="1A9A9E69"/>
    <w:multiLevelType w:val="hybridMultilevel"/>
    <w:lvl w:ilvl="0">
      <w:lvlJc w:val="left"/>
      <w:lvlText w:val="(%1)"/>
      <w:numFmt w:val="upperLetter"/>
      <w:start w:val="22"/>
    </w:lvl>
  </w:abstractNum>
  <w:abstractNum w:abstractNumId="173">
    <w:nsid w:val="475E256A"/>
    <w:multiLevelType w:val="hybridMultilevel"/>
    <w:lvl w:ilvl="0">
      <w:lvlJc w:val="left"/>
      <w:lvlText w:val="(%1)"/>
      <w:numFmt w:val="lowerLetter"/>
      <w:start w:val="7"/>
    </w:lvl>
  </w:abstractNum>
  <w:abstractNum w:abstractNumId="174">
    <w:nsid w:val="368DB37E"/>
    <w:multiLevelType w:val="hybridMultilevel"/>
    <w:lvl w:ilvl="0">
      <w:lvlJc w:val="left"/>
      <w:lvlText w:val="(%1)"/>
      <w:numFmt w:val="lowerLetter"/>
      <w:start w:val="18"/>
    </w:lvl>
  </w:abstractNum>
  <w:abstractNum w:abstractNumId="175">
    <w:nsid w:val="6A3B714C"/>
    <w:multiLevelType w:val="hybridMultilevel"/>
    <w:lvl w:ilvl="0">
      <w:lvlJc w:val="left"/>
      <w:lvlText w:val="%1"/>
      <w:numFmt w:val="lowerLetter"/>
      <w:start w:val="1"/>
    </w:lvl>
    <w:lvl w:ilvl="1">
      <w:lvlJc w:val="left"/>
      <w:lvlText w:val="(%2)"/>
      <w:numFmt w:val="lowerLetter"/>
      <w:start w:val="1"/>
    </w:lvl>
  </w:abstractNum>
  <w:abstractNum w:abstractNumId="176">
    <w:nsid w:val="327B517E"/>
    <w:multiLevelType w:val="hybridMultilevel"/>
    <w:lvl w:ilvl="0">
      <w:lvlJc w:val="left"/>
      <w:lvlText w:val="(%1)"/>
      <w:numFmt w:val="lowerLetter"/>
      <w:start w:val="35"/>
    </w:lvl>
    <w:lvl w:ilvl="1">
      <w:lvlJc w:val="left"/>
      <w:lvlText w:val="%2"/>
      <w:numFmt w:val="lowerLetter"/>
      <w:start w:val="1"/>
    </w:lvl>
  </w:abstractNum>
  <w:abstractNum w:abstractNumId="177">
    <w:nsid w:val="1F461B51"/>
    <w:multiLevelType w:val="hybridMultilevel"/>
    <w:lvl w:ilvl="0">
      <w:lvlJc w:val="left"/>
      <w:lvlText w:val="(%1)"/>
      <w:numFmt w:val="lowerRoman"/>
      <w:start w:val="1"/>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3"/>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
      <w:numFmt w:val="bullet"/>
      <w:start w:val="1"/>
    </w:lvl>
  </w:abstractNum>
  <w:abstractNum w:abstractNumId="182">
    <w:nsid w:val="2B4B8B53"/>
    <w:multiLevelType w:val="hybridMultilevel"/>
    <w:lvl w:ilvl="0">
      <w:lvlJc w:val="left"/>
      <w:lvlText w:val="•"/>
      <w:numFmt w:val="bullet"/>
      <w:start w:val="1"/>
    </w:lvl>
  </w:abstractNum>
  <w:abstractNum w:abstractNumId="183">
    <w:nsid w:val="72E3413A"/>
    <w:multiLevelType w:val="hybridMultilevel"/>
    <w:lvl w:ilvl="0">
      <w:lvlJc w:val="left"/>
      <w:lvlText w:val="%1."/>
      <w:numFmt w:val="decimal"/>
      <w:start w:val="1"/>
    </w:lvl>
    <w:lvl w:ilvl="1">
      <w:lvlJc w:val="left"/>
      <w:lvlText w:val="(%2)"/>
      <w:numFmt w:val="lowerLetter"/>
      <w:start w:val="1"/>
    </w:lvl>
  </w:abstractNum>
  <w:abstractNum w:abstractNumId="184">
    <w:nsid w:val="116AE494"/>
    <w:multiLevelType w:val="hybridMultilevel"/>
    <w:lvl w:ilvl="0">
      <w:lvlJc w:val="left"/>
      <w:lvlText w:val="%1."/>
      <w:numFmt w:val="decimal"/>
      <w:start w:val="1"/>
    </w:lvl>
    <w:lvl w:ilvl="1">
      <w:lvlJc w:val="left"/>
      <w:lvlText w:val="(%2)"/>
      <w:numFmt w:val="lowerLetter"/>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20" Type="http://schemas.openxmlformats.org/officeDocument/2006/relationships/image" Target="media/image66.png"/><Relationship Id="rId121" Type="http://schemas.openxmlformats.org/officeDocument/2006/relationships/image" Target="media/image67.png"/><Relationship Id="rId122" Type="http://schemas.openxmlformats.org/officeDocument/2006/relationships/image" Target="media/image68.png"/><Relationship Id="rId123" Type="http://schemas.openxmlformats.org/officeDocument/2006/relationships/image" Target="media/image69.png"/><Relationship Id="rId124" Type="http://schemas.openxmlformats.org/officeDocument/2006/relationships/image" Target="media/image70.png"/><Relationship Id="rId125" Type="http://schemas.openxmlformats.org/officeDocument/2006/relationships/image" Target="media/image71.png"/><Relationship Id="rId126" Type="http://schemas.openxmlformats.org/officeDocument/2006/relationships/image" Target="media/image72.png"/><Relationship Id="rId127" Type="http://schemas.openxmlformats.org/officeDocument/2006/relationships/image" Target="media/image73.png"/><Relationship Id="rId128" Type="http://schemas.openxmlformats.org/officeDocument/2006/relationships/image" Target="media/image74.png"/><Relationship Id="rId129" Type="http://schemas.openxmlformats.org/officeDocument/2006/relationships/image" Target="media/image75.png"/><Relationship Id="rId130" Type="http://schemas.openxmlformats.org/officeDocument/2006/relationships/image" Target="media/image76.png"/><Relationship Id="rId131" Type="http://schemas.openxmlformats.org/officeDocument/2006/relationships/image" Target="media/image77.png"/><Relationship Id="rId132"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71" Type="http://schemas.openxmlformats.org/officeDocument/2006/relationships/hyperlink" Target="http://www.sec.gov/Archives/edgar/data/109198/000095013599004354/0000950135-99-004354.txt" TargetMode="External"/><Relationship Id="rId72" Type="http://schemas.openxmlformats.org/officeDocument/2006/relationships/hyperlink" Target="http://www.sec.gov/Archives/edgar/data/109198/000095013505005210/b56623txexv3wxiy.htm" TargetMode="External"/><Relationship Id="rId73" Type="http://schemas.openxmlformats.org/officeDocument/2006/relationships/hyperlink" Target="http://www.sec.gov/Archives/edgar/data/109198/000119312518031707/d527262dex31.htm" TargetMode="External"/><Relationship Id="rId74" Type="http://schemas.openxmlformats.org/officeDocument/2006/relationships/hyperlink" Target="http://www.sec.gov/Archives/edgar/data/109198/000095013509002476/b74862s3exv4w1.htm" TargetMode="External"/><Relationship Id="rId75" Type="http://schemas.openxmlformats.org/officeDocument/2006/relationships/hyperlink" Target="http://www.sec.gov/Archives/edgar/data/109198/000119312513194885/d529436dex42.htm" TargetMode="External"/><Relationship Id="rId76" Type="http://schemas.openxmlformats.org/officeDocument/2006/relationships/hyperlink" Target="http://www.sec.gov/Archives/edgar/data/109198/000119312514226574/d736176dex42.htm" TargetMode="External"/><Relationship Id="rId77" Type="http://schemas.openxmlformats.org/officeDocument/2006/relationships/hyperlink" Target="http://www.sec.gov/Archives/edgar/data/109198/000119312516707413/d252599dex41.htm" TargetMode="External"/><Relationship Id="rId78" Type="http://schemas.openxmlformats.org/officeDocument/2006/relationships/hyperlink" Target="http://www.sec.gov/Archives/edgar/data/109198/000119312516707413/d252599dex42.htm" TargetMode="External"/><Relationship Id="rId79" Type="http://schemas.openxmlformats.org/officeDocument/2006/relationships/hyperlink" Target="http://www.sec.gov/Archives/edgar/data/109198/000119312516521424/d110852dex101.htm" TargetMode="External"/><Relationship Id="rId80" Type="http://schemas.openxmlformats.org/officeDocument/2006/relationships/hyperlink" Target="http://www.sec.gov/Archives/edgar/data/109198/000119312516521424/d110852dex102.htm" TargetMode="External"/><Relationship Id="rId81" Type="http://schemas.openxmlformats.org/officeDocument/2006/relationships/hyperlink" Target="http://www.sec.gov/Archives/edgar/data/109198/000119312517099642/d269088dex104.htm" TargetMode="External"/><Relationship Id="rId82" Type="http://schemas.openxmlformats.org/officeDocument/2006/relationships/hyperlink" Target="http://www.sec.gov/Archives/edgar/data/109198/000119312513243027/d529343dex101.htm" TargetMode="External"/><Relationship Id="rId83" Type="http://schemas.openxmlformats.org/officeDocument/2006/relationships/hyperlink" Target="http://www.sec.gov/Archives/edgar/data/109198/000119312516693604/d67632dex101.htm" TargetMode="External"/><Relationship Id="rId84" Type="http://schemas.openxmlformats.org/officeDocument/2006/relationships/hyperlink" Target="http://www.sec.gov/Archives/edgar/data/109198/000119312517099642/d269088dex108.htm" TargetMode="External"/><Relationship Id="rId85" Type="http://schemas.openxmlformats.org/officeDocument/2006/relationships/hyperlink" Target="http://www.sec.gov/Archives/edgar/data/109198/000095012310081603/b81240aexv10w3.htm" TargetMode="External"/><Relationship Id="rId86" Type="http://schemas.openxmlformats.org/officeDocument/2006/relationships/hyperlink" Target="http://www.sec.gov/Archives/edgar/data/109198/000095013504004414/b51737txexv10w2.txt" TargetMode="External"/><Relationship Id="rId87" Type="http://schemas.openxmlformats.org/officeDocument/2006/relationships/hyperlink" Target="http://www.sec.gov/Archives/edgar/data/109198/000095012309067237/b77180exv12w1.htm" TargetMode="External"/><Relationship Id="rId88" Type="http://schemas.openxmlformats.org/officeDocument/2006/relationships/hyperlink" Target="http://www.sec.gov/Archives/edgar/data/109198/000095012309067237/b77180exv12w2.htm" TargetMode="External"/><Relationship Id="rId89" Type="http://schemas.openxmlformats.org/officeDocument/2006/relationships/hyperlink" Target="http://www.sec.gov/Archives/edgar/data/109198/000095012310108499/b82678exv10w2.htm" TargetMode="External"/><Relationship Id="rId90" Type="http://schemas.openxmlformats.org/officeDocument/2006/relationships/hyperlink" Target="http://www.sec.gov/Archives/edgar/data/109198/000119312512134536/d276277dex1019.htm" TargetMode="External"/><Relationship Id="rId91" Type="http://schemas.openxmlformats.org/officeDocument/2006/relationships/hyperlink" Target="http://www.sec.gov/Archives/edgar/data/109198/000119312512485469/d426646dex101.htm" TargetMode="External"/><Relationship Id="rId92" Type="http://schemas.openxmlformats.org/officeDocument/2006/relationships/hyperlink" Target="http://www.sec.gov/Archives/edgar/data/109198/000119312512485469/d426646dex102.htm" TargetMode="External"/><Relationship Id="rId93" Type="http://schemas.openxmlformats.org/officeDocument/2006/relationships/hyperlink" Target="http://www.sec.gov/Archives/edgar/data/109198/000119312513460472/d613178dex101.htm" TargetMode="External"/><Relationship Id="rId94" Type="http://schemas.openxmlformats.org/officeDocument/2006/relationships/hyperlink" Target="http://www.sec.gov/Archives/edgar/data/109198/000119312513460472/d613178dex102.htm" TargetMode="External"/><Relationship Id="rId95" Type="http://schemas.openxmlformats.org/officeDocument/2006/relationships/hyperlink" Target="http://www.sec.gov/Archives/edgar/data/109198/000119312514430808/d810740dex104.htm" TargetMode="External"/><Relationship Id="rId96" Type="http://schemas.openxmlformats.org/officeDocument/2006/relationships/hyperlink" Target="http://www.sec.gov/Archives/edgar/data/109198/000119312514430808/d810740dex105.htm" TargetMode="External"/><Relationship Id="rId97" Type="http://schemas.openxmlformats.org/officeDocument/2006/relationships/hyperlink" Target="http://www.sec.gov/Archives/edgar/data/109198/000119312515391899/d60764dex101.htm" TargetMode="External"/><Relationship Id="rId98" Type="http://schemas.openxmlformats.org/officeDocument/2006/relationships/hyperlink" Target="http://www.sec.gov/Archives/edgar/data/109198/000119312515391899/d60764dex102.htm" TargetMode="External"/><Relationship Id="rId99" Type="http://schemas.openxmlformats.org/officeDocument/2006/relationships/hyperlink" Target="http://www.sec.gov/Archives/edgar/data/109198/000119312513138497/d472940dex1016.htm" TargetMode="External"/><Relationship Id="rId100" Type="http://schemas.openxmlformats.org/officeDocument/2006/relationships/hyperlink" Target="http://www.sec.gov/Archives/edgar/data/109198/000119312513460472/d613178dex103.htm" TargetMode="External"/><Relationship Id="rId101" Type="http://schemas.openxmlformats.org/officeDocument/2006/relationships/hyperlink" Target="http://www.sec.gov/Archives/edgar/data/109198/000119312513243027/d529343dex102.htm" TargetMode="External"/><Relationship Id="rId102" Type="http://schemas.openxmlformats.org/officeDocument/2006/relationships/hyperlink" Target="http://www.sec.gov/Archives/edgar/data/109198/000119312516605931/d159759dex101.htm" TargetMode="External"/><Relationship Id="rId103" Type="http://schemas.openxmlformats.org/officeDocument/2006/relationships/hyperlink" Target="http://www.sec.gov/Archives/edgar/data/109198/000119312517184984/d392325dex101.htm" TargetMode="External"/><Relationship Id="rId106" Type="http://schemas.openxmlformats.org/officeDocument/2006/relationships/hyperlink" Target="http://www.sec.gov/Archives/edgar/data/109198/000119312516521424/d110852dex1018.htm" TargetMode="External"/><Relationship Id="rId107" Type="http://schemas.openxmlformats.org/officeDocument/2006/relationships/hyperlink" Target="http://www.sec.gov/Archives/edgar/data/109198/000119312516521424/d110852dex1019.htm" TargetMode="External"/><Relationship Id="rId108" Type="http://schemas.openxmlformats.org/officeDocument/2006/relationships/hyperlink" Target="http://www.sec.gov/Archives/edgar/data/109198/000119312515114276/d855793dex1020.htm" TargetMode="External"/><Relationship Id="rId109" Type="http://schemas.openxmlformats.org/officeDocument/2006/relationships/hyperlink" Target="http://www.sec.gov/Archives/edgar/data/109198/000119312516693604/d67632dex102.htm" TargetMode="External"/><Relationship Id="rId110" Type="http://schemas.openxmlformats.org/officeDocument/2006/relationships/hyperlink" Target="http://www.sec.gov/Archives/edgar/data/109198/000119312513138497/d472940dex1022.htm" TargetMode="External"/><Relationship Id="rId111" Type="http://schemas.openxmlformats.org/officeDocument/2006/relationships/hyperlink" Target="http://www.sec.gov/Archives/edgar/data/109198/0000950135-99-002215.txt" TargetMode="External"/><Relationship Id="rId112" Type="http://schemas.openxmlformats.org/officeDocument/2006/relationships/hyperlink" Target="http://www.sec.gov/Archives/edgar/data/109198/000095013500002394/0000950135-00-002394.txt" TargetMode="External"/><Relationship Id="rId113" Type="http://schemas.openxmlformats.org/officeDocument/2006/relationships/hyperlink" Target="http://www.sec.gov/Archives/edgar/data/109198/000095013506001903/b58738tjexv10w17.txt" TargetMode="External"/><Relationship Id="rId114" Type="http://schemas.openxmlformats.org/officeDocument/2006/relationships/hyperlink" Target="http://www.sec.gov/Archives/edgar/data/109198/000095013509002399/b73492tjexv10w17.htm" TargetMode="External"/><Relationship Id="rId115" Type="http://schemas.openxmlformats.org/officeDocument/2006/relationships/hyperlink" Target="http://www.sec.gov/Archives/edgar/data/109198/000119312515206466/d928268dex103.htm" TargetMode="External"/><Relationship Id="rId116" Type="http://schemas.openxmlformats.org/officeDocument/2006/relationships/hyperlink" Target="http://www.sec.gov/Archives/edgar/data/109198/000119312515114276/d855793dex1025.htm" TargetMode="External"/><Relationship Id="rId117" Type="http://schemas.openxmlformats.org/officeDocument/2006/relationships/hyperlink" Target="http://www.sec.gov/Archives/edgar/data/109198/000119312516521424/d110852dex1025.htm" TargetMode="External"/><Relationship Id="rId118" Type="http://schemas.openxmlformats.org/officeDocument/2006/relationships/hyperlink" Target="http://www.sec.gov/Archives/edgar/data/109198/000119312513138497/d472940dex1026.htm" TargetMode="External"/><Relationship Id="rId119" Type="http://schemas.openxmlformats.org/officeDocument/2006/relationships/hyperlink" Target="http://www.sec.gov/Archives/edgar/data/109198/000119312515391899/d60764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2019-12-28T22:50:05Z</dcterms:created>
  <dcterms:modified xsi:type="dcterms:W3CDTF">2019-12-28T22:50:05Z</dcterms:modified>
</cp:coreProperties>
</file>