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850900</wp:posOffset>
            </wp:positionH>
            <wp:positionV relativeFrom="page">
              <wp:posOffset>1332230</wp:posOffset>
            </wp:positionV>
            <wp:extent cx="648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64890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6489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6489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43"/>
          <w:szCs w:val="43"/>
          <w:b w:val="1"/>
          <w:bCs w:val="1"/>
          <w:color w:val="auto"/>
        </w:rPr>
        <w:t>THE TJX COMPANIES,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6489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tbl>
      <w:tblPr>
        <w:tblLayout w:type="fixed"/>
        <w:tblInd w:w="2220" w:type="dxa"/>
        <w:tblCellMar>
          <w:top w:w="0" w:type="dxa"/>
          <w:left w:w="0" w:type="dxa"/>
          <w:bottom w:w="0" w:type="dxa"/>
          <w:right w:w="0" w:type="dxa"/>
        </w:tblCellMar>
      </w:tblPr>
      <w:tr>
        <w:trPr>
          <w:trHeight w:val="238"/>
        </w:trPr>
        <w:tc>
          <w:tcPr>
            <w:tcW w:w="3620" w:type="dxa"/>
            <w:vAlign w:val="bottom"/>
          </w:tcPr>
          <w:p>
            <w:pPr>
              <w:jc w:val="center"/>
              <w:ind w:right="164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2560" w:type="dxa"/>
            <w:vAlign w:val="bottom"/>
          </w:tcPr>
          <w:p>
            <w:pPr>
              <w:jc w:val="center"/>
              <w:ind w:left="1642"/>
              <w:spacing w:after="0"/>
              <w:rPr>
                <w:sz w:val="20"/>
                <w:szCs w:val="20"/>
                <w:color w:val="auto"/>
              </w:rPr>
            </w:pPr>
            <w:r>
              <w:rPr>
                <w:rFonts w:ascii="Times New Roman" w:cs="Times New Roman" w:eastAsia="Times New Roman" w:hAnsi="Times New Roman"/>
                <w:sz w:val="18"/>
                <w:szCs w:val="18"/>
                <w:b w:val="1"/>
                <w:bCs w:val="1"/>
                <w:color w:val="auto"/>
              </w:rPr>
              <w:t>1-4908</w:t>
            </w:r>
          </w:p>
        </w:tc>
      </w:tr>
      <w:tr>
        <w:trPr>
          <w:trHeight w:val="178"/>
        </w:trPr>
        <w:tc>
          <w:tcPr>
            <w:tcW w:w="3620" w:type="dxa"/>
            <w:vAlign w:val="bottom"/>
          </w:tcPr>
          <w:p>
            <w:pPr>
              <w:jc w:val="center"/>
              <w:ind w:right="166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560" w:type="dxa"/>
            <w:vAlign w:val="bottom"/>
          </w:tcPr>
          <w:p>
            <w:pPr>
              <w:jc w:val="center"/>
              <w:ind w:left="1642"/>
              <w:spacing w:after="0"/>
              <w:rPr>
                <w:sz w:val="20"/>
                <w:szCs w:val="20"/>
                <w:color w:val="auto"/>
              </w:rPr>
            </w:pPr>
            <w:r>
              <w:rPr>
                <w:rFonts w:ascii="Times New Roman" w:cs="Times New Roman" w:eastAsia="Times New Roman" w:hAnsi="Times New Roman"/>
                <w:sz w:val="14"/>
                <w:szCs w:val="14"/>
                <w:b w:val="1"/>
                <w:bCs w:val="1"/>
                <w:color w:val="auto"/>
              </w:rPr>
              <w:t>(Commission</w:t>
            </w:r>
          </w:p>
        </w:tc>
      </w:tr>
      <w:tr>
        <w:trPr>
          <w:trHeight w:val="190"/>
        </w:trPr>
        <w:tc>
          <w:tcPr>
            <w:tcW w:w="3620" w:type="dxa"/>
            <w:vAlign w:val="bottom"/>
          </w:tcPr>
          <w:p>
            <w:pPr>
              <w:jc w:val="center"/>
              <w:ind w:right="166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560" w:type="dxa"/>
            <w:vAlign w:val="bottom"/>
          </w:tcPr>
          <w:p>
            <w:pPr>
              <w:jc w:val="center"/>
              <w:ind w:left="1642"/>
              <w:spacing w:after="0"/>
              <w:rPr>
                <w:sz w:val="20"/>
                <w:szCs w:val="20"/>
                <w:color w:val="auto"/>
              </w:rPr>
            </w:pPr>
            <w:r>
              <w:rPr>
                <w:rFonts w:ascii="Times New Roman" w:cs="Times New Roman" w:eastAsia="Times New Roman" w:hAnsi="Times New Roman"/>
                <w:sz w:val="14"/>
                <w:szCs w:val="14"/>
                <w:b w:val="1"/>
                <w:bCs w:val="1"/>
                <w:color w:val="auto"/>
              </w:rPr>
              <w:t>File Number)</w:t>
            </w:r>
          </w:p>
        </w:tc>
      </w:tr>
    </w:tbl>
    <w:p>
      <w:pPr>
        <w:spacing w:after="0" w:line="271"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770 Cochituate Road, Framingham, MA 01701</w:t>
      </w:r>
    </w:p>
    <w:p>
      <w:pPr>
        <w:spacing w:after="0" w:line="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28"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Scott Goldenberg</w:t>
      </w:r>
    </w:p>
    <w:p>
      <w:pPr>
        <w:spacing w:after="0" w:line="31"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(508) 390-1000</w:t>
      </w:r>
    </w:p>
    <w:p>
      <w:pPr>
        <w:spacing w:after="0" w:line="2"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6489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185" w:lineRule="exact"/>
        <w:rPr>
          <w:sz w:val="24"/>
          <w:szCs w:val="24"/>
          <w:color w:val="auto"/>
        </w:rPr>
      </w:pPr>
    </w:p>
    <w:p>
      <w:pPr>
        <w:ind w:left="660" w:hanging="634"/>
        <w:spacing w:after="0" w:line="237"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of 1934 (17 CFR 240.13p-1) for the reporting period from January 1 to December 31, 2021</w:t>
      </w:r>
    </w:p>
    <w:p>
      <w:pPr>
        <w:spacing w:after="0" w:line="10"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of 1934 (17 CFR 240.13q-1) for the fiscal year ended _________</w:t>
      </w:r>
    </w:p>
    <w:p>
      <w:pPr>
        <w:sectPr>
          <w:pgSz w:w="11900" w:h="16838" w:orient="portrait"/>
          <w:cols w:equalWidth="0" w:num="1">
            <w:col w:w="10200"/>
          </w:cols>
          <w:pgMar w:left="320" w:top="1440" w:right="1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87"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i w:val="1"/>
          <w:iCs w:val="1"/>
          <w:color w:val="auto"/>
        </w:rPr>
        <w:t>Item 1.01</w:t>
      </w:r>
      <w:r>
        <w:rPr>
          <w:sz w:val="20"/>
          <w:szCs w:val="20"/>
          <w:color w:val="auto"/>
        </w:rPr>
        <w:tab/>
      </w:r>
      <w:r>
        <w:rPr>
          <w:rFonts w:ascii="Times New Roman" w:cs="Times New Roman" w:eastAsia="Times New Roman" w:hAnsi="Times New Roman"/>
          <w:sz w:val="17"/>
          <w:szCs w:val="17"/>
          <w:i w:val="1"/>
          <w:iCs w:val="1"/>
          <w:color w:val="auto"/>
        </w:rPr>
        <w:t>Conflict Minerals Disclosure and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3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The Company has filed a Conflict Minerals Report, included as Exhibit 1.01 to this Form, and made this Form SD and the Conflict Minerals Report available on its website, www.tjx.com, in the Investors: Financial Information: SEC filings section at: https://investor.tjx.com/investors/financial-information/sec-filings.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appearing on TJX.com is not a part of, and is not incorporated by reference into, this Form SD.</w:t>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1020" w:val="left"/>
        </w:tabs>
        <w:rPr>
          <w:sz w:val="20"/>
          <w:szCs w:val="20"/>
          <w:color w:val="auto"/>
        </w:rPr>
      </w:pPr>
      <w:r>
        <w:rPr>
          <w:rFonts w:ascii="Times New Roman" w:cs="Times New Roman" w:eastAsia="Times New Roman" w:hAnsi="Times New Roman"/>
          <w:sz w:val="18"/>
          <w:szCs w:val="18"/>
          <w:i w:val="1"/>
          <w:iCs w:val="1"/>
          <w:color w:val="auto"/>
        </w:rPr>
        <w:t>Item 1.02</w:t>
      </w:r>
      <w:r>
        <w:rPr>
          <w:sz w:val="20"/>
          <w:szCs w:val="20"/>
          <w:color w:val="auto"/>
        </w:rPr>
        <w:tab/>
      </w:r>
      <w:r>
        <w:rPr>
          <w:rFonts w:ascii="Times New Roman" w:cs="Times New Roman" w:eastAsia="Times New Roman" w:hAnsi="Times New Roman"/>
          <w:sz w:val="17"/>
          <w:szCs w:val="17"/>
          <w:i w:val="1"/>
          <w:iCs w:val="1"/>
          <w:color w:val="auto"/>
        </w:rPr>
        <w:t>Exhibit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hereby filing its Conflict Minerals Report as Exhibit 1.01 to this Form.</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Item 2.01</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3</w:t>
            </w:r>
          </w:p>
        </w:tc>
        <w:tc>
          <w:tcPr>
            <w:tcW w:w="105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 Exhibits</w:t>
            </w:r>
          </w:p>
        </w:tc>
      </w:tr>
      <w:tr>
        <w:trPr>
          <w:trHeight w:val="391"/>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w w:val="99"/>
              </w:rPr>
              <w:t>Item 3.01</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
          </w:tcPr>
          <w:p>
            <w:pPr>
              <w:ind w:left="260"/>
              <w:spacing w:after="0"/>
              <w:rPr>
                <w:sz w:val="20"/>
                <w:szCs w:val="20"/>
                <w:color w:val="auto"/>
              </w:rPr>
            </w:pPr>
            <w:r>
              <w:rPr>
                <w:rFonts w:ascii="Times New Roman" w:cs="Times New Roman" w:eastAsia="Times New Roman" w:hAnsi="Times New Roman"/>
                <w:sz w:val="18"/>
                <w:szCs w:val="18"/>
                <w:i w:val="1"/>
                <w:iCs w:val="1"/>
                <w:color w:val="auto"/>
              </w:rPr>
              <w:t>Exhibits</w:t>
            </w:r>
          </w:p>
        </w:tc>
      </w:tr>
      <w:tr>
        <w:trPr>
          <w:trHeight w:val="545"/>
        </w:trPr>
        <w:tc>
          <w:tcPr>
            <w:tcW w:w="720" w:type="dxa"/>
            <w:vAlign w:val="bottom"/>
            <w:gridSpan w:val="2"/>
          </w:tcPr>
          <w:p>
            <w:pPr>
              <w:ind w:left="20"/>
              <w:spacing w:after="0"/>
              <w:rPr>
                <w:sz w:val="20"/>
                <w:szCs w:val="20"/>
                <w:color w:val="auto"/>
              </w:rPr>
            </w:pPr>
            <w:r>
              <w:rPr>
                <w:rFonts w:ascii="Arial" w:cs="Arial" w:eastAsia="Arial" w:hAnsi="Arial"/>
                <w:sz w:val="14"/>
                <w:szCs w:val="14"/>
                <w:color w:val="auto"/>
              </w:rPr>
              <w:t>Exhibit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2"/>
        </w:trPr>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r>
      <w:tr>
        <w:trPr>
          <w:trHeight w:val="385"/>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Conflict Minerals Report, as described in Items 1.01 and 1.02 of this Form.</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TJX COMPANIES, INC.</w:t>
            </w:r>
          </w:p>
        </w:tc>
        <w:tc>
          <w:tcPr>
            <w:tcW w:w="3860" w:type="dxa"/>
            <w:vAlign w:val="bottom"/>
          </w:tcPr>
          <w:p>
            <w:pPr>
              <w:spacing w:after="0"/>
              <w:rPr>
                <w:sz w:val="20"/>
                <w:szCs w:val="20"/>
                <w:color w:val="auto"/>
              </w:rPr>
            </w:pPr>
          </w:p>
        </w:tc>
      </w:tr>
      <w:tr>
        <w:trPr>
          <w:trHeight w:val="432"/>
        </w:trPr>
        <w:tc>
          <w:tcPr>
            <w:tcW w:w="5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Goldenberg</w:t>
            </w:r>
          </w:p>
        </w:tc>
        <w:tc>
          <w:tcPr>
            <w:tcW w:w="3860" w:type="dxa"/>
            <w:vAlign w:val="bottom"/>
          </w:tcPr>
          <w:p>
            <w:pPr>
              <w:ind w:left="2320"/>
              <w:spacing w:after="0"/>
              <w:rPr>
                <w:sz w:val="20"/>
                <w:szCs w:val="20"/>
                <w:color w:val="auto"/>
              </w:rPr>
            </w:pPr>
            <w:r>
              <w:rPr>
                <w:rFonts w:ascii="Times New Roman" w:cs="Times New Roman" w:eastAsia="Times New Roman" w:hAnsi="Times New Roman"/>
                <w:sz w:val="18"/>
                <w:szCs w:val="18"/>
                <w:color w:val="auto"/>
                <w:w w:val="99"/>
              </w:rPr>
              <w:t>Dated: May 27, 2022</w:t>
            </w:r>
          </w:p>
        </w:tc>
      </w:tr>
      <w:tr>
        <w:trPr>
          <w:trHeight w:val="21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 Scott Goldenberg</w:t>
            </w:r>
          </w:p>
        </w:tc>
        <w:tc>
          <w:tcPr>
            <w:tcW w:w="3860" w:type="dxa"/>
            <w:vAlign w:val="bottom"/>
          </w:tcPr>
          <w:p>
            <w:pPr>
              <w:spacing w:after="0"/>
              <w:rPr>
                <w:sz w:val="18"/>
                <w:szCs w:val="18"/>
                <w:color w:val="auto"/>
              </w:rPr>
            </w:pP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Executive Vice President,</w:t>
            </w:r>
          </w:p>
        </w:tc>
        <w:tc>
          <w:tcPr>
            <w:tcW w:w="3860" w:type="dxa"/>
            <w:vAlign w:val="bottom"/>
          </w:tcPr>
          <w:p>
            <w:pPr>
              <w:spacing w:after="0"/>
              <w:rPr>
                <w:sz w:val="19"/>
                <w:szCs w:val="19"/>
                <w:color w:val="auto"/>
              </w:rPr>
            </w:pPr>
          </w:p>
        </w:tc>
      </w:t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8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40"/>
          </w:cols>
          <w:pgMar w:left="320" w:top="1413"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TJX Companies, Inc.</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Conflict Minerals Report for the reporting period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from January 1, 2021 to December 31, 2021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Under the Securities Exchange Act of 1934, Rule 13p-1 and Form SD (collectively, the </w:t>
      </w:r>
      <w:r>
        <w:rPr>
          <w:rFonts w:ascii="Times New Roman" w:cs="Times New Roman" w:eastAsia="Times New Roman" w:hAnsi="Times New Roman"/>
          <w:sz w:val="18"/>
          <w:szCs w:val="18"/>
          <w:b w:val="1"/>
          <w:bCs w:val="1"/>
          <w:i w:val="1"/>
          <w:iCs w:val="1"/>
          <w:color w:val="auto"/>
        </w:rPr>
        <w:t>Rule</w:t>
      </w:r>
      <w:r>
        <w:rPr>
          <w:rFonts w:ascii="Times New Roman" w:cs="Times New Roman" w:eastAsia="Times New Roman" w:hAnsi="Times New Roman"/>
          <w:sz w:val="18"/>
          <w:szCs w:val="18"/>
          <w:color w:val="auto"/>
        </w:rPr>
        <w:t xml:space="preserve">), public companies are required to report certain information when they manufacture or contract to manufacture products where specified minerals, defined as conflict minerals, are determined to be necessary to the functionality or production of those products. These minerals, which also are often referred to as </w:t>
      </w:r>
      <w:r>
        <w:rPr>
          <w:rFonts w:ascii="Times New Roman" w:cs="Times New Roman" w:eastAsia="Times New Roman" w:hAnsi="Times New Roman"/>
          <w:sz w:val="18"/>
          <w:szCs w:val="18"/>
          <w:b w:val="1"/>
          <w:bCs w:val="1"/>
          <w:i w:val="1"/>
          <w:iCs w:val="1"/>
          <w:color w:val="auto"/>
        </w:rPr>
        <w:t>3TG</w:t>
      </w:r>
      <w:r>
        <w:rPr>
          <w:rFonts w:ascii="Times New Roman" w:cs="Times New Roman" w:eastAsia="Times New Roman" w:hAnsi="Times New Roman"/>
          <w:sz w:val="18"/>
          <w:szCs w:val="18"/>
          <w:color w:val="auto"/>
        </w:rPr>
        <w:t xml:space="preserve">, are columbite-tantalite (coltan), cassiterite and wolframite (including their derivatives, which for the purpose of the Rule are tin, tantalum, and tungsten) and gold. Companies are required to perform an assessment, referred to as a reasonable country of origin inquiry, or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xml:space="preserve">, to determine if the 3TG present in these products originated, or may have originated, in the region covered by the Rule, meaning the Democratic Republic of the Congo (referred to as the </w:t>
      </w:r>
      <w:r>
        <w:rPr>
          <w:rFonts w:ascii="Times New Roman" w:cs="Times New Roman" w:eastAsia="Times New Roman" w:hAnsi="Times New Roman"/>
          <w:sz w:val="18"/>
          <w:szCs w:val="18"/>
          <w:b w:val="1"/>
          <w:bCs w:val="1"/>
          <w:i w:val="1"/>
          <w:iCs w:val="1"/>
          <w:color w:val="auto"/>
        </w:rPr>
        <w:t>DRC</w:t>
      </w:r>
      <w:r>
        <w:rPr>
          <w:rFonts w:ascii="Times New Roman" w:cs="Times New Roman" w:eastAsia="Times New Roman" w:hAnsi="Times New Roman"/>
          <w:sz w:val="18"/>
          <w:szCs w:val="18"/>
          <w:color w:val="auto"/>
        </w:rPr>
        <w:t xml:space="preserve">) and the adjoining countries, consisting of Angola, Burundi, Central African Republic, the Republic of the Congo, Rwanda, South Sudan, Tanzania, Uganda, and Zambia (collectively with the DRC, the </w:t>
      </w:r>
      <w:r>
        <w:rPr>
          <w:rFonts w:ascii="Times New Roman" w:cs="Times New Roman" w:eastAsia="Times New Roman" w:hAnsi="Times New Roman"/>
          <w:sz w:val="18"/>
          <w:szCs w:val="18"/>
          <w:b w:val="1"/>
          <w:bCs w:val="1"/>
          <w:i w:val="1"/>
          <w:iCs w:val="1"/>
          <w:color w:val="auto"/>
        </w:rPr>
        <w:t>DRC Region</w:t>
      </w:r>
      <w:r>
        <w:rPr>
          <w:rFonts w:ascii="Times New Roman" w:cs="Times New Roman" w:eastAsia="Times New Roman" w:hAnsi="Times New Roman"/>
          <w:sz w:val="18"/>
          <w:szCs w:val="18"/>
          <w:color w:val="auto"/>
        </w:rPr>
        <w:t>). The Rule also provides that companies must perform additional diligence on the source and chain of custody of 3TG that originated in the DRC Region and are not from recycled or scrap sources, or that the company has reason to believe may have originated in the DRC Region and may not be from recycled or scrap 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2"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TJX Companies, Inc. (</w:t>
      </w:r>
      <w:r>
        <w:rPr>
          <w:rFonts w:ascii="Times New Roman" w:cs="Times New Roman" w:eastAsia="Times New Roman" w:hAnsi="Times New Roman"/>
          <w:sz w:val="18"/>
          <w:szCs w:val="18"/>
          <w:b w:val="1"/>
          <w:bCs w:val="1"/>
          <w:i w:val="1"/>
          <w:iCs w:val="1"/>
          <w:color w:val="auto"/>
        </w:rPr>
        <w:t>TJX</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an off-price retailer of apparel and home fashions with approximately 4,700 stores across three continents in nine countries, offering a rapidly changing assortment of merchandise, including apparel and home fashions. The Company’s strategies to acquire merchandise are intentionally flexible to allow the buying organization to react to frequently changing opportunities and trends in the market and to adjust how and what is acquired as well as when it is acquired.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Scoping; Reasonable Country of Origin Inquiry</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Products acquired by TJX that TJX does not manufacture or “contract to manufacture” (as described in the Rule) are outside of the scope of the Rule and this Report. A portion of the products sold by TJX could be in scope, which, under the Rule and Securities and Exchange Commission guidance, depends on whether a product contains 3TG, the degree of influence exercised by TJX over the materials, parts, ingredients, or components included in the product and whether the 3TG is necessary to the functionality or production of the product. The portion of products sold by TJX that it believes could be considered to be in scope under the Rule are referred to in this Report as </w:t>
      </w:r>
      <w:r>
        <w:rPr>
          <w:rFonts w:ascii="Times New Roman" w:cs="Times New Roman" w:eastAsia="Times New Roman" w:hAnsi="Times New Roman"/>
          <w:sz w:val="18"/>
          <w:szCs w:val="18"/>
          <w:b w:val="1"/>
          <w:bCs w:val="1"/>
          <w:i w:val="1"/>
          <w:iCs w:val="1"/>
          <w:color w:val="auto"/>
        </w:rPr>
        <w:t>In-scope Products</w:t>
      </w:r>
      <w:r>
        <w:rPr>
          <w:rFonts w:ascii="Times New Roman" w:cs="Times New Roman" w:eastAsia="Times New Roman" w:hAnsi="Times New Roman"/>
          <w:sz w:val="18"/>
          <w:szCs w:val="18"/>
          <w:color w:val="auto"/>
        </w:rPr>
        <w:t>. In part because of the geographic diversity and changing nature of TJX’s product mix, the In-scope Products reflect a changing variety of complicated supply chains of many different vendors, with a number of third parties between the original source of any raw materials, the manufacturer, and TJX. TJX does not own or control manufacturing facilities, smelters, or mines and believes that it is at least several layers removed from the mining of any minerals from a specific mine and from any smelter or refiner providing minerals for In-scope Products.</w:t>
      </w:r>
    </w:p>
    <w:p>
      <w:pPr>
        <w:spacing w:after="0" w:line="21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For its RCOI, TJX used the management systems contemplated by Step One of the OECD Guidance (defined below) and the vendor engagement process contemplated by Step Two of the OECD Guidance. These steps and the related activities are further discussed below under “</w:t>
      </w:r>
      <w:r>
        <w:rPr>
          <w:rFonts w:ascii="Times New Roman" w:cs="Times New Roman" w:eastAsia="Times New Roman" w:hAnsi="Times New Roman"/>
          <w:sz w:val="18"/>
          <w:szCs w:val="18"/>
          <w:i w:val="1"/>
          <w:iCs w:val="1"/>
          <w:color w:val="auto"/>
        </w:rPr>
        <w:t>Description of Diligence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Design and Diligence Performed</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To determine whether any products might have been sourced from the DRC region, TJX used the Conflict Minerals Reporting Template (referred to as the </w:t>
      </w:r>
      <w:r>
        <w:rPr>
          <w:rFonts w:ascii="Times New Roman" w:cs="Times New Roman" w:eastAsia="Times New Roman" w:hAnsi="Times New Roman"/>
          <w:sz w:val="18"/>
          <w:szCs w:val="18"/>
          <w:b w:val="1"/>
          <w:bCs w:val="1"/>
          <w:i w:val="1"/>
          <w:iCs w:val="1"/>
          <w:color w:val="auto"/>
        </w:rPr>
        <w:t xml:space="preserve">CMRT </w:t>
      </w:r>
      <w:r>
        <w:rPr>
          <w:rFonts w:ascii="Times New Roman" w:cs="Times New Roman" w:eastAsia="Times New Roman" w:hAnsi="Times New Roman"/>
          <w:sz w:val="18"/>
          <w:szCs w:val="18"/>
          <w:color w:val="auto"/>
        </w:rPr>
        <w:t>in this Report) developed by the Responsible Minerals Initiative, or</w:t>
      </w:r>
      <w:r>
        <w:rPr>
          <w:rFonts w:ascii="Times New Roman" w:cs="Times New Roman" w:eastAsia="Times New Roman" w:hAnsi="Times New Roman"/>
          <w:sz w:val="18"/>
          <w:szCs w:val="18"/>
          <w:b w:val="1"/>
          <w:bCs w:val="1"/>
          <w:i w:val="1"/>
          <w:iCs w:val="1"/>
          <w:color w:val="auto"/>
        </w:rPr>
        <w:t xml:space="preserve"> RMI</w:t>
      </w:r>
      <w:r>
        <w:rPr>
          <w:rFonts w:ascii="Times New Roman" w:cs="Times New Roman" w:eastAsia="Times New Roman" w:hAnsi="Times New Roman"/>
          <w:sz w:val="18"/>
          <w:szCs w:val="18"/>
          <w:color w:val="auto"/>
        </w:rPr>
        <w:t>, to survey vendors that it believed potentially supplied In-scope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(referred to in this Report as </w:t>
      </w:r>
      <w:r>
        <w:rPr>
          <w:rFonts w:ascii="Times New Roman" w:cs="Times New Roman" w:eastAsia="Times New Roman" w:hAnsi="Times New Roman"/>
          <w:sz w:val="18"/>
          <w:szCs w:val="18"/>
          <w:b w:val="1"/>
          <w:bCs w:val="1"/>
          <w:i w:val="1"/>
          <w:iCs w:val="1"/>
          <w:color w:val="auto"/>
        </w:rPr>
        <w:t>Covered Vendors</w:t>
      </w:r>
      <w:r>
        <w:rPr>
          <w:rFonts w:ascii="Times New Roman" w:cs="Times New Roman" w:eastAsia="Times New Roman" w:hAnsi="Times New Roman"/>
          <w:sz w:val="18"/>
          <w:szCs w:val="18"/>
          <w:color w:val="auto"/>
        </w:rPr>
        <w:t>) with questions about their 3TG use and supply chain. The Company assessed the responses according to a set of written risk-based evaluation criteria established by the Company relating to the completeness and reliability of the responses. For example, the Company would consider a response to be incomplete and to require more information from the Covered Vendor if it indicated that it sourced only from outside the DRC region but did not provide information about its smelters as support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3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that conclusion or did not provide sufficient information about its internal compliance program and diligence practices to support that conclusion.</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was unable to determine the origin of at least a portion of the necessary 3TG in its In-scope Products. It exercised due diligence,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Diligence Design and Diligence Performed</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TJX’s diligence framework was designed to materially conform to the Organisation for Economic Co-operation and Development’s Due Diligence Guidance for Responsible Supply Chains of Minerals from Conflict-Affected and High-Risk Areas (Third Edition), including the Supplement on Tin, Tantalum and Tungsten and the Supplement on Gold (the </w:t>
      </w:r>
      <w:r>
        <w:rPr>
          <w:rFonts w:ascii="Times New Roman" w:cs="Times New Roman" w:eastAsia="Times New Roman" w:hAnsi="Times New Roman"/>
          <w:sz w:val="18"/>
          <w:szCs w:val="18"/>
          <w:b w:val="1"/>
          <w:bCs w:val="1"/>
          <w:i w:val="1"/>
          <w:iCs w:val="1"/>
          <w:color w:val="auto"/>
        </w:rPr>
        <w:t>OECD Guidance</w:t>
      </w:r>
      <w:r>
        <w:rPr>
          <w:rFonts w:ascii="Times New Roman" w:cs="Times New Roman" w:eastAsia="Times New Roman" w:hAnsi="Times New Roman"/>
          <w:sz w:val="18"/>
          <w:szCs w:val="18"/>
          <w:color w:val="auto"/>
        </w:rPr>
        <w:t>). The OECD Guidance has established a five-step framework for due diligence as a basis for responsible global supply chain management of minerals from conflict-affected and high-risk areas. The headings below conform to the headings used in the OECD Guidance for each of the five steps.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 strong company management systems</w:t>
      </w:r>
    </w:p>
    <w:p>
      <w:pPr>
        <w:spacing w:after="0" w:line="2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Executive leadership of our 3TG compliance program rests with our SVP, Chief Risk and Compliance Officer. TJX has established a conflict minerals steering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including the SVP, Chief Risk and Compliance Officer; the SVP, Internal Audit; and VPs and other representatives from the compliance/risk and legal functions, to implement and oversee its 3TG compliance program. The Company also consulted with specialist outside counsel to advise it in connection with its compliance efforts and reporting.</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Committee worked with leaders in various functions at the Company, including merchandising, compliance, legal, and internal audit, to review its diligence program and vendor training. Training has typically been done through specific outreach relating to the Company’s 3TG compliance program and as a topic integrated with the Company’s more general established training programs, which included in-person compliance trainings conducted for certain vendors of the Company at various global locations. Due to the COVID-19 pandemic, TJX has been temporarily unable to conduct its typical in-person vendor training sessions covering its 3TG compliance. However, it has been holding remote vendor compliance trainings.</w:t>
      </w:r>
    </w:p>
    <w:p>
      <w:pPr>
        <w:spacing w:after="0" w:line="2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Committee also has a conflict minerals policy which, among other things, sets forth TJX’s expectations that its vendors not knowingly source 3TGs in a way that would benefit armed forces in the DRC region and that vendors cooperate in the diligence process, including by reaching out to their vendors, as necessary. TJX provides the policy to its vendors through a corporate vendor intranet and contractually requires vendors to adhere to the policy via its purchase order terms and conditions. TJX does not use its policy to embargo responsible sourcing of 3TGs from the DRC region. The Company’s policy is available to the public on its website in the Evolving Issues section of the Responsible Sourcing page in the Responsible Business section of the TJX corporate website, TJX.com (https://www.tjx.com/responsibility/responsible-business/responsible-sourcing). Information appearing on www.TJX.com is not a part of, and is not incorporated by reference into, this Conflict Minerals Report or the Form SD of which it is a part.</w:t>
      </w:r>
    </w:p>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website page on which the policy is posted includes a grievance mechanism relating to issues concerning 3TG, among others, indicating that concerns can be reported to the Company’s Chief Compliance Officer at complianceofficer@tjx.com. Compliance concerns can also be reported through the reporting mechanism in the TJX Global Code of Conduct. This mechanism includes contacting the Company’s Chief Compliance Officer at complianceofficer@tjx.com, using the established helpline, or other contacts included in the Contacts and Reporting section of the Global Code of Conduct.</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Additionally, TJX maintains a company-wide document retention policy, which extends to the documents accumulated in performing due diligence for this Report. The required retention period for such documents is at least five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Identify and assess risk in the supply chain</w:t>
      </w:r>
    </w:p>
    <w:p>
      <w:pPr>
        <w:spacing w:after="0" w:line="252"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As discussed under “</w:t>
      </w:r>
      <w:r>
        <w:rPr>
          <w:rFonts w:ascii="Times New Roman" w:cs="Times New Roman" w:eastAsia="Times New Roman" w:hAnsi="Times New Roman"/>
          <w:sz w:val="18"/>
          <w:szCs w:val="18"/>
          <w:i w:val="1"/>
          <w:iCs w:val="1"/>
          <w:color w:val="auto"/>
        </w:rPr>
        <w:t>Product Scoping; Reasonable Country of Origin Inquiry</w:t>
      </w:r>
      <w:r>
        <w:rPr>
          <w:rFonts w:ascii="Times New Roman" w:cs="Times New Roman" w:eastAsia="Times New Roman" w:hAnsi="Times New Roman"/>
          <w:sz w:val="18"/>
          <w:szCs w:val="18"/>
          <w:color w:val="auto"/>
        </w:rPr>
        <w:t>,” TJX used a survey process to request supply chain information from the Covered Vendors to assess the sourcing of the 3TG its In-scope Products. TJX used the CMRT and, to the extent required, made multiple follow-up requests to work to obtain complete and reliable responses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7" w:right="339" w:bottom="1440" w:gutter="0" w:footer="0" w:header="0"/>
        </w:sectPr>
      </w:pPr>
    </w:p>
    <w:bookmarkStart w:id="5" w:name="page6"/>
    <w:bookmarkEnd w:id="5"/>
    <w:p>
      <w:pPr>
        <w:ind w:right="180"/>
        <w:spacing w:after="0" w:line="266" w:lineRule="auto"/>
        <w:rPr>
          <w:sz w:val="20"/>
          <w:szCs w:val="20"/>
          <w:color w:val="auto"/>
        </w:rPr>
      </w:pPr>
      <w:r>
        <w:rPr>
          <w:rFonts w:ascii="Times New Roman" w:cs="Times New Roman" w:eastAsia="Times New Roman" w:hAnsi="Times New Roman"/>
          <w:sz w:val="18"/>
          <w:szCs w:val="18"/>
          <w:color w:val="auto"/>
        </w:rPr>
        <w:t>Covered Vendors. TJX also provided supplementary instructional materials to help Covered Vendors understand and complete the CMRT, as well as to understand the Company’s conflict minerals policy. As part of this process, TJX communicated its expectations that Covered Vendors cooperate with the Company’s compliance efforts and, as necessary, reach out to third parties within their own supply chains to collect relevant information.</w:t>
      </w:r>
    </w:p>
    <w:p>
      <w:pPr>
        <w:spacing w:after="0" w:line="2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TJX evaluated the information provided by each Covered Vendor determined to be in scope. If the other information provided was determined to be complete and reliable under the Company’s established protocol, TJX reviewed the Covered Vendor’s smelter and refiner information. TJX compared smelters and refiners identified in the Covered Vendors’ responses against lists of facilities certified as </w:t>
      </w:r>
      <w:r>
        <w:rPr>
          <w:rFonts w:ascii="Times New Roman" w:cs="Times New Roman" w:eastAsia="Times New Roman" w:hAnsi="Times New Roman"/>
          <w:sz w:val="18"/>
          <w:szCs w:val="18"/>
          <w:b w:val="1"/>
          <w:bCs w:val="1"/>
          <w:i w:val="1"/>
          <w:iCs w:val="1"/>
          <w:color w:val="auto"/>
        </w:rPr>
        <w:t>Conformant</w:t>
      </w:r>
      <w:r>
        <w:rPr>
          <w:rFonts w:ascii="Times New Roman" w:cs="Times New Roman" w:eastAsia="Times New Roman" w:hAnsi="Times New Roman"/>
          <w:sz w:val="18"/>
          <w:szCs w:val="18"/>
          <w:color w:val="auto"/>
        </w:rPr>
        <w:t xml:space="preserve"> (as defined in Appendix A to this report) with the Responsible Minerals Assurance Process assessment protocols, or </w:t>
      </w:r>
      <w:r>
        <w:rPr>
          <w:rFonts w:ascii="Times New Roman" w:cs="Times New Roman" w:eastAsia="Times New Roman" w:hAnsi="Times New Roman"/>
          <w:sz w:val="18"/>
          <w:szCs w:val="18"/>
          <w:b w:val="1"/>
          <w:bCs w:val="1"/>
          <w:i w:val="1"/>
          <w:iCs w:val="1"/>
          <w:color w:val="auto"/>
        </w:rPr>
        <w:t>RMAP</w:t>
      </w:r>
      <w:r>
        <w:rPr>
          <w:rFonts w:ascii="Times New Roman" w:cs="Times New Roman" w:eastAsia="Times New Roman" w:hAnsi="Times New Roman"/>
          <w:sz w:val="18"/>
          <w:szCs w:val="18"/>
          <w:color w:val="auto"/>
        </w:rPr>
        <w:t>, to help determine if the identified facility was a smelter or refiner and to determine if the Covered Vendors’ 3TG minerals were sourced from mines that did not finance or benefit armed groups in the DRC Region. If the information provided by a Covered Vendor was determined to be incomplete or unreliable under the Company’s protocol, TJX considered the information insufficient for a reliable evaluation of that Covered Vendor’s 3TG supply chain.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Design and implement a strategy to respond to identified risks</w:t>
      </w:r>
    </w:p>
    <w:p>
      <w:pPr>
        <w:spacing w:after="0" w:line="25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Using the assessment protocol described above, TJX categorized the responses to identify Covered Vendors who provided responses that were deemed insufficient for a reliable analysis, including because they provided incomplete information. To mitigate sourcing risk, TJX engaged in the vendor communications and follow-up process described above. The Committee briefed representatives of TJX management, including members of its senior executive team, on its findings and risk assessment.</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to the extent that identified smelters and refiners are not listed as Conformant, the Company seeks to exercise leverage over and encourage the smelters and refiners to become Conformant through its membership in the RMI. Among other things, the RMI conducts outreach to non-Conformant smelters and refiners. The Company also utilizes information provided by the RMI to its members to monitor smelter and refiner improvement.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Carry out independent third-party audits of supply chain due diligence at identified points in the supply chain</w:t>
      </w:r>
    </w:p>
    <w:p>
      <w:pPr>
        <w:spacing w:after="0" w:line="2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its due diligence, the Company utilized and relied on information made available by the RMI concerning independent third-party audits of smelters and refiners to assess smelter and refiner due diligence and to determine whether smelters and refiners are Conformant. Due to its position in the supply chain, the Company does not directly audit smelters and refiners. However, it supports independent third-party audits through its continued membership in the RMI.</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on supply chain due diligence</w:t>
      </w:r>
    </w:p>
    <w:p>
      <w:pPr>
        <w:spacing w:after="0" w:line="25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prepared and filed a Form SD and this Report to publicly report the results of its supply chain due diligence, and it does so on an annual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In-Scope Products and Results of Diligence</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determined that a portion of its products in apparel, including jewelry, and home fashions, could be considered to be In-Scope Products under the Rule.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Through the RCOI and due diligence processes described above on the Company’s Covered Vendors, the Company compiled a list of 462 validated smelters and refiners, meaning the smelter or refiner was included on the CMRT’s Smelter Look-up tab list. Of those 462 smelters and refiners across all 3TG, 230 were listed as Conformant (approximately 50% of the total identified), including 100 for gold (48%), 53 for tin (34%), 40 for tungsten (68%), and 37 for tantalum (97%), and 9 of the refiners were listed as Active (as defined below) by the RMI (0.2% of the total identified), in each case as of May 25, 2022. Forty-three (43), or approximately 19%, of the Conformant smelters and refiners may have sourced from the DRC or an adjoining country, based on information made available by the RMI to its members. A list of the identified smelters and refiners that were identified by the Covered Vendors, together with the RMAP status and country of origin information, can be found in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80"/>
          </w:cols>
          <w:pgMar w:left="320" w:top="1417" w:right="399" w:bottom="1440" w:gutter="0" w:footer="0" w:header="0"/>
        </w:sectPr>
      </w:pPr>
    </w:p>
    <w:bookmarkStart w:id="6" w:name="page7"/>
    <w:bookmarkEnd w:id="6"/>
    <w:p>
      <w:pPr>
        <w:spacing w:after="0" w:line="2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Most of the Covered Vendors reviewed in the diligence process reported their information at a company level rather than at a product level (meaning that they reported the smelters and refiners that processed the 3TG in all of their products, rather than solely those that processed the 3TG for specific products sold to the Company). It therefore generally was not feasible for the Company to connect identified smelters and refiners that were used to process 3TG with specific In-scope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 Mitigation Efforts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expects to take additional steps to refine its 3TG compliance program and enhance its due diligence measures for 2022 to further mitigate the risk that the 3TG in its covered products may support armed groups in the DRC region. These steps include, among others:</w:t>
      </w:r>
    </w:p>
    <w:p>
      <w:pPr>
        <w:spacing w:after="0" w:line="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Continue vendor compliance training, either remote or by returning to in-person training, as earlier described in this Report;</w:t>
      </w:r>
    </w:p>
    <w:p>
      <w:pPr>
        <w:spacing w:after="0" w:line="14"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Working to further increase the response rate for the next reporting cycle;</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Engaging more directly with vendors to improve the quality of responses overall; and</w:t>
      </w:r>
    </w:p>
    <w:p>
      <w:pPr>
        <w:spacing w:after="0" w:line="22" w:lineRule="exact"/>
        <w:rPr>
          <w:rFonts w:ascii="Arial" w:cs="Arial" w:eastAsia="Arial" w:hAnsi="Arial"/>
          <w:sz w:val="22"/>
          <w:szCs w:val="22"/>
          <w:color w:val="auto"/>
        </w:rPr>
      </w:pPr>
    </w:p>
    <w:p>
      <w:pPr>
        <w:ind w:left="660" w:right="240" w:hanging="328"/>
        <w:spacing w:after="0" w:line="234" w:lineRule="auto"/>
        <w:tabs>
          <w:tab w:leader="none" w:pos="655"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Continuing to remind vendors of the requirements under the Rule and the Company’s conflict minerals policy, including its expectations that all Covered Vendors cooperate with its diligence efforts.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This Conflict Minerals Report contains “forward-looking statements” intended to qualify for the safe harbor from liability established by the Private Securities Litigation Reform Act of 1995. Forward-looking statements are inherently subject to risks, uncertainties and potentially inaccurate assumptions. Such statements give the Company’s current expectations or forecasts of future events; they do not relate strictly to historical or current facts. TJX has generally identified such statements by using words indicative of the future such as “anticipate,” “believe,” “could,” “estimate,” “expect,” “forecast,” “intend,” “looking forward,” “may,” “plan,” “potential,” “project,” “should,” “target,” “will” and “would” or any variations of these words or other words with similar meanings. All statements that address activities, events or developments that TJX intends, expects or believes may occur in the future are forward-looking statements within the meaning of Section 27A of the Securities Act of 1933, as amended, and Section 21E of the Securities Exchange Act of 1934, as amended, or Exchange Act. These “forward-looking statements” may relate to such matters as the Company’s future actions and results and the outcome of diligence efforts.</w:t>
      </w:r>
    </w:p>
    <w:p>
      <w:pPr>
        <w:spacing w:after="0" w:line="21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cannot guarantee that the results and other expectations expressed, anticipated or implied in any forward-looking statement will be realized. The risks set forth under Item 1A of the Form 10-K filed with the Securities and Exchange Commission on March 30, 2022 describe major risks to TJX’s</w:t>
      </w:r>
    </w:p>
    <w:p>
      <w:pPr>
        <w:ind w:right="40"/>
        <w:spacing w:after="0" w:line="255" w:lineRule="auto"/>
        <w:rPr>
          <w:sz w:val="20"/>
          <w:szCs w:val="20"/>
          <w:color w:val="auto"/>
        </w:rPr>
      </w:pPr>
      <w:r>
        <w:rPr>
          <w:rFonts w:ascii="Times New Roman" w:cs="Times New Roman" w:eastAsia="Times New Roman" w:hAnsi="Times New Roman"/>
          <w:sz w:val="18"/>
          <w:szCs w:val="18"/>
          <w:color w:val="auto"/>
        </w:rPr>
        <w:t>business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A variety of factors including these risks could cause actual results and other expectations to differ materially from the anticipated results or other expectations expressed, anticipated or implied in the Company’s forward-looking statements. If known or unknown risks materialize, or if underlying assumptions prove inaccurate, actual results could differ materially from past results and those anticipated, estimated or projected in the forward-looking statements. You should bear this in mind as you consider forward-looking statements.</w:t>
      </w:r>
    </w:p>
    <w:p>
      <w:pPr>
        <w:spacing w:after="0" w:line="21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Company’s forward-looking statements speak only as of the dates on which they are made, and the Company does not undertake any obligation to update any forward-looking statement, whether to reflect new information, future events or otherwise. You are advised, however, to consult any further disclosures TJX may make in future reports to the Securities and Exchange Commission, on the Company’s website,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Identified Smelters and Refiners; Country of Origin Information</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Smelter or Refiner</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RMAP</w:t>
            </w:r>
          </w:p>
        </w:tc>
      </w:tr>
      <w:tr>
        <w:trPr>
          <w:trHeight w:val="20"/>
        </w:trPr>
        <w:tc>
          <w:tcPr>
            <w:tcW w:w="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3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Conformant</w:t>
            </w:r>
          </w:p>
        </w:tc>
      </w:tr>
      <w:tr>
        <w:trPr>
          <w:trHeight w:val="48"/>
        </w:trPr>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r>
      <w:tr>
        <w:trPr>
          <w:trHeight w:val="257"/>
        </w:trPr>
        <w:tc>
          <w:tcPr>
            <w:tcW w:w="20" w:type="dxa"/>
            <w:vAlign w:val="bottom"/>
            <w:shd w:val="clear" w:color="auto" w:fill="D9D9D9"/>
          </w:tcPr>
          <w:p>
            <w:pPr>
              <w:spacing w:after="0"/>
              <w:rPr>
                <w:sz w:val="22"/>
                <w:szCs w:val="22"/>
                <w:color w:val="auto"/>
              </w:rPr>
            </w:pPr>
          </w:p>
        </w:tc>
        <w:tc>
          <w:tcPr>
            <w:tcW w:w="490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460" w:type="dxa"/>
            <w:vAlign w:val="bottom"/>
            <w:shd w:val="clear" w:color="auto" w:fill="D9D9D9"/>
          </w:tcPr>
          <w:p>
            <w:pPr>
              <w:spacing w:after="0"/>
              <w:rPr>
                <w:sz w:val="22"/>
                <w:szCs w:val="22"/>
                <w:color w:val="auto"/>
              </w:rPr>
            </w:pPr>
          </w:p>
        </w:tc>
        <w:tc>
          <w:tcPr>
            <w:tcW w:w="1300" w:type="dxa"/>
            <w:vAlign w:val="bottom"/>
            <w:shd w:val="clear" w:color="auto" w:fill="D9D9D9"/>
          </w:tcPr>
          <w:p>
            <w:pPr>
              <w:spacing w:after="0"/>
              <w:rPr>
                <w:sz w:val="22"/>
                <w:szCs w:val="22"/>
                <w:color w:val="auto"/>
              </w:rPr>
            </w:pPr>
          </w:p>
        </w:tc>
        <w:tc>
          <w:tcPr>
            <w:tcW w:w="3220" w:type="dxa"/>
            <w:vAlign w:val="bottom"/>
            <w:shd w:val="clear" w:color="auto" w:fill="D9D9D9"/>
          </w:tcPr>
          <w:p>
            <w:pPr>
              <w:spacing w:after="0"/>
              <w:rPr>
                <w:sz w:val="22"/>
                <w:szCs w:val="22"/>
                <w:color w:val="auto"/>
              </w:rPr>
            </w:pPr>
          </w:p>
        </w:tc>
        <w:tc>
          <w:tcPr>
            <w:tcW w:w="540" w:type="dxa"/>
            <w:vAlign w:val="bottom"/>
            <w:shd w:val="clear" w:color="auto" w:fill="D9D9D9"/>
          </w:tcPr>
          <w:p>
            <w:pPr>
              <w:spacing w:after="0"/>
              <w:rPr>
                <w:sz w:val="22"/>
                <w:szCs w:val="22"/>
                <w:color w:val="auto"/>
              </w:rPr>
            </w:pPr>
          </w:p>
        </w:tc>
        <w:tc>
          <w:tcPr>
            <w:tcW w:w="420" w:type="dxa"/>
            <w:vAlign w:val="bottom"/>
            <w:shd w:val="clear" w:color="auto" w:fill="D9D9D9"/>
          </w:tcPr>
          <w:p>
            <w:pPr>
              <w:spacing w:after="0"/>
              <w:rPr>
                <w:sz w:val="22"/>
                <w:szCs w:val="22"/>
                <w:color w:val="auto"/>
              </w:rPr>
            </w:pPr>
          </w:p>
        </w:tc>
        <w:tc>
          <w:tcPr>
            <w:tcW w:w="380" w:type="dxa"/>
            <w:vAlign w:val="bottom"/>
            <w:shd w:val="clear" w:color="auto" w:fill="D9D9D9"/>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8853 S.p.A.</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Italy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2"/>
        </w:trPr>
        <w:tc>
          <w:tcPr>
            <w:tcW w:w="20" w:type="dxa"/>
            <w:vAlign w:val="bottom"/>
          </w:tcPr>
          <w:p>
            <w:pPr>
              <w:spacing w:after="0"/>
              <w:rPr>
                <w:sz w:val="21"/>
                <w:szCs w:val="21"/>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African Gold Refinery</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Uganda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United Arab Emirates</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 Ghaith Gold</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United Arab Emirates</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Allgemeine Gold-und Silberscheideanstalt A.G.</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Germany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Uzbekistan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Switzerland</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ARY Aurum Plus</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United Arab Emirates</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Asahi Pretec Corp.</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Canada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Turkey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 Traders and Refiners</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South Africa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Aurubis AG</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Germany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Bangalore Refinery</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India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Philippines</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Boliden AB</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Sweden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 Hafner GmbH + Co. KG</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Germany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 Metales Procesados Industriales SAS</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Colombia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Caridad</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Mexico</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Canada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Cendres + Metaux S.A.</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Switzerland</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CGR Metalloys Pvt Ltd.</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India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Chimet S.p.A.</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Italy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Chugai Mining</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Daejin Indus Co., Ltd.</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Korea, Republic of</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Germany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Dijllah Gold Refinery FZC</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United Arab Emirates</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DODUCO Contacts and Refining GmbH</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Germany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Dowa</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DSC (Do Sung Corporation)</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Korea, Republic of</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49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bl>
    <w:p>
      <w:pPr>
        <w:spacing w:after="0" w:line="200" w:lineRule="exact"/>
        <w:rPr>
          <w:sz w:val="20"/>
          <w:szCs w:val="20"/>
          <w:color w:val="auto"/>
        </w:rPr>
      </w:pPr>
    </w:p>
    <w:p>
      <w:pPr>
        <w:sectPr>
          <w:pgSz w:w="11900" w:h="16838" w:orient="portrait"/>
          <w:cols w:equalWidth="0" w:num="1">
            <w:col w:w="11240"/>
          </w:cols>
          <w:pgMar w:left="320" w:top="14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ectPr>
          <w:pgSz w:w="11900" w:h="16838" w:orient="portrait"/>
          <w:cols w:equalWidth="0" w:num="1">
            <w:col w:w="11240"/>
          </w:cols>
          <w:pgMar w:left="320" w:top="1427" w:right="339" w:bottom="1440" w:gutter="0" w:footer="0" w:header="0"/>
          <w:type w:val="continuous"/>
        </w:sectPr>
      </w:pPr>
    </w:p>
    <w:bookmarkStart w:id="8" w:name="page9"/>
    <w:bookmarkEnd w:id="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Smelter or Refiner</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RMAP</w:t>
            </w:r>
          </w:p>
        </w:tc>
      </w:tr>
      <w:tr>
        <w:trPr>
          <w:trHeight w:val="20"/>
        </w:trPr>
        <w:tc>
          <w:tcPr>
            <w:tcW w:w="14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60" w:type="dxa"/>
            <w:vAlign w:val="bottom"/>
            <w:tcBorders>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7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Elemetal Refining, LLC</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Emirates Gold DMCC</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United Arab Emirates</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Zimbabwe</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Fujairah Gold FZC</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United Arab Emirates</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GCC Gujrat Gold Centre Pvt.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Geib Refining Corporation</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 Coast Refinery</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Ghana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Hua Jian Trade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JINXIAN GAOXIN CAI LIAO GONG SI</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Hang Seng Technology</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Heimerle + Meule GmbH</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Henan Yuguang Gold &amp; Lead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Hetai Gold Mineral Guangdong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Hop Hing electroplating factory Zhejiang</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Hung Cheong Metal Manufacturing Limited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HwaSeong CJ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Korea, Republic of</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United Arab Emirates</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Istanbul Gold Refinery</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Turkey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Italpreziosi</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Italy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JALAN &amp; Company</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India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 Mint</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Copper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 Jinyin Refining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Jinlong Copper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Russian Federation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JSC Novosibirsk Refinery</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Russian Federation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JSC Uralelectromed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Russian Federation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Kaloti Precious Metals</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United Arab Emirates</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Kazakhmys Smelting LLC</w:t>
            </w:r>
          </w:p>
        </w:tc>
        <w:tc>
          <w:tcPr>
            <w:tcW w:w="48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Kazakhstan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bl>
    <w:p>
      <w:pPr>
        <w:spacing w:after="0" w:line="200" w:lineRule="exact"/>
        <w:rPr>
          <w:sz w:val="20"/>
          <w:szCs w:val="20"/>
          <w:color w:val="auto"/>
        </w:rPr>
      </w:pPr>
    </w:p>
    <w:p>
      <w:pPr>
        <w:sectPr>
          <w:pgSz w:w="11900" w:h="16838" w:orient="portrait"/>
          <w:cols w:equalWidth="0" w:num="1">
            <w:col w:w="10840"/>
          </w:cols>
          <w:pgMar w:left="34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A-2</w:t>
      </w:r>
    </w:p>
    <w:p>
      <w:pPr>
        <w:sectPr>
          <w:pgSz w:w="11900" w:h="16838" w:orient="portrait"/>
          <w:cols w:equalWidth="0" w:num="1">
            <w:col w:w="10840"/>
          </w:cols>
          <w:pgMar w:left="340" w:top="1440" w:right="719" w:bottom="1440" w:gutter="0" w:footer="0" w:header="0"/>
          <w:type w:val="continuous"/>
        </w:sectPr>
      </w:pPr>
    </w:p>
    <w:bookmarkStart w:id="9" w:name="page10"/>
    <w:bookmarkEnd w:id="9"/>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Smelter or Refiner</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RMAP</w:t>
            </w:r>
          </w:p>
        </w:tc>
      </w:tr>
      <w:tr>
        <w:trPr>
          <w:trHeight w:val="20"/>
        </w:trPr>
        <w:tc>
          <w:tcPr>
            <w:tcW w:w="144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60" w:type="dxa"/>
            <w:vAlign w:val="bottom"/>
            <w:tcBorders>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7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Kazzinc</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Kazakhstan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Kennecott Utah Copper LLC</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Poland</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Kojima Chemicals Co.,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Korea Zinc Co.,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Kosak Seiren</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Kyrgyzaltyn JSC</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Kyrgyzstan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Saudi Arabia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Lingbao Gold Co.,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L'Orfebre S.A.</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Andorra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LS-NIKKO Copper Inc.</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LT Metal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Marsam Metals</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Brazil</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Materion</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Matsuda Sangyo Co.,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South Africa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Singapore</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Metalor Technologies S.A.</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Mexico</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MMTC-PAMP India Pvt.,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Malaysia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Morris and Watson</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New Zealan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Morris and Watson Gold Coast</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Australia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Turkey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Uzbekistan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NH Recytech Company</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Korea, Republic of</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Nihon Material Co.,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Nihon Material Corporation</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Nihon Superior Co.,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Nyrstar Metals</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Austria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25"/>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47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Krastsvetmet)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840"/>
          </w:cols>
          <w:pgMar w:left="34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A-3</w:t>
      </w:r>
    </w:p>
    <w:p>
      <w:pPr>
        <w:sectPr>
          <w:pgSz w:w="11900" w:h="16838" w:orient="portrait"/>
          <w:cols w:equalWidth="0" w:num="1">
            <w:col w:w="10840"/>
          </w:cols>
          <w:pgMar w:left="340" w:top="1440" w:right="719" w:bottom="1440" w:gutter="0" w:footer="0" w:header="0"/>
          <w:type w:val="continuous"/>
        </w:sectPr>
      </w:pPr>
    </w:p>
    <w:bookmarkStart w:id="10" w:name="page11"/>
    <w:bookmarkEnd w:id="10"/>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Smelter or Refiner</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RMAP</w:t>
            </w:r>
          </w:p>
        </w:tc>
      </w:tr>
      <w:tr>
        <w:trPr>
          <w:trHeight w:val="20"/>
        </w:trPr>
        <w:tc>
          <w:tcPr>
            <w:tcW w:w="14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60" w:type="dxa"/>
            <w:vAlign w:val="bottom"/>
            <w:tcBorders>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7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PAMP S.A.</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Switzerland</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Pease &amp; Curren</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Chile</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Precious Metals Sales Corp.</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Russian Federation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PX Precinox S.A.</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Switzerland</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QG Refining, LLC</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Rand Refinery (Pty)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South Africa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Realized the Enterprise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REMONDIS PMR B.V.</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Netherlands</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Republic Metals Corporation</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Canadian Mint</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Canada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SAAMP</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France</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Sabin Metal Corp.</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Safimet S.p.A</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Italy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SAFINA A.S.</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Czechia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 Refinery</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India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Samduck Precious Metals</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Korea, Republic of</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Samwon Metals Corp.</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Korea, Republic of</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SAXONIA Edelmetalle GmbH</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Germany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Schone Edelmetaal B.V.</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Netherlands</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Spain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 Dong Huangjin</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Shandon Jin Jinyin Refining Limited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Shandong Hengbang Smelter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Shandong penglai gold smelter</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Shandong Yanggu Xiangguang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Heng Zhong Industry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Singway Technology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Sino-Platinum Metals Co., Ltd.</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 Accurate Group, Inc.</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Russian Federation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512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bl>
    <w:p>
      <w:pPr>
        <w:spacing w:after="0" w:line="200" w:lineRule="exact"/>
        <w:rPr>
          <w:sz w:val="20"/>
          <w:szCs w:val="20"/>
          <w:color w:val="auto"/>
        </w:rPr>
      </w:pPr>
    </w:p>
    <w:p>
      <w:pPr>
        <w:sectPr>
          <w:pgSz w:w="11900" w:h="16838" w:orient="portrait"/>
          <w:cols w:equalWidth="0" w:num="1">
            <w:col w:w="10840"/>
          </w:cols>
          <w:pgMar w:left="34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A-4</w:t>
      </w:r>
    </w:p>
    <w:p>
      <w:pPr>
        <w:sectPr>
          <w:pgSz w:w="11900" w:h="16838" w:orient="portrait"/>
          <w:cols w:equalWidth="0" w:num="1">
            <w:col w:w="10840"/>
          </w:cols>
          <w:pgMar w:left="340" w:top="1440" w:right="719" w:bottom="1440" w:gutter="0" w:footer="0" w:header="0"/>
          <w:type w:val="continuous"/>
        </w:sectPr>
      </w:pPr>
    </w:p>
    <w:bookmarkStart w:id="11" w:name="page12"/>
    <w:bookmarkEnd w:id="1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Smelter or Refiner</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RMAP</w:t>
            </w:r>
          </w:p>
        </w:tc>
      </w:tr>
      <w:tr>
        <w:trPr>
          <w:trHeight w:val="20"/>
        </w:trPr>
        <w:tc>
          <w:tcPr>
            <w:tcW w:w="144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60" w:type="dxa"/>
            <w:vAlign w:val="bottom"/>
            <w:tcBorders>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7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Sovereign Metals</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India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Lithuania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Sudan Gold Refinery</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Sudan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SungEel HiMetal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Korea, Republic of</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Suntain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SuZhou ShenChuang recycling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T.C.A S.p.A</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Italy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TAIWAN TOTAI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Tanaka Kikinzoku Kogyo K.K.</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Tokuriki Honten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Goetz NV</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Belgium</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TOO Tau-Ken-Altyn</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Kazakhstan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Torecom</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Korea, Republic of</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Tsai Brother industries</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TSK Pretech</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Korea, Republic of</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Umicore Brasil Ltda.</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Brazil</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Thailand</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Belgium</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Universal Precious Metals Refining Zambia</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Zambia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Valcambi S.A.</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Viagra Di precious metals (Zhaoyuan)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WANG TING</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Australia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WIELAND Edelmetalle GmbH</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Germany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Wuzhong Group</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Yamakin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Yamato Denki Ind.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Yokohama Metal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Yunnan Gold Mining Group Co., Ltd. (YGMG)</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Zhaojun Maifu</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 Jiang Guang Yuan Noble Metal Smelting Factory</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Zhongkuang Gold Industry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Zhongshan Hyper-Toxic Substance Monopolized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Zhongshan Poison Material Proprietary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Zhuhai toxic materials Monopoly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Zhuzhou Smelting Group Co., Ltd</w:t>
            </w:r>
          </w:p>
        </w:tc>
        <w:tc>
          <w:tcPr>
            <w:tcW w:w="4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bl>
    <w:p>
      <w:pPr>
        <w:spacing w:after="0" w:line="200" w:lineRule="exact"/>
        <w:rPr>
          <w:sz w:val="20"/>
          <w:szCs w:val="20"/>
          <w:color w:val="auto"/>
        </w:rPr>
      </w:pPr>
    </w:p>
    <w:p>
      <w:pPr>
        <w:sectPr>
          <w:pgSz w:w="11900" w:h="16838" w:orient="portrait"/>
          <w:cols w:equalWidth="0" w:num="1">
            <w:col w:w="10840"/>
          </w:cols>
          <w:pgMar w:left="34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A-5</w:t>
      </w:r>
    </w:p>
    <w:p>
      <w:pPr>
        <w:sectPr>
          <w:pgSz w:w="11900" w:h="16838" w:orient="portrait"/>
          <w:cols w:equalWidth="0" w:num="1">
            <w:col w:w="10840"/>
          </w:cols>
          <w:pgMar w:left="340" w:top="1440" w:right="719" w:bottom="1440" w:gutter="0" w:footer="0" w:header="0"/>
          <w:type w:val="continuous"/>
        </w:sectPr>
      </w:pPr>
    </w:p>
    <w:bookmarkStart w:id="12" w:name="page13"/>
    <w:bookmarkEnd w:id="1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Smelter or Refiner</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RMAP</w:t>
            </w:r>
          </w:p>
        </w:tc>
      </w:tr>
      <w:tr>
        <w:trPr>
          <w:trHeight w:val="20"/>
        </w:trPr>
        <w:tc>
          <w:tcPr>
            <w:tcW w:w="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3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Conformant</w:t>
            </w:r>
          </w:p>
        </w:tc>
      </w:tr>
      <w:tr>
        <w:trPr>
          <w:trHeight w:val="48"/>
        </w:trPr>
        <w:tc>
          <w:tcPr>
            <w:tcW w:w="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r>
      <w:tr>
        <w:trPr>
          <w:trHeight w:val="256"/>
        </w:trPr>
        <w:tc>
          <w:tcPr>
            <w:tcW w:w="20" w:type="dxa"/>
            <w:vAlign w:val="bottom"/>
            <w:shd w:val="clear" w:color="auto" w:fill="D9D9D9"/>
          </w:tcPr>
          <w:p>
            <w:pPr>
              <w:spacing w:after="0"/>
              <w:rPr>
                <w:sz w:val="22"/>
                <w:szCs w:val="22"/>
                <w:color w:val="auto"/>
              </w:rPr>
            </w:pPr>
          </w:p>
        </w:tc>
        <w:tc>
          <w:tcPr>
            <w:tcW w:w="516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200" w:type="dxa"/>
            <w:vAlign w:val="bottom"/>
            <w:shd w:val="clear" w:color="auto" w:fill="D9D9D9"/>
          </w:tcPr>
          <w:p>
            <w:pPr>
              <w:spacing w:after="0"/>
              <w:rPr>
                <w:sz w:val="22"/>
                <w:szCs w:val="22"/>
                <w:color w:val="auto"/>
              </w:rPr>
            </w:pPr>
          </w:p>
        </w:tc>
        <w:tc>
          <w:tcPr>
            <w:tcW w:w="1300" w:type="dxa"/>
            <w:vAlign w:val="bottom"/>
            <w:shd w:val="clear" w:color="auto" w:fill="D9D9D9"/>
          </w:tcPr>
          <w:p>
            <w:pPr>
              <w:spacing w:after="0"/>
              <w:rPr>
                <w:sz w:val="22"/>
                <w:szCs w:val="22"/>
                <w:color w:val="auto"/>
              </w:rPr>
            </w:pPr>
          </w:p>
        </w:tc>
        <w:tc>
          <w:tcPr>
            <w:tcW w:w="3220" w:type="dxa"/>
            <w:vAlign w:val="bottom"/>
            <w:shd w:val="clear" w:color="auto" w:fill="D9D9D9"/>
          </w:tcPr>
          <w:p>
            <w:pPr>
              <w:spacing w:after="0"/>
              <w:rPr>
                <w:sz w:val="22"/>
                <w:szCs w:val="22"/>
                <w:color w:val="auto"/>
              </w:rPr>
            </w:pPr>
          </w:p>
        </w:tc>
        <w:tc>
          <w:tcPr>
            <w:tcW w:w="540" w:type="dxa"/>
            <w:vAlign w:val="bottom"/>
            <w:shd w:val="clear" w:color="auto" w:fill="D9D9D9"/>
          </w:tcPr>
          <w:p>
            <w:pPr>
              <w:spacing w:after="0"/>
              <w:rPr>
                <w:sz w:val="22"/>
                <w:szCs w:val="22"/>
                <w:color w:val="auto"/>
              </w:rPr>
            </w:pPr>
          </w:p>
        </w:tc>
        <w:tc>
          <w:tcPr>
            <w:tcW w:w="420" w:type="dxa"/>
            <w:vAlign w:val="bottom"/>
            <w:shd w:val="clear" w:color="auto" w:fill="D9D9D9"/>
          </w:tcPr>
          <w:p>
            <w:pPr>
              <w:spacing w:after="0"/>
              <w:rPr>
                <w:sz w:val="22"/>
                <w:szCs w:val="22"/>
                <w:color w:val="auto"/>
              </w:rPr>
            </w:pPr>
          </w:p>
        </w:tc>
        <w:tc>
          <w:tcPr>
            <w:tcW w:w="380" w:type="dxa"/>
            <w:vAlign w:val="bottom"/>
            <w:shd w:val="clear" w:color="auto" w:fill="D9D9D9"/>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Alpha</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2"/>
        </w:trPr>
        <w:tc>
          <w:tcPr>
            <w:tcW w:w="2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Thai Minerals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Viet Nam</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Viet Nam</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Arco Alloys</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Tin Group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Chofu Works</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CNMC (Guangxi) PGMA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Cooperativa Metalurgica de Rondônia Ltda.</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 Ayi Jaya</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 Dua Sekawan</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 Gita Pesona</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 Justindo</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 United Smelting</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 Venus Inti Perkasa</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Indonesia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Dongguan City Xida Soldering Tin Products Co.</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Dowa</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25"/>
        </w:trPr>
        <w:tc>
          <w:tcPr>
            <w:tcW w:w="2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Electro-Mechanical Facility of the Cao Bang Minerals &amp; Metallurgy</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Viet Nam</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34"/>
        </w:trPr>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Joint Stock Company</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 Vinto</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Estanho de Rondonia S.A.</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Fenix Metals</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Poland</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Fuji Metal Mining Corp.</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Fengming Metallurgy Chemical Plant</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Jinye Mineral Company</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Yunxi Group Corp.</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GUANGXI HUA TIN GOLD MINUTE FEE,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Guangxi Nonferrous Metals Group</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Guangxi Zhongshan Jin Yi Smelting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Guanyang Guida Nonferrous Metal Smelting Plant</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Hezhou Jinwei Tin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Hongqiao Metals (Kunshan)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Huichang Jinshunda Tin Co., Ltd.</w:t>
            </w:r>
          </w:p>
        </w:tc>
        <w:tc>
          <w:tcPr>
            <w:tcW w:w="47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w:t>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Smelter or Refiner</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RMAP</w:t>
            </w:r>
          </w:p>
        </w:tc>
      </w:tr>
      <w:tr>
        <w:trPr>
          <w:trHeight w:val="20"/>
        </w:trPr>
        <w:tc>
          <w:tcPr>
            <w:tcW w:w="14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60" w:type="dxa"/>
            <w:vAlign w:val="bottom"/>
            <w:tcBorders>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7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Hulterworth Smelter</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 Jia Wang Technology Co.</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Ketai Advanced Material Co.,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 Tai Industrial Co.,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LIAN JING</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Luna Smelter,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Rwanda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ECO Tropical Resources</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Singapore</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 An Shan Shu Guang Smelter Corp.</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Brazil</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Malaysia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Materials Eco-Refining Co.,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Melt Metais e Ligas S.A.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Brazil</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Metahub Industries Sdn. Bhd.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Malaysia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Metallic Resources, Inc.</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Metallo Belgium N.V.</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Belgium</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Metallo Chimique</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Belgium</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Metallo Spain S.L.U.</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Spain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Minchali Metal Industry Co.,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Brazil</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Ming Li Jia smelt Metal Factory</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Minsur</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Peru</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Modeltech Sdn Bhd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Malaysia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Viet Nam</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Thailand</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Philippines</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Old City Metals Processing Co.,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Pan Light Corporation</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Pongpipat Company Limited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Myanmar</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Artha Cipta Langgeng</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Babel Inti Perkasa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Bangka Prima Tin</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Bangka Serumpun</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Bangka Tin Industry</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bl>
    <w:p>
      <w:pPr>
        <w:spacing w:after="0" w:line="200" w:lineRule="exact"/>
        <w:rPr>
          <w:sz w:val="20"/>
          <w:szCs w:val="20"/>
          <w:color w:val="auto"/>
        </w:rPr>
      </w:pPr>
    </w:p>
    <w:p>
      <w:pPr>
        <w:sectPr>
          <w:pgSz w:w="11900" w:h="16838" w:orient="portrait"/>
          <w:cols w:equalWidth="0" w:num="1">
            <w:col w:w="10840"/>
          </w:cols>
          <w:pgMar w:left="34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A-7</w:t>
      </w:r>
    </w:p>
    <w:p>
      <w:pPr>
        <w:sectPr>
          <w:pgSz w:w="11900" w:h="16838" w:orient="portrait"/>
          <w:cols w:equalWidth="0" w:num="1">
            <w:col w:w="10840"/>
          </w:cols>
          <w:pgMar w:left="340" w:top="1440" w:right="719" w:bottom="1440" w:gutter="0" w:footer="0" w:header="0"/>
          <w:type w:val="continuous"/>
        </w:sectPr>
      </w:pPr>
    </w:p>
    <w:bookmarkStart w:id="14" w:name="page15"/>
    <w:bookmarkEnd w:id="14"/>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Smelter or Refiner</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RMAP</w:t>
            </w:r>
          </w:p>
        </w:tc>
      </w:tr>
      <w:tr>
        <w:trPr>
          <w:trHeight w:val="20"/>
        </w:trPr>
        <w:tc>
          <w:tcPr>
            <w:tcW w:w="144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60" w:type="dxa"/>
            <w:vAlign w:val="bottom"/>
            <w:tcBorders>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7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Bukit Timah</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Cipta Persada Mulia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DS Jaya Abadi</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Eunindo Usaha Mandiri</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Inti Stania Prima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Karimun Mining</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Kijang Jaya Mandiri</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Lautan Harmonis Sejahtera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Menara Cipta Mulia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Mitra Stania Prima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NATARI</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O.M. Indonesia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Panca Mega Persada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Premium Tin Indonesia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Prima Timah Utama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Rajawali Rimba Perkasa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Rajehan Ariq</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Refined Bangka Tin</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Sariwiguna Binasentosa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Stanindo Inti Perkasa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Sukses Inti Makmur</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Sumber Jaya Indah</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Timah Tbk Kundur</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Timah Tbk Mentok</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Tinindo Inter Nusa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Tirus Putra Mandiri</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Tommy Utama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PT Wahana Perkit Jaya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Indonesia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Brazil</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Rui Da Hung</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Shan Tou Shi Yong Yuan Jin Shu Zai Sheng Co.,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Shenzhen Hong Chang Metal Manufacturing Factory</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Sichuan Guanghan Jiangnan casting smelters</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Sigma Tin Alloy Co.,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 Metais Ltda.</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Brazil</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Solder Court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Spectro Alloys Corp.</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 Ligas</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Brazil</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Suzhou Nuonengda Chemical Co.,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Taicang City Nancang Metal Material Co.,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Taiwan high-tech Co.,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Taiwan's lofty Enterprises Ltd.</w:t>
            </w:r>
          </w:p>
        </w:tc>
        <w:tc>
          <w:tcPr>
            <w:tcW w:w="52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bl>
    <w:p>
      <w:pPr>
        <w:spacing w:after="0" w:line="200" w:lineRule="exact"/>
        <w:rPr>
          <w:sz w:val="20"/>
          <w:szCs w:val="20"/>
          <w:color w:val="auto"/>
        </w:rPr>
      </w:pPr>
    </w:p>
    <w:p>
      <w:pPr>
        <w:sectPr>
          <w:pgSz w:w="11900" w:h="16838" w:orient="portrait"/>
          <w:cols w:equalWidth="0" w:num="1">
            <w:col w:w="10840"/>
          </w:cols>
          <w:pgMar w:left="34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A-8</w:t>
      </w:r>
    </w:p>
    <w:p>
      <w:pPr>
        <w:sectPr>
          <w:pgSz w:w="11900" w:h="16838" w:orient="portrait"/>
          <w:cols w:equalWidth="0" w:num="1">
            <w:col w:w="10840"/>
          </w:cols>
          <w:pgMar w:left="340" w:top="1440" w:right="719" w:bottom="1440" w:gutter="0" w:footer="0" w:header="0"/>
          <w:type w:val="continuous"/>
        </w:sectPr>
      </w:pPr>
    </w:p>
    <w:bookmarkStart w:id="15" w:name="page16"/>
    <w:bookmarkEnd w:id="1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Smelter or Refiner</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RMAP</w:t>
            </w:r>
          </w:p>
        </w:tc>
      </w:tr>
      <w:tr>
        <w:trPr>
          <w:trHeight w:val="20"/>
        </w:trPr>
        <w:tc>
          <w:tcPr>
            <w:tcW w:w="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60" w:type="dxa"/>
            <w:vAlign w:val="bottom"/>
            <w:tcBorders>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Conformant</w:t>
            </w:r>
          </w:p>
        </w:tc>
        <w:tc>
          <w:tcPr>
            <w:tcW w:w="380" w:type="dxa"/>
            <w:vAlign w:val="bottom"/>
          </w:tcPr>
          <w:p>
            <w:pPr>
              <w:spacing w:after="0"/>
              <w:rPr>
                <w:sz w:val="15"/>
                <w:szCs w:val="15"/>
                <w:color w:val="auto"/>
              </w:rPr>
            </w:pPr>
          </w:p>
        </w:tc>
      </w:tr>
      <w:tr>
        <w:trPr>
          <w:trHeight w:val="277"/>
        </w:trPr>
        <w:tc>
          <w:tcPr>
            <w:tcW w:w="2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TAP</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 Nguyen Mining and Metallurgy Co.,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Viet Nam</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Thaisarco</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Thailand</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Three green surface technology limited company</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Tianshui Ling Bo Technology Co.,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 PLATING GEJIU</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 Smelting Branch of Yunnan Tin Company Limited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TONG LONG</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Top-Team Technology (Shenzhen)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Viet Nam</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Viet Nam</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WELLEY</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Taiwan, Province of 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WUJIANG CITY LUXE TIN FACTORY</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Xiamen Honglu Tungsten Molybdenum Co.,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Xianghualing Tin Industry Co.,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Xin Furukawa Metal ( Wuxi ) Co.,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XURI</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Yifeng Tin</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Yiquan Manufacturing</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Yuecheng Tin Co.,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Yunnan Chengo Electric Smelting Plant</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Yunnan Copper Zinc Industry Co.,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Yunnan Geiju Smelting Corp.</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Yunnan Industrial Co.,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Yunnan Malipo Baiyi Kuangye Co.</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Zhongshan Jinye Smelting Co.,Ltd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7"/>
        </w:trPr>
        <w:tc>
          <w:tcPr>
            <w:tcW w:w="20" w:type="dxa"/>
            <w:vAlign w:val="bottom"/>
            <w:shd w:val="clear" w:color="auto" w:fill="D9D9D9"/>
          </w:tcPr>
          <w:p>
            <w:pPr>
              <w:spacing w:after="0"/>
              <w:rPr>
                <w:sz w:val="22"/>
                <w:szCs w:val="22"/>
                <w:color w:val="auto"/>
              </w:rPr>
            </w:pPr>
          </w:p>
        </w:tc>
        <w:tc>
          <w:tcPr>
            <w:tcW w:w="472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640" w:type="dxa"/>
            <w:vAlign w:val="bottom"/>
            <w:shd w:val="clear" w:color="auto" w:fill="D9D9D9"/>
          </w:tcPr>
          <w:p>
            <w:pPr>
              <w:spacing w:after="0"/>
              <w:rPr>
                <w:sz w:val="22"/>
                <w:szCs w:val="22"/>
                <w:color w:val="auto"/>
              </w:rPr>
            </w:pPr>
          </w:p>
        </w:tc>
        <w:tc>
          <w:tcPr>
            <w:tcW w:w="1300" w:type="dxa"/>
            <w:vAlign w:val="bottom"/>
            <w:shd w:val="clear" w:color="auto" w:fill="D9D9D9"/>
          </w:tcPr>
          <w:p>
            <w:pPr>
              <w:spacing w:after="0"/>
              <w:rPr>
                <w:sz w:val="22"/>
                <w:szCs w:val="22"/>
                <w:color w:val="auto"/>
              </w:rPr>
            </w:pPr>
          </w:p>
        </w:tc>
        <w:tc>
          <w:tcPr>
            <w:tcW w:w="3220" w:type="dxa"/>
            <w:vAlign w:val="bottom"/>
            <w:shd w:val="clear" w:color="auto" w:fill="D9D9D9"/>
          </w:tcPr>
          <w:p>
            <w:pPr>
              <w:spacing w:after="0"/>
              <w:rPr>
                <w:sz w:val="22"/>
                <w:szCs w:val="22"/>
                <w:color w:val="auto"/>
              </w:rPr>
            </w:pPr>
          </w:p>
        </w:tc>
        <w:tc>
          <w:tcPr>
            <w:tcW w:w="540" w:type="dxa"/>
            <w:vAlign w:val="bottom"/>
            <w:shd w:val="clear" w:color="auto" w:fill="D9D9D9"/>
          </w:tcPr>
          <w:p>
            <w:pPr>
              <w:spacing w:after="0"/>
              <w:rPr>
                <w:sz w:val="22"/>
                <w:szCs w:val="22"/>
                <w:color w:val="auto"/>
              </w:rPr>
            </w:pPr>
          </w:p>
        </w:tc>
        <w:tc>
          <w:tcPr>
            <w:tcW w:w="420" w:type="dxa"/>
            <w:vAlign w:val="bottom"/>
            <w:shd w:val="clear" w:color="auto" w:fill="D9D9D9"/>
          </w:tcPr>
          <w:p>
            <w:pPr>
              <w:spacing w:after="0"/>
              <w:rPr>
                <w:sz w:val="22"/>
                <w:szCs w:val="22"/>
                <w:color w:val="auto"/>
              </w:rPr>
            </w:pPr>
          </w:p>
        </w:tc>
        <w:tc>
          <w:tcPr>
            <w:tcW w:w="380" w:type="dxa"/>
            <w:vAlign w:val="bottom"/>
            <w:shd w:val="clear" w:color="auto" w:fill="D9D9D9"/>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2"/>
        </w:trPr>
        <w:tc>
          <w:tcPr>
            <w:tcW w:w="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Block Metals, LLC</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Exotech Inc.</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H.C. Starck Hermsdorf GmbH</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Germany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H.C. Starck Inc.</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5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A-9</w:t>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Smelter or Refiner</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RMAP</w:t>
            </w:r>
          </w:p>
        </w:tc>
      </w:tr>
      <w:tr>
        <w:trPr>
          <w:trHeight w:val="20"/>
        </w:trPr>
        <w:tc>
          <w:tcPr>
            <w:tcW w:w="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60" w:type="dxa"/>
            <w:vAlign w:val="bottom"/>
            <w:tcBorders>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Conformant</w:t>
            </w:r>
          </w:p>
        </w:tc>
        <w:tc>
          <w:tcPr>
            <w:tcW w:w="380" w:type="dxa"/>
            <w:vAlign w:val="bottom"/>
          </w:tcPr>
          <w:p>
            <w:pPr>
              <w:spacing w:after="0"/>
              <w:rPr>
                <w:sz w:val="15"/>
                <w:szCs w:val="15"/>
                <w:color w:val="auto"/>
              </w:rPr>
            </w:pPr>
          </w:p>
        </w:tc>
      </w:tr>
      <w:tr>
        <w:trPr>
          <w:trHeight w:val="277"/>
        </w:trPr>
        <w:tc>
          <w:tcPr>
            <w:tcW w:w="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Jiujiang Tanbre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KEMET de Mexico</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Mexico</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LSM Brasil S.A.</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 Materials</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North Macedonia, Republic of</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India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Mineracao Taboca S.A.</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NPM Silmet AS</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Estonia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QuantumClean</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Russian Federation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Taki Chemical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Thailand</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GmbH</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Germany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Japan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Germany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Telex Metals</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Kazakhstan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7"/>
        </w:trPr>
        <w:tc>
          <w:tcPr>
            <w:tcW w:w="20" w:type="dxa"/>
            <w:vAlign w:val="bottom"/>
            <w:shd w:val="clear" w:color="auto" w:fill="D9D9D9"/>
          </w:tcPr>
          <w:p>
            <w:pPr>
              <w:spacing w:after="0"/>
              <w:rPr>
                <w:sz w:val="22"/>
                <w:szCs w:val="22"/>
                <w:color w:val="auto"/>
              </w:rPr>
            </w:pPr>
          </w:p>
        </w:tc>
        <w:tc>
          <w:tcPr>
            <w:tcW w:w="4840" w:type="dxa"/>
            <w:vAlign w:val="bottom"/>
            <w:gridSpan w:val="2"/>
            <w:shd w:val="clear" w:color="auto" w:fill="D9D9D9"/>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520" w:type="dxa"/>
            <w:vAlign w:val="bottom"/>
            <w:shd w:val="clear" w:color="auto" w:fill="D9D9D9"/>
          </w:tcPr>
          <w:p>
            <w:pPr>
              <w:spacing w:after="0"/>
              <w:rPr>
                <w:sz w:val="22"/>
                <w:szCs w:val="22"/>
                <w:color w:val="auto"/>
              </w:rPr>
            </w:pPr>
          </w:p>
        </w:tc>
        <w:tc>
          <w:tcPr>
            <w:tcW w:w="1300" w:type="dxa"/>
            <w:vAlign w:val="bottom"/>
            <w:shd w:val="clear" w:color="auto" w:fill="D9D9D9"/>
          </w:tcPr>
          <w:p>
            <w:pPr>
              <w:spacing w:after="0"/>
              <w:rPr>
                <w:sz w:val="22"/>
                <w:szCs w:val="22"/>
                <w:color w:val="auto"/>
              </w:rPr>
            </w:pPr>
          </w:p>
        </w:tc>
        <w:tc>
          <w:tcPr>
            <w:tcW w:w="3220" w:type="dxa"/>
            <w:vAlign w:val="bottom"/>
            <w:shd w:val="clear" w:color="auto" w:fill="D9D9D9"/>
          </w:tcPr>
          <w:p>
            <w:pPr>
              <w:spacing w:after="0"/>
              <w:rPr>
                <w:sz w:val="22"/>
                <w:szCs w:val="22"/>
                <w:color w:val="auto"/>
              </w:rPr>
            </w:pPr>
          </w:p>
        </w:tc>
        <w:tc>
          <w:tcPr>
            <w:tcW w:w="540" w:type="dxa"/>
            <w:vAlign w:val="bottom"/>
            <w:shd w:val="clear" w:color="auto" w:fill="D9D9D9"/>
          </w:tcPr>
          <w:p>
            <w:pPr>
              <w:spacing w:after="0"/>
              <w:rPr>
                <w:sz w:val="22"/>
                <w:szCs w:val="22"/>
                <w:color w:val="auto"/>
              </w:rPr>
            </w:pPr>
          </w:p>
        </w:tc>
        <w:tc>
          <w:tcPr>
            <w:tcW w:w="420" w:type="dxa"/>
            <w:vAlign w:val="bottom"/>
            <w:shd w:val="clear" w:color="auto" w:fill="D9D9D9"/>
          </w:tcPr>
          <w:p>
            <w:pPr>
              <w:spacing w:after="0"/>
              <w:rPr>
                <w:sz w:val="22"/>
                <w:szCs w:val="22"/>
                <w:color w:val="auto"/>
              </w:rPr>
            </w:pPr>
          </w:p>
        </w:tc>
        <w:tc>
          <w:tcPr>
            <w:tcW w:w="380" w:type="dxa"/>
            <w:vAlign w:val="bottom"/>
            <w:shd w:val="clear" w:color="auto" w:fill="D9D9D9"/>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A.L.M.T. Corp.</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2"/>
        </w:trPr>
        <w:tc>
          <w:tcPr>
            <w:tcW w:w="20" w:type="dxa"/>
            <w:vAlign w:val="bottom"/>
          </w:tcPr>
          <w:p>
            <w:pPr>
              <w:spacing w:after="0"/>
              <w:rPr>
                <w:sz w:val="21"/>
                <w:szCs w:val="21"/>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ACL Metais Eireli</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Brazil</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Active</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Viet Nam</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Chenzhou Diamond Tungsten Products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CNMC (Guangxi) PGMA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CP Metals Inc.</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United States of America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DAIDO STEEL</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Japan</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Fujian Jinxin Tungsten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Ganzhou Beseem Ferrotungsten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Ganzhou Haichuang Tungsten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Ganzhou Huaxing Tungsten Products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20" w:type="dxa"/>
            <w:vAlign w:val="bottom"/>
          </w:tcPr>
          <w:p>
            <w:pPr>
              <w:spacing w:after="0"/>
              <w:rPr>
                <w:sz w:val="22"/>
                <w:szCs w:val="22"/>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504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China</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A-10</w:t>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Smelter or Refiner</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RMAP</w:t>
            </w:r>
          </w:p>
        </w:tc>
      </w:tr>
      <w:tr>
        <w:trPr>
          <w:trHeight w:val="20"/>
        </w:trPr>
        <w:tc>
          <w:tcPr>
            <w:tcW w:w="144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83"/>
        </w:trPr>
        <w:tc>
          <w:tcPr>
            <w:tcW w:w="144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960" w:type="dxa"/>
            <w:vAlign w:val="bottom"/>
            <w:tcBorders>
              <w:bottom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w w:val="98"/>
              </w:rPr>
              <w:t>Conformant</w:t>
            </w:r>
          </w:p>
        </w:tc>
      </w:tr>
      <w:tr>
        <w:trPr>
          <w:trHeight w:val="27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Ganzhou Yatai Tungsten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H.C. Starck Tungsten GmbH</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Germany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Hunan Chuangda Vanadium Tungsten Co., Ltd. Wuji</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Hunan Chunchang Nonferrous Metals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Hunan Litian Tungsten Industry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Hydrometallurg, JSC</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Japan New Metals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Xianglu Tungsten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Xiushui Xianggan Nonferrous Metals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Kennametal Fallon</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Kennametal Huntsville</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KGETS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Korea, Republic of</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Lianyou Metals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Masan High-Tech Materials</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Viet Nam</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Mehra Ferro-Alloys Pvt.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India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Moliren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Niagara Refining LLC</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Philippines</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South-East Nonferrous Metal Company Limited of Hengyang City</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Germany</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Tejing (Vietnam) Tungsten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Viet Nam</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Tungsten Diversified Industries LLC</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Russian Federation</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Vietnam Youngsun Tungsten Industry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Viet Nam</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7"/>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Austria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Woltech Korea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Korea, Republic of</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Xiamen Tungsten (H.C.)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Xiamen Tungsten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Xinfeng Huarui Tungsten &amp; Molybdenum New Material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Xinhai Rendan Shaoguan Tungsten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r>
        <w:trPr>
          <w:trHeight w:val="25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Zhangzhou Chuen Bao Apt Smeltery Co., Ltd.</w:t>
            </w:r>
          </w:p>
        </w:tc>
        <w:tc>
          <w:tcPr>
            <w:tcW w:w="47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r>
    </w:tbl>
    <w:p>
      <w:pPr>
        <w:spacing w:after="0" w:line="200" w:lineRule="exact"/>
        <w:rPr>
          <w:sz w:val="20"/>
          <w:szCs w:val="20"/>
          <w:color w:val="auto"/>
        </w:rPr>
      </w:pPr>
    </w:p>
    <w:p>
      <w:pPr>
        <w:sectPr>
          <w:pgSz w:w="11900" w:h="16838" w:orient="portrait"/>
          <w:cols w:equalWidth="0" w:num="1">
            <w:col w:w="10840"/>
          </w:cols>
          <w:pgMar w:left="340" w:top="1440"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A-11</w:t>
      </w:r>
    </w:p>
    <w:p>
      <w:pPr>
        <w:sectPr>
          <w:pgSz w:w="11900" w:h="16838" w:orient="portrait"/>
          <w:cols w:equalWidth="0" w:num="1">
            <w:col w:w="10840"/>
          </w:cols>
          <w:pgMar w:left="340" w:top="1440" w:right="719" w:bottom="1440" w:gutter="0" w:footer="0" w:header="0"/>
          <w:type w:val="continuous"/>
        </w:sectPr>
      </w:pPr>
    </w:p>
    <w:bookmarkStart w:id="18" w:name="page19"/>
    <w:bookmarkEnd w:id="18"/>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notes the following in connection with the information contained in the foregoing table:</w:t>
      </w:r>
    </w:p>
    <w:p>
      <w:pPr>
        <w:spacing w:after="0" w:line="306" w:lineRule="exact"/>
        <w:rPr>
          <w:sz w:val="20"/>
          <w:szCs w:val="20"/>
          <w:color w:val="auto"/>
        </w:rPr>
      </w:pPr>
    </w:p>
    <w:p>
      <w:pPr>
        <w:ind w:left="660" w:hanging="328"/>
        <w:spacing w:after="0" w:line="258" w:lineRule="auto"/>
        <w:tabs>
          <w:tab w:leader="none" w:pos="6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smelters and refiners listed in the table were identified by the Covered Vendors as potentially being part of the Company’s 2021 supply chain. However, not all of the included smelters and refiners may be part of the Company’s supply chain. In addition, the smelters and refiners listed above may not be all of the smelters and refiners in its supply chain, as some Covered Vendors indicated that they were unable to identify all of the smelters and refiners used to process the necessary 3TG content contained in their products and not all of the Covered Vendors responded to the Company’s inquiries.</w:t>
      </w:r>
    </w:p>
    <w:p>
      <w:pPr>
        <w:spacing w:after="0" w:line="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compliance status information in the table is as of May 25, 2022.</w:t>
      </w:r>
    </w:p>
    <w:p>
      <w:pPr>
        <w:spacing w:after="0" w:line="63"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“Conformant” means that a smelter or refiner has successfully completed an assessment against the applicable RMAP standard or an equivalent cross-recognized assessment protocol. Included smelters and refiners were not necessarily Conformant for all or part of 2021 and may not maintain that status in any future period.</w:t>
      </w:r>
    </w:p>
    <w:p>
      <w:pPr>
        <w:spacing w:after="0" w:line="13" w:lineRule="exact"/>
        <w:rPr>
          <w:rFonts w:ascii="Times New Roman" w:cs="Times New Roman" w:eastAsia="Times New Roman" w:hAnsi="Times New Roman"/>
          <w:sz w:val="18"/>
          <w:szCs w:val="18"/>
          <w:color w:val="auto"/>
        </w:rPr>
      </w:pPr>
    </w:p>
    <w:p>
      <w:pPr>
        <w:ind w:left="660" w:right="100" w:hanging="328"/>
        <w:spacing w:after="0" w:line="28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means that the smelter or refiner committed to undergo an RMAP assessment, completed the relevant documents, and scheduled the on-site assessment. These may be in the pre-assessment, assessment, or corrective-action phases of the assessment.</w:t>
      </w:r>
    </w:p>
    <w:p>
      <w:pPr>
        <w:spacing w:after="0" w:line="1"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means that the smelter or refiner is not Conformant or Active. The RMI notes on its website that the operational impacts of COVID-19 have led to postponements of some RMAP assessments. The RMI website also notes that, due to the eligibility criteria for an RMAP assessment, smelters and refiners are sometimes removed from the Conformant list because they are no longer operational and not because they are non-conformant to the standard.</w:t>
      </w:r>
    </w:p>
    <w:p>
      <w:pPr>
        <w:spacing w:after="0" w:line="17"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RMAP status and smelter or refiner country location indicated in the table is based on information published by the RMI, without independent verification by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Country of Origin Information</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countries of origin of the newly-mined 3TG processed by the Conformant smelters and refiners listed in the table above are believed to have potentially included the countries listed below, as well as possibly other countries, based on information made available by the RMI to its members. The Company has not been able to reliably determine the country of origin of any of the other smelters or refiners listed in the table. These may not be all of the countries from which the identified smelters and refiners have sourced, and the identified smelters and refiners may not have sourced from all of these countries.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Guinea</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Peru</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Armenia</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Guyana</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Philippines</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Honduras</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Portugal</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India</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Russia</w:t>
            </w: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Azerbaijan</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Indonesia</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8"/>
              </w:rPr>
              <w:t>Russian Federation</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Benin</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Japan</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Rwanda</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Kazakhstan</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Saudi Arabia</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Botswana</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Kenya</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Senegal</w:t>
            </w: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Kyrgyzstan</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Sierra Leone</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Burkina Faso</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Laos</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Slovakia</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Burundi*</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Liberia</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Madagascar</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South Korea</w:t>
            </w:r>
          </w:p>
        </w:tc>
      </w:tr>
      <w:tr>
        <w:trPr>
          <w:trHeight w:val="229"/>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Chile</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Malaysia</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Spain</w:t>
            </w:r>
          </w:p>
        </w:tc>
      </w:tr>
      <w:tr>
        <w:trPr>
          <w:trHeight w:val="230"/>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Mali</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Sudan</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29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Mauritania</w:t>
            </w:r>
          </w:p>
        </w:tc>
        <w:tc>
          <w:tcPr>
            <w:tcW w:w="27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Suriname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Congo, Democratic Republic of the*</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Mexico</w:t>
            </w: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Swaziland</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Cote d'Ivoire</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Mongolia</w:t>
            </w: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Sweden</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Dominican Republic</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Morocco</w:t>
            </w: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Taiwan</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Ecuador</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Mozambique</w:t>
            </w: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Tanzania*</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Egypt</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Myanmar</w:t>
            </w: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Thailand</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Eritrea</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Namibia</w:t>
            </w: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Turkey</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Ethiopia</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New Zealand</w:t>
            </w: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Uganda*</w:t>
            </w:r>
          </w:p>
        </w:tc>
      </w:tr>
      <w:tr>
        <w:trPr>
          <w:trHeight w:val="180"/>
        </w:trPr>
        <w:tc>
          <w:tcPr>
            <w:tcW w:w="3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Fiji</w:t>
            </w:r>
          </w:p>
        </w:tc>
        <w:tc>
          <w:tcPr>
            <w:tcW w:w="2940" w:type="dxa"/>
            <w:vAlign w:val="bottom"/>
          </w:tcPr>
          <w:p>
            <w:pPr>
              <w:ind w:left="460"/>
              <w:spacing w:after="0" w:line="181" w:lineRule="exact"/>
              <w:rPr>
                <w:sz w:val="20"/>
                <w:szCs w:val="20"/>
                <w:color w:val="auto"/>
              </w:rPr>
            </w:pPr>
            <w:r>
              <w:rPr>
                <w:rFonts w:ascii="Times New Roman" w:cs="Times New Roman" w:eastAsia="Times New Roman" w:hAnsi="Times New Roman"/>
                <w:sz w:val="18"/>
                <w:szCs w:val="18"/>
                <w:color w:val="auto"/>
              </w:rPr>
              <w:t>Nicaragua</w:t>
            </w:r>
          </w:p>
        </w:tc>
        <w:tc>
          <w:tcPr>
            <w:tcW w:w="448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w w:val="99"/>
              </w:rPr>
              <w:t>United Kingdom of Great Britain and Northern</w:t>
            </w:r>
          </w:p>
        </w:tc>
      </w:tr>
      <w:tr>
        <w:trPr>
          <w:trHeight w:val="234"/>
        </w:trPr>
        <w:tc>
          <w:tcPr>
            <w:tcW w:w="3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Ireland</w:t>
            </w:r>
          </w:p>
        </w:tc>
      </w:tr>
      <w:tr>
        <w:trPr>
          <w:trHeight w:val="23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Niger</w:t>
            </w: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Nigeria</w:t>
            </w: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Uzbekistan</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French Guiana</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Oman</w:t>
            </w: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Vietnam</w:t>
            </w: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Panama</w:t>
            </w: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Zambia</w:t>
            </w:r>
          </w:p>
        </w:tc>
      </w:tr>
      <w:tr>
        <w:trPr>
          <w:trHeight w:val="22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Ghana</w:t>
            </w:r>
          </w:p>
        </w:tc>
        <w:tc>
          <w:tcPr>
            <w:tcW w:w="2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Papua New Guinea</w:t>
            </w:r>
          </w:p>
        </w:tc>
        <w:tc>
          <w:tcPr>
            <w:tcW w:w="44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Zimbabwe</w:t>
            </w: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Guatemala</w:t>
            </w:r>
          </w:p>
        </w:tc>
        <w:tc>
          <w:tcPr>
            <w:tcW w:w="2940" w:type="dxa"/>
            <w:vAlign w:val="bottom"/>
          </w:tcPr>
          <w:p>
            <w:pPr>
              <w:spacing w:after="0"/>
              <w:rPr>
                <w:sz w:val="20"/>
                <w:szCs w:val="20"/>
                <w:color w:val="auto"/>
              </w:rPr>
            </w:pPr>
          </w:p>
        </w:tc>
        <w:tc>
          <w:tcPr>
            <w:tcW w:w="44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Represents a DRC Region country.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Alternatively, or in addition, some of the Conformant smelters and refiners may have sourced from recycled or scrap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A-13</w:t>
      </w:r>
    </w:p>
    <w:sectPr>
      <w:pgSz w:w="11900" w:h="16838" w:orient="portrait"/>
      <w:cols w:equalWidth="0" w:num="1">
        <w:col w:w="10560"/>
      </w:cols>
      <w:pgMar w:left="320" w:top="144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2022-05-31T15:26:50Z</dcterms:created>
  <dcterms:modified xsi:type="dcterms:W3CDTF">2022-05-31T15:26:50Z</dcterms:modified>
</cp:coreProperties>
</file>